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numId w:val="0"/>
        </w:numPr>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注意:</w:t>
      </w:r>
      <w:r>
        <w:rPr>
          <w:rFonts w:hint="default" w:ascii="Menlo" w:hAnsi="Menlo" w:eastAsia="Menlo" w:cs="Menlo"/>
          <w:b w:val="0"/>
          <w:bCs w:val="0"/>
          <w:color w:val="000000"/>
          <w:kern w:val="0"/>
          <w:sz w:val="24"/>
          <w:szCs w:val="24"/>
          <w:shd w:val="clear" w:fill="FFFFFF"/>
          <w:lang w:val="en-US" w:eastAsia="zh-CN" w:bidi="ar"/>
        </w:rPr>
        <w:t>value</w:t>
      </w:r>
      <w:r>
        <w:rPr>
          <w:rFonts w:hint="eastAsia" w:ascii="Menlo" w:hAnsi="Menlo" w:eastAsia="Menlo" w:cs="Menlo"/>
          <w:b w:val="0"/>
          <w:bCs w:val="0"/>
          <w:color w:val="000000"/>
          <w:kern w:val="0"/>
          <w:sz w:val="24"/>
          <w:szCs w:val="24"/>
          <w:shd w:val="clear" w:fill="FFFFFF"/>
          <w:lang w:val="en-US" w:eastAsia="zh-CN" w:bidi="ar"/>
        </w:rPr>
        <w:t>为字符串,则需要</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eastAsia" w:ascii="Menlo" w:hAnsi="Menlo" w:eastAsia="Menlo" w:cs="Menlo"/>
          <w:b w:val="0"/>
          <w:bCs w:val="0"/>
          <w:color w:val="795E26"/>
          <w:kern w:val="0"/>
          <w:sz w:val="24"/>
          <w:szCs w:val="24"/>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bookmarkStart w:id="0" w:name="_GoBack"/>
      <w:bookmarkEnd w:id="0"/>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numPr>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73A97171"/>
    <w:rsid w:val="74DB5827"/>
    <w:rsid w:val="777F0073"/>
    <w:rsid w:val="7AC501DC"/>
    <w:rsid w:val="7F7A1271"/>
    <w:rsid w:val="DDFF104A"/>
    <w:rsid w:val="EE470CB2"/>
    <w:rsid w:val="F1BDF145"/>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9</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2023-11-24T11:35:00Z</dcterms:created>
  <dc:creator>PLA</dc:creator>
  <cp:lastModifiedBy>PLA</cp:lastModifiedBy>
  <dcterms:modified xsi:type="dcterms:W3CDTF">2024-07-11T15:05:03Z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