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X9770efb39a699347599fbb941933d3f143cf6b7"/>
    <w:p>
      <w:pPr>
        <w:pStyle w:val="Heading1"/>
      </w:pPr>
      <w:r>
        <w:t xml:space="preserve">Building a Kalshi Weather Execution Model</w:t>
      </w:r>
    </w:p>
    <w:bookmarkStart w:id="24" w:name="executive-summary"/>
    <w:p>
      <w:pPr>
        <w:pStyle w:val="Heading2"/>
      </w:pPr>
      <w:r>
        <w:t xml:space="preserve">Executive summary</w:t>
      </w:r>
    </w:p>
    <w:p>
      <w:pPr>
        <w:pStyle w:val="FirstParagraph"/>
      </w:pPr>
      <w:r>
        <w:t xml:space="preserve">A production-grade weather execution model on Kalshi should be built around the fact that the venue is a central limit order book for binary contracts with price-time priority, $1 notional per contract, explicit fee formulas, and a now-useful set of execution observability tools: real-time order book snapshots and deltas, public trade prints, user fills, and—most importantly for live resting orders—official queue-position endpoints that return the quantity ahead of your order in fixed-point contract units. That means the execution problem is no longer “infer everything from public market-by-price data.” For live trading, you can directly observe your own queue ahead, then use public feeds to update it between polls and use periodic queue-position reads as the truth anchor.</w:t>
      </w:r>
      <w:r>
        <w:t xml:space="preserve"> </w:t>
      </w:r>
      <w:hyperlink r:id="rId21">
        <w:r>
          <w:rPr>
            <w:rStyle w:val="Hyperlink"/>
          </w:rPr>
          <w:t xml:space="preserve">[1]</w:t>
        </w:r>
      </w:hyperlink>
    </w:p>
    <w:p>
      <w:pPr>
        <w:pStyle w:val="BodyText"/>
      </w:pPr>
      <w:r>
        <w:t xml:space="preserve">The right objective is not raw paper edge. It is</w:t>
      </w:r>
      <w:r>
        <w:t xml:space="preserve"> </w:t>
      </w:r>
      <w:r>
        <w:rPr>
          <w:b/>
          <w:bCs/>
        </w:rPr>
        <w:t xml:space="preserve">expected realized edge</w:t>
      </w:r>
      <w:r>
        <w:t xml:space="preserve">, which equals paper edge times fill probability, minus all-in fees, minus adverse-selection losses, minus the opportunity cost of missing fills, subject to inventory, latency, and throttling constraints. In practice, that leads to a hazard-style fill model, a queue-depletion model, and separate models for markout and all-in slippage. The best benchmark architecture is an event-driven replay engine that ingests WebSocket order-book snapshots/deltas, public trades, ticker updates, user fills/orders, and periodic queue-position snapshots, then simulates candidate policies such as join-the-touch, improve-by-one-tick, cancel/repost, and bounded chase.</w:t>
      </w:r>
      <w:r>
        <w:t xml:space="preserve"> </w:t>
      </w:r>
      <w:hyperlink r:id="rId22">
        <w:r>
          <w:rPr>
            <w:rStyle w:val="Hyperlink"/>
          </w:rPr>
          <w:t xml:space="preserve">[2]</w:t>
        </w:r>
      </w:hyperlink>
    </w:p>
    <w:p>
      <w:pPr>
        <w:pStyle w:val="BodyText"/>
      </w:pPr>
      <w:r>
        <w:t xml:space="preserve">Kalshi’s current documentation implies a concrete tactical starting point. Because price amendments and same-price size increases forfeit queue priority, while size reductions can be done through a dedicated decrease-order path, the default policy should be:</w:t>
      </w:r>
      <w:r>
        <w:t xml:space="preserve"> </w:t>
      </w:r>
      <w:r>
        <w:rPr>
          <w:b/>
          <w:bCs/>
        </w:rPr>
        <w:t xml:space="preserve">enter passively at the touch when the expected edge survives maker fees and adverse-selection buffers; reduce size in place rather than cancel/recreate when risk changes; and only amend price when the expected gain from better fill odds exceeds the queue-reset cost.</w:t>
      </w:r>
      <w:r>
        <w:t xml:space="preserve"> </w:t>
      </w:r>
      <w:r>
        <w:t xml:space="preserve">That is the single most important microstructure implication for a weather execution model on this venue.</w:t>
      </w:r>
      <w:r>
        <w:t xml:space="preserve"> </w:t>
      </w:r>
      <w:hyperlink r:id="rId21">
        <w:r>
          <w:rPr>
            <w:rStyle w:val="Hyperlink"/>
          </w:rPr>
          <w:t xml:space="preserve">[3]</w:t>
        </w:r>
      </w:hyperlink>
    </w:p>
    <w:p>
      <w:pPr>
        <w:pStyle w:val="BodyText"/>
      </w:pPr>
      <w:r>
        <w:t xml:space="preserve">The biggest data limitation is also clear. Official live/historical endpoints cover markets, trades, orders, fills, and candlesticks, with older records moved to historical endpoints and a target live window of about three months. But the official historical partition does</w:t>
      </w:r>
      <w:r>
        <w:t xml:space="preserve"> </w:t>
      </w:r>
      <w:r>
        <w:rPr>
          <w:b/>
          <w:bCs/>
        </w:rPr>
        <w:t xml:space="preserve">not</w:t>
      </w:r>
      <w:r>
        <w:t xml:space="preserve"> </w:t>
      </w:r>
      <w:r>
        <w:t xml:space="preserve">include historical order-book depth; replayable spread and queue dynamics must therefore be self-collected going forward from the WebSocket order-book stream, or approximated with a synthetic queue-reactive generator for pre-production research.</w:t>
      </w:r>
      <w:r>
        <w:t xml:space="preserve"> </w:t>
      </w:r>
      <w:hyperlink r:id="rId23">
        <w:r>
          <w:rPr>
            <w:rStyle w:val="Hyperlink"/>
          </w:rPr>
          <w:t xml:space="preserve">[4]</w:t>
        </w:r>
      </w:hyperlink>
    </w:p>
    <w:bookmarkEnd w:id="24"/>
    <w:bookmarkStart w:id="42" w:name="Xb4df059eabee23cf3c8bbb0b91550bd2c8f07a9"/>
    <w:p>
      <w:pPr>
        <w:pStyle w:val="Heading2"/>
      </w:pPr>
      <w:r>
        <w:t xml:space="preserve">Exchange microstructure and prioritized data</w:t>
      </w:r>
    </w:p>
    <w:p>
      <w:pPr>
        <w:pStyle w:val="FirstParagraph"/>
      </w:pPr>
      <w:r>
        <w:t xml:space="preserve">Kalshi weather markets are organized as recurring series. For example, the official series endpoint shows</w:t>
      </w:r>
      <w:r>
        <w:t xml:space="preserve"> </w:t>
      </w:r>
      <w:r>
        <w:rPr>
          <w:rStyle w:val="VerbatimChar"/>
        </w:rPr>
        <w:t xml:space="preserve">KXHIGHNY</w:t>
      </w:r>
      <w:r>
        <w:t xml:space="preserve"> </w:t>
      </w:r>
      <w:r>
        <w:t xml:space="preserve">as “Daily Weather in NYC,” categorized under weather, and current market records for that series show binary markets with a $1.00 notional value and per-market pricing metadata such as</w:t>
      </w:r>
      <w:r>
        <w:t xml:space="preserve"> </w:t>
      </w:r>
      <w:r>
        <w:rPr>
          <w:rStyle w:val="VerbatimChar"/>
        </w:rPr>
        <w:t xml:space="preserve">price_level_structure</w:t>
      </w:r>
      <w:r>
        <w:t xml:space="preserve">. In the example market snapshot opened during this research, the market had</w:t>
      </w:r>
      <w:r>
        <w:t xml:space="preserve"> </w:t>
      </w:r>
      <w:r>
        <w:rPr>
          <w:rStyle w:val="VerbatimChar"/>
        </w:rPr>
        <w:t xml:space="preserve">market_type: binary</w:t>
      </w:r>
      <w:r>
        <w:t xml:space="preserve">,</w:t>
      </w:r>
      <w:r>
        <w:t xml:space="preserve"> </w:t>
      </w:r>
      <w:r>
        <w:rPr>
          <w:rStyle w:val="VerbatimChar"/>
        </w:rPr>
        <w:t xml:space="preserve">notional_value_dollars: 1.0000</w:t>
      </w:r>
      <w:r>
        <w:t xml:space="preserve">, and</w:t>
      </w:r>
      <w:r>
        <w:t xml:space="preserve"> </w:t>
      </w:r>
      <w:r>
        <w:rPr>
          <w:rStyle w:val="VerbatimChar"/>
        </w:rPr>
        <w:t xml:space="preserve">price_level_structure: linear_cent</w:t>
      </w:r>
      <w:r>
        <w:t xml:space="preserve">, which is consistent with a one-cent tick ladder for that market. Separately, Kalshi’s fixed-point migration docs state that some markets can also use subpenny structures (</w:t>
      </w:r>
      <w:r>
        <w:rPr>
          <w:rStyle w:val="VerbatimChar"/>
        </w:rPr>
        <w:t xml:space="preserve">tapered_deci_cent</w:t>
      </w:r>
      <w:r>
        <w:t xml:space="preserve"> </w:t>
      </w:r>
      <w:r>
        <w:t xml:space="preserve">or</w:t>
      </w:r>
      <w:r>
        <w:t xml:space="preserve"> </w:t>
      </w:r>
      <w:r>
        <w:rPr>
          <w:rStyle w:val="VerbatimChar"/>
        </w:rPr>
        <w:t xml:space="preserve">deci_cent</w:t>
      </w:r>
      <w:r>
        <w:t xml:space="preserve">) and that both prices and quantities are now represented in fixed-point strings.</w:t>
      </w:r>
      <w:r>
        <w:t xml:space="preserve"> </w:t>
      </w:r>
      <w:hyperlink r:id="rId25">
        <w:r>
          <w:rPr>
            <w:rStyle w:val="Hyperlink"/>
          </w:rPr>
          <w:t xml:space="preserve">[5]</w:t>
        </w:r>
      </w:hyperlink>
    </w:p>
    <w:p>
      <w:pPr>
        <w:pStyle w:val="BodyText"/>
      </w:pPr>
      <w:r>
        <w:t xml:space="preserve">The order book is a conventional central limit order book with a binary-market twist: for a binary contract, a Yes bid at price</w:t>
      </w:r>
      <w:r>
        <w:t xml:space="preserve"> </w:t>
      </w:r>
      <m:oMath>
        <m:r>
          <m:t>x</m:t>
        </m:r>
      </m:oMath>
      <w:r>
        <w:t xml:space="preserve"> </w:t>
      </w:r>
      <w:r>
        <w:t xml:space="preserve">is equivalent to a No ask at</w:t>
      </w:r>
      <w:r>
        <w:t xml:space="preserve"> </w:t>
      </w:r>
      <m:oMath>
        <m:r>
          <m:t>1</m:t>
        </m:r>
        <m:r>
          <m:rPr>
            <m:sty m:val="p"/>
          </m:rPr>
          <m:t>−</m:t>
        </m:r>
        <m:r>
          <m:t>x</m:t>
        </m:r>
      </m:oMath>
      <w:r>
        <w:t xml:space="preserve">, so the REST order-book endpoint returns Yes bids and No bids only. The rulebook filed with the Commodity Futures Trading Commission</w:t>
      </w:r>
      <w:hyperlink r:id="rId26">
        <w:r>
          <w:rPr>
            <w:rStyle w:val="Hyperlink"/>
          </w:rPr>
          <w:t xml:space="preserve">[6]</w:t>
        </w:r>
      </w:hyperlink>
      <w:r>
        <w:t xml:space="preserve"> </w:t>
      </w:r>
      <w:r>
        <w:t xml:space="preserve">states that Kalshi’s matching algorithm executes orders first by price and then by time priority, and fills on an “or better” basis. If a buy order crosses the best offer, it is executed at the better resting offer prices until exhausted or fully filled, and any remainder stays resting at its limit.</w:t>
      </w:r>
      <w:r>
        <w:t xml:space="preserve"> </w:t>
      </w:r>
      <w:hyperlink r:id="rId27">
        <w:r>
          <w:rPr>
            <w:rStyle w:val="Hyperlink"/>
          </w:rPr>
          <w:t xml:space="preserve">[7]</w:t>
        </w:r>
      </w:hyperlink>
    </w:p>
    <w:p>
      <w:pPr>
        <w:pStyle w:val="BodyText"/>
      </w:pPr>
      <w:r>
        <w:t xml:space="preserve">Order-entry controls are rich enough for serious execution work even though the core book is limit-order based. The FIX order-entry docs show limit order type support, time-in-force values of Day, GTC, IOC, FOK, and GTD, plus Post Only, self-trade prevention modes, maximum execution cost, cancel-on-pause flags, and subaccount routing. The REST create-order schema likewise exposes fields such as</w:t>
      </w:r>
      <w:r>
        <w:t xml:space="preserve"> </w:t>
      </w:r>
      <w:r>
        <w:rPr>
          <w:rStyle w:val="VerbatimChar"/>
        </w:rPr>
        <w:t xml:space="preserve">time_in_force</w:t>
      </w:r>
      <w:r>
        <w:t xml:space="preserve">,</w:t>
      </w:r>
      <w:r>
        <w:t xml:space="preserve"> </w:t>
      </w:r>
      <w:r>
        <w:rPr>
          <w:rStyle w:val="VerbatimChar"/>
        </w:rPr>
        <w:t xml:space="preserve">post_only</w:t>
      </w:r>
      <w:r>
        <w:t xml:space="preserve">,</w:t>
      </w:r>
      <w:r>
        <w:t xml:space="preserve"> </w:t>
      </w:r>
      <w:r>
        <w:rPr>
          <w:rStyle w:val="VerbatimChar"/>
        </w:rPr>
        <w:t xml:space="preserve">reduce_only</w:t>
      </w:r>
      <w:r>
        <w:t xml:space="preserve">,</w:t>
      </w:r>
      <w:r>
        <w:t xml:space="preserve"> </w:t>
      </w:r>
      <w:r>
        <w:rPr>
          <w:rStyle w:val="VerbatimChar"/>
        </w:rPr>
        <w:t xml:space="preserve">buy_max_cost</w:t>
      </w:r>
      <w:r>
        <w:t xml:space="preserve">,</w:t>
      </w:r>
      <w:r>
        <w:t xml:space="preserve"> </w:t>
      </w:r>
      <w:r>
        <w:rPr>
          <w:rStyle w:val="VerbatimChar"/>
        </w:rPr>
        <w:t xml:space="preserve">sell_position_floor</w:t>
      </w:r>
      <w:r>
        <w:t xml:space="preserve">,</w:t>
      </w:r>
      <w:r>
        <w:t xml:space="preserve"> </w:t>
      </w:r>
      <w:r>
        <w:rPr>
          <w:rStyle w:val="VerbatimChar"/>
        </w:rPr>
        <w:t xml:space="preserve">self_trade_prevention_type</w:t>
      </w:r>
      <w:r>
        <w:t xml:space="preserve">, and</w:t>
      </w:r>
      <w:r>
        <w:t xml:space="preserve"> </w:t>
      </w:r>
      <w:r>
        <w:rPr>
          <w:rStyle w:val="VerbatimChar"/>
        </w:rPr>
        <w:t xml:space="preserve">cancel_order_on_pause</w:t>
      </w:r>
      <w:r>
        <w:t xml:space="preserve">. The same FIX docs also state that changing price, or increasing quantity at the same point, forfeits queue position.</w:t>
      </w:r>
      <w:r>
        <w:t xml:space="preserve"> </w:t>
      </w:r>
      <w:hyperlink r:id="rId28">
        <w:r>
          <w:rPr>
            <w:rStyle w:val="Hyperlink"/>
          </w:rPr>
          <w:t xml:space="preserve">[8]</w:t>
        </w:r>
      </w:hyperlink>
    </w:p>
    <w:p>
      <w:pPr>
        <w:pStyle w:val="BodyText"/>
      </w:pPr>
      <w:r>
        <w:t xml:space="preserve">Fees matter enough to belong inside the execution objective. The Feb. 5, 2026 fee schedule says immediately matched trades are charged a general fee of</w:t>
      </w:r>
      <w:r>
        <w:br/>
      </w:r>
    </w:p>
    <w:p>
      <w:pPr>
        <w:pStyle w:val="BodyText"/>
      </w:pPr>
      <m:oMathPara>
        <m:oMathParaPr>
          <m:jc m:val="center"/>
        </m:oMathParaPr>
        <m:oMath>
          <m:r>
            <m:rPr>
              <m:nor/>
              <m:sty m:val="p"/>
            </m:rPr>
            <m:t>fee</m:t>
          </m:r>
          <m:r>
            <m:rPr>
              <m:sty m:val="p"/>
            </m:rPr>
            <m:t>=</m:t>
          </m:r>
          <m:r>
            <m:rPr>
              <m:sty m:val="p"/>
            </m:rPr>
            <m:t>⌈</m:t>
          </m:r>
          <m:r>
            <m:t>0.07</m:t>
          </m:r>
          <m:r>
            <m:rPr>
              <m:sty m:val="p"/>
            </m:rPr>
            <m:t>⋅</m:t>
          </m:r>
          <m:r>
            <m:t>C</m:t>
          </m:r>
          <m:r>
            <m:rPr>
              <m:sty m:val="p"/>
            </m:rPr>
            <m:t>⋅</m:t>
          </m:r>
          <m:r>
            <m:t>P</m:t>
          </m:r>
          <m:r>
            <m:rPr>
              <m:sty m:val="p"/>
            </m:rPr>
            <m:t>⋅</m:t>
          </m:r>
          <m:d>
            <m:dPr>
              <m:begChr m:val="("/>
              <m:sepChr m:val=""/>
              <m:endChr m:val=")"/>
              <m:grow/>
            </m:dPr>
            <m:e>
              <m:r>
                <m:t>1</m:t>
              </m:r>
              <m:r>
                <m:rPr>
                  <m:sty m:val="p"/>
                </m:rPr>
                <m:t>−</m:t>
              </m:r>
              <m:r>
                <m:t>P</m:t>
              </m:r>
            </m:e>
          </m:d>
          <m:r>
            <m:rPr>
              <m:sty m:val="p"/>
            </m:rPr>
            <m:t>⌉</m:t>
          </m:r>
          <m:r>
            <m:rPr>
              <m:sty m:val="p"/>
            </m:rPr>
            <m:t>,</m:t>
          </m:r>
        </m:oMath>
      </m:oMathPara>
    </w:p>
    <w:p>
      <w:pPr>
        <w:pStyle w:val="FirstParagraph"/>
      </w:pPr>
      <w:r>
        <w:t xml:space="preserve">while maker fees, where applicable, use</w:t>
      </w:r>
      <w:r>
        <w:br/>
      </w:r>
    </w:p>
    <w:p>
      <w:pPr>
        <w:pStyle w:val="BodyText"/>
      </w:pPr>
      <m:oMathPara>
        <m:oMathParaPr>
          <m:jc m:val="center"/>
        </m:oMathParaPr>
        <m:oMath>
          <m:r>
            <m:rPr>
              <m:nor/>
              <m:sty m:val="p"/>
            </m:rPr>
            <m:t>maker fee</m:t>
          </m:r>
          <m:r>
            <m:rPr>
              <m:sty m:val="p"/>
            </m:rPr>
            <m:t>=</m:t>
          </m:r>
          <m:r>
            <m:rPr>
              <m:sty m:val="p"/>
            </m:rPr>
            <m:t>⌈</m:t>
          </m:r>
          <m:r>
            <m:t>0.0175</m:t>
          </m:r>
          <m:r>
            <m:rPr>
              <m:sty m:val="p"/>
            </m:rPr>
            <m:t>⋅</m:t>
          </m:r>
          <m:r>
            <m:t>C</m:t>
          </m:r>
          <m:r>
            <m:rPr>
              <m:sty m:val="p"/>
            </m:rPr>
            <m:t>⋅</m:t>
          </m:r>
          <m:r>
            <m:t>P</m:t>
          </m:r>
          <m:r>
            <m:rPr>
              <m:sty m:val="p"/>
            </m:rPr>
            <m:t>⋅</m:t>
          </m:r>
          <m:d>
            <m:dPr>
              <m:begChr m:val="("/>
              <m:sepChr m:val=""/>
              <m:endChr m:val=")"/>
              <m:grow/>
            </m:dPr>
            <m:e>
              <m:r>
                <m:t>1</m:t>
              </m:r>
              <m:r>
                <m:rPr>
                  <m:sty m:val="p"/>
                </m:rPr>
                <m:t>−</m:t>
              </m:r>
              <m:r>
                <m:t>P</m:t>
              </m:r>
            </m:e>
          </m:d>
          <m:r>
            <m:rPr>
              <m:sty m:val="p"/>
            </m:rPr>
            <m:t>⌉</m:t>
          </m:r>
          <m:r>
            <m:rPr>
              <m:sty m:val="p"/>
            </m:rPr>
            <m:t>.</m:t>
          </m:r>
        </m:oMath>
      </m:oMathPara>
    </w:p>
    <w:p>
      <w:pPr>
        <w:pStyle w:val="FirstParagraph"/>
      </w:pPr>
      <w:r>
        <w:t xml:space="preserve">It also says that maker fees are charged only if the resting order actually executes and that canceling a resting order has no fee. The schedule separately states there is no settlement fee and no membership fee.</w:t>
      </w:r>
      <w:r>
        <w:t xml:space="preserve"> </w:t>
      </w:r>
      <w:hyperlink r:id="rId29">
        <w:r>
          <w:rPr>
            <w:rStyle w:val="Hyperlink"/>
          </w:rPr>
          <w:t xml:space="preserve">[9]</w:t>
        </w:r>
      </w:hyperlink>
    </w:p>
    <w:p>
      <w:pPr>
        <w:pStyle w:val="BodyText"/>
      </w:pPr>
      <w:r>
        <w:t xml:space="preserve">Two data-collection implications follow immediately. First, the exchange now provides an official queue-position view for your own resting orders:</w:t>
      </w:r>
      <w:r>
        <w:t xml:space="preserve"> </w:t>
      </w:r>
      <w:r>
        <w:rPr>
          <w:rStyle w:val="VerbatimChar"/>
        </w:rPr>
        <w:t xml:space="preserve">GET /portfolio/orders/{order_id}/queue_position</w:t>
      </w:r>
      <w:r>
        <w:t xml:space="preserve"> </w:t>
      </w:r>
      <w:r>
        <w:t xml:space="preserve">and</w:t>
      </w:r>
      <w:r>
        <w:t xml:space="preserve"> </w:t>
      </w:r>
      <w:r>
        <w:rPr>
          <w:rStyle w:val="VerbatimChar"/>
        </w:rPr>
        <w:t xml:space="preserve">GET /portfolio/orders/queue_positions</w:t>
      </w:r>
      <w:r>
        <w:t xml:space="preserve">, with</w:t>
      </w:r>
      <w:r>
        <w:t xml:space="preserve"> </w:t>
      </w:r>
      <w:r>
        <w:rPr>
          <w:rStyle w:val="VerbatimChar"/>
        </w:rPr>
        <w:t xml:space="preserve">queue_position_fp</w:t>
      </w:r>
      <w:r>
        <w:t xml:space="preserve"> </w:t>
      </w:r>
      <w:r>
        <w:t xml:space="preserve">defined as the number of preceding shares/contracts, and the changelog notes the field is 0-indexed. Second, Kalshi’s WebSocket stack is now good enough to support event-driven execution modeling:</w:t>
      </w:r>
      <w:r>
        <w:t xml:space="preserve"> </w:t>
      </w:r>
      <w:r>
        <w:rPr>
          <w:rStyle w:val="VerbatimChar"/>
        </w:rPr>
        <w:t xml:space="preserve">orderbook_delta</w:t>
      </w:r>
      <w:r>
        <w:t xml:space="preserve"> </w:t>
      </w:r>
      <w:r>
        <w:t xml:space="preserve">sends a snapshot first and then deltas;</w:t>
      </w:r>
      <w:r>
        <w:t xml:space="preserve"> </w:t>
      </w:r>
      <w:r>
        <w:rPr>
          <w:rStyle w:val="VerbatimChar"/>
        </w:rPr>
        <w:t xml:space="preserve">trade</w:t>
      </w:r>
      <w:r>
        <w:t xml:space="preserve"> </w:t>
      </w:r>
      <w:r>
        <w:t xml:space="preserve">sends public executions with side, size, price, and timestamp; and the</w:t>
      </w:r>
      <w:r>
        <w:t xml:space="preserve"> </w:t>
      </w:r>
      <w:r>
        <w:rPr>
          <w:rStyle w:val="VerbatimChar"/>
        </w:rPr>
        <w:t xml:space="preserve">ticker</w:t>
      </w:r>
      <w:r>
        <w:t xml:space="preserve"> </w:t>
      </w:r>
      <w:r>
        <w:t xml:space="preserve">channel now includes top-of-book sizes and last-trade size.</w:t>
      </w:r>
      <w:r>
        <w:t xml:space="preserve"> </w:t>
      </w:r>
      <w:hyperlink r:id="rId30">
        <w:r>
          <w:rPr>
            <w:rStyle w:val="Hyperlink"/>
          </w:rPr>
          <w:t xml:space="preserve">[10]</w:t>
        </w:r>
      </w:hyperlink>
    </w:p>
    <w:bookmarkStart w:id="35" w:name="key-venue-attributes"/>
    <w:p>
      <w:pPr>
        <w:pStyle w:val="Heading3"/>
      </w:pPr>
      <w:r>
        <w:t xml:space="preserve">Key venue attributes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What the docs imply for execution modeling</w:t>
            </w:r>
          </w:p>
        </w:tc>
      </w:tr>
      <w:tr>
        <w:tc>
          <w:tcPr/>
          <w:p>
            <w:pPr>
              <w:pStyle w:val="Compact"/>
            </w:pPr>
            <w:r>
              <w:t xml:space="preserve">Contract economics</w:t>
            </w:r>
          </w:p>
        </w:tc>
        <w:tc>
          <w:tcPr/>
          <w:p>
            <w:pPr>
              <w:pStyle w:val="Compact"/>
            </w:pPr>
            <w:r>
              <w:t xml:space="preserve">Binary Yes/No contracts; current weather-market example shows $1.00 notional per contract.</w:t>
            </w:r>
            <w:r>
              <w:t xml:space="preserve"> </w:t>
            </w:r>
            <w:hyperlink r:id="rId31">
              <w:r>
                <w:rPr>
                  <w:rStyle w:val="Hyperlink"/>
                </w:rPr>
                <w:t xml:space="preserve">[11]</w:t>
              </w:r>
            </w:hyperlink>
          </w:p>
        </w:tc>
      </w:tr>
      <w:tr>
        <w:tc>
          <w:tcPr/>
          <w:p>
            <w:pPr>
              <w:pStyle w:val="Compact"/>
            </w:pPr>
            <w:r>
              <w:t xml:space="preserve">Tick size</w:t>
            </w:r>
          </w:p>
        </w:tc>
        <w:tc>
          <w:tcPr/>
          <w:p>
            <w:pPr>
              <w:pStyle w:val="Compact"/>
            </w:pPr>
            <w:r>
              <w:t xml:space="preserve">Market-dependent; fixed-point docs define</w:t>
            </w:r>
            <w:r>
              <w:t xml:space="preserve"> </w:t>
            </w:r>
            <w:r>
              <w:rPr>
                <w:rStyle w:val="VerbatimChar"/>
              </w:rPr>
              <w:t xml:space="preserve">linear_cent</w:t>
            </w:r>
            <w:r>
              <w:t xml:space="preserve"> </w:t>
            </w:r>
            <w:r>
              <w:t xml:space="preserve">as $0.01 ticks,</w:t>
            </w:r>
            <w:r>
              <w:t xml:space="preserve"> </w:t>
            </w:r>
            <w:r>
              <w:rPr>
                <w:rStyle w:val="VerbatimChar"/>
              </w:rPr>
              <w:t xml:space="preserve">tapered_deci_cent</w:t>
            </w:r>
            <w:r>
              <w:t xml:space="preserve"> </w:t>
            </w:r>
            <w:r>
              <w:t xml:space="preserve">as $0.001 at tails and $0.01 in the middle, and</w:t>
            </w:r>
            <w:r>
              <w:t xml:space="preserve"> </w:t>
            </w:r>
            <w:r>
              <w:rPr>
                <w:rStyle w:val="VerbatimChar"/>
              </w:rPr>
              <w:t xml:space="preserve">deci_cent</w:t>
            </w:r>
            <w:r>
              <w:t xml:space="preserve"> </w:t>
            </w:r>
            <w:r>
              <w:t xml:space="preserve">as $0.001 throughout.</w:t>
            </w:r>
            <w:r>
              <w:t xml:space="preserve"> </w:t>
            </w:r>
            <w:hyperlink r:id="rId32">
              <w:r>
                <w:rPr>
                  <w:rStyle w:val="Hyperlink"/>
                </w:rPr>
                <w:t xml:space="preserve">[12]</w:t>
              </w:r>
            </w:hyperlink>
          </w:p>
        </w:tc>
      </w:tr>
      <w:tr>
        <w:tc>
          <w:tcPr/>
          <w:p>
            <w:pPr>
              <w:pStyle w:val="Compact"/>
            </w:pPr>
            <w:r>
              <w:t xml:space="preserve">Matching engine</w:t>
            </w:r>
          </w:p>
        </w:tc>
        <w:tc>
          <w:tcPr/>
          <w:p>
            <w:pPr>
              <w:pStyle w:val="Compact"/>
            </w:pPr>
            <w:r>
              <w:t xml:space="preserve">Central limit order book, price-time priority, “or better” fills, residual rests at limit.</w:t>
            </w:r>
            <w:r>
              <w:t xml:space="preserve"> </w:t>
            </w:r>
            <w:hyperlink r:id="rId21">
              <w:r>
                <w:rPr>
                  <w:rStyle w:val="Hyperlink"/>
                </w:rPr>
                <w:t xml:space="preserve">[13]</w:t>
              </w:r>
            </w:hyperlink>
          </w:p>
        </w:tc>
      </w:tr>
      <w:tr>
        <w:tc>
          <w:tcPr/>
          <w:p>
            <w:pPr>
              <w:pStyle w:val="Compact"/>
            </w:pPr>
            <w:r>
              <w:t xml:space="preserve">Book representation</w:t>
            </w:r>
          </w:p>
        </w:tc>
        <w:tc>
          <w:tcPr/>
          <w:p>
            <w:pPr>
              <w:pStyle w:val="Compact"/>
            </w:pPr>
            <w:r>
              <w:t xml:space="preserve">REST order book returns Yes bids and No bids only because Yes bid = No ask symmetry in a binary market.</w:t>
            </w:r>
            <w:r>
              <w:t xml:space="preserve"> </w:t>
            </w:r>
            <w:hyperlink r:id="rId27">
              <w:r>
                <w:rPr>
                  <w:rStyle w:val="Hyperlink"/>
                </w:rPr>
                <w:t xml:space="preserve">[14]</w:t>
              </w:r>
            </w:hyperlink>
          </w:p>
        </w:tc>
      </w:tr>
      <w:tr>
        <w:tc>
          <w:tcPr/>
          <w:p>
            <w:pPr>
              <w:pStyle w:val="Compact"/>
            </w:pPr>
            <w:r>
              <w:t xml:space="preserve">Order controls</w:t>
            </w:r>
          </w:p>
        </w:tc>
        <w:tc>
          <w:tcPr/>
          <w:p>
            <w:pPr>
              <w:pStyle w:val="Compact"/>
            </w:pPr>
            <w:r>
              <w:t xml:space="preserve">Limit orders, TIFs including Day/GTC/IOC/FOK/GTD, Post Only, STP, max execution cost, cancel-on-pause, subaccounts.</w:t>
            </w:r>
            <w:r>
              <w:t xml:space="preserve"> </w:t>
            </w:r>
            <w:hyperlink r:id="rId28">
              <w:r>
                <w:rPr>
                  <w:rStyle w:val="Hyperlink"/>
                </w:rPr>
                <w:t xml:space="preserve">[8]</w:t>
              </w:r>
            </w:hyperlink>
          </w:p>
        </w:tc>
      </w:tr>
      <w:tr>
        <w:tc>
          <w:tcPr/>
          <w:p>
            <w:pPr>
              <w:pStyle w:val="Compact"/>
            </w:pPr>
            <w:r>
              <w:t xml:space="preserve">Queue observability</w:t>
            </w:r>
          </w:p>
        </w:tc>
        <w:tc>
          <w:tcPr/>
          <w:p>
            <w:pPr>
              <w:pStyle w:val="Compact"/>
            </w:pPr>
            <w:r>
              <w:t xml:space="preserve">Official queue-position endpoints for your resting orders; 0-indexed</w:t>
            </w:r>
            <w:r>
              <w:t xml:space="preserve"> </w:t>
            </w:r>
            <w:r>
              <w:rPr>
                <w:rStyle w:val="VerbatimChar"/>
              </w:rPr>
              <w:t xml:space="preserve">queue_position_fp</w:t>
            </w:r>
            <w:r>
              <w:t xml:space="preserve">.</w:t>
            </w:r>
            <w:r>
              <w:t xml:space="preserve"> </w:t>
            </w:r>
            <w:hyperlink r:id="rId30">
              <w:r>
                <w:rPr>
                  <w:rStyle w:val="Hyperlink"/>
                </w:rPr>
                <w:t xml:space="preserve">[15]</w:t>
              </w:r>
            </w:hyperlink>
          </w:p>
        </w:tc>
      </w:tr>
      <w:tr>
        <w:tc>
          <w:tcPr/>
          <w:p>
            <w:pPr>
              <w:pStyle w:val="Compact"/>
            </w:pPr>
            <w:r>
              <w:t xml:space="preserve">Editing implications</w:t>
            </w:r>
          </w:p>
        </w:tc>
        <w:tc>
          <w:tcPr/>
          <w:p>
            <w:pPr>
              <w:pStyle w:val="Compact"/>
            </w:pPr>
            <w:r>
              <w:t xml:space="preserve">Price changes and same-price quantity increases forfeit queue priority; quantity reductions can be handled with Decrease Order.</w:t>
            </w:r>
            <w:r>
              <w:t xml:space="preserve"> </w:t>
            </w:r>
            <w:hyperlink r:id="rId28">
              <w:r>
                <w:rPr>
                  <w:rStyle w:val="Hyperlink"/>
                </w:rPr>
                <w:t xml:space="preserve">[16]</w:t>
              </w:r>
            </w:hyperlink>
          </w:p>
        </w:tc>
      </w:tr>
      <w:tr>
        <w:tc>
          <w:tcPr/>
          <w:p>
            <w:pPr>
              <w:pStyle w:val="Compact"/>
            </w:pPr>
            <w:r>
              <w:t xml:space="preserve">Fees</w:t>
            </w:r>
          </w:p>
        </w:tc>
        <w:tc>
          <w:tcPr/>
          <w:p>
            <w:pPr>
              <w:pStyle w:val="Compact"/>
            </w:pPr>
            <w:r>
              <w:t xml:space="preserve">Taker-style fee formula, lower maker-fee formula where applicable, no settlement/membership fee, canceling resting orders is free.</w:t>
            </w:r>
            <w:r>
              <w:t xml:space="preserve"> </w:t>
            </w:r>
            <w:hyperlink r:id="rId29">
              <w:r>
                <w:rPr>
                  <w:rStyle w:val="Hyperlink"/>
                </w:rPr>
                <w:t xml:space="preserve">[9]</w:t>
              </w:r>
            </w:hyperlink>
          </w:p>
        </w:tc>
      </w:tr>
      <w:tr>
        <w:tc>
          <w:tcPr/>
          <w:p>
            <w:pPr>
              <w:pStyle w:val="Compact"/>
            </w:pPr>
            <w:r>
              <w:t xml:space="preserve">API limits</w:t>
            </w:r>
          </w:p>
        </w:tc>
        <w:tc>
          <w:tcPr/>
          <w:p>
            <w:pPr>
              <w:pStyle w:val="Compact"/>
            </w:pPr>
            <w:r>
              <w:t xml:space="preserve">Published rate tiers range from Basic 20 read / 10 write per second to Prime 400 / 400.</w:t>
            </w:r>
            <w:r>
              <w:t xml:space="preserve"> </w:t>
            </w:r>
            <w:hyperlink r:id="rId33">
              <w:r>
                <w:rPr>
                  <w:rStyle w:val="Hyperlink"/>
                </w:rPr>
                <w:t xml:space="preserve">[17]</w:t>
              </w:r>
            </w:hyperlink>
          </w:p>
        </w:tc>
      </w:tr>
      <w:tr>
        <w:tc>
          <w:tcPr/>
          <w:p>
            <w:pPr>
              <w:pStyle w:val="Compact"/>
            </w:pPr>
            <w:r>
              <w:t xml:space="preserve">Market close behavior</w:t>
            </w:r>
          </w:p>
        </w:tc>
        <w:tc>
          <w:tcPr/>
          <w:p>
            <w:pPr>
              <w:pStyle w:val="Compact"/>
            </w:pPr>
            <w:r>
              <w:t xml:space="preserve">After</w:t>
            </w:r>
            <w:r>
              <w:t xml:space="preserve"> </w:t>
            </w:r>
            <w:r>
              <w:rPr>
                <w:rStyle w:val="VerbatimChar"/>
              </w:rPr>
              <w:t xml:space="preserve">close_time</w:t>
            </w:r>
            <w:r>
              <w:t xml:space="preserve">, order operations are rejected with</w:t>
            </w:r>
            <w:r>
              <w:t xml:space="preserve"> </w:t>
            </w:r>
            <w:r>
              <w:rPr>
                <w:rStyle w:val="VerbatimChar"/>
              </w:rPr>
              <w:t xml:space="preserve">MARKET_INACTIVE</w:t>
            </w:r>
            <w:r>
              <w:t xml:space="preserve">; resting orders are canceled shortly after close.</w:t>
            </w:r>
            <w:r>
              <w:t xml:space="preserve"> </w:t>
            </w:r>
            <w:hyperlink r:id="rId34">
              <w:r>
                <w:rPr>
                  <w:rStyle w:val="Hyperlink"/>
                </w:rPr>
                <w:t xml:space="preserve">[18]</w:t>
              </w:r>
            </w:hyperlink>
          </w:p>
        </w:tc>
      </w:tr>
    </w:tbl>
    <w:bookmarkEnd w:id="35"/>
    <w:bookmarkStart w:id="41" w:name="prioritized-source-stack"/>
    <w:p>
      <w:pPr>
        <w:pStyle w:val="Heading3"/>
      </w:pPr>
      <w:r>
        <w:t xml:space="preserve">Prioritized source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Priority</w:t>
            </w:r>
          </w:p>
        </w:tc>
        <w:tc>
          <w:tcPr/>
          <w:p>
            <w:pPr>
              <w:pStyle w:val="Compact"/>
            </w:pPr>
            <w:r>
              <w:t xml:space="preserve">Source</w:t>
            </w:r>
          </w:p>
        </w:tc>
        <w:tc>
          <w:tcPr/>
          <w:p>
            <w:pPr>
              <w:pStyle w:val="Compact"/>
            </w:pPr>
            <w:r>
              <w:t xml:space="preserve">Use in the model</w:t>
            </w:r>
          </w:p>
        </w:tc>
      </w:tr>
      <w:tr>
        <w:tc>
          <w:tcPr/>
          <w:p>
            <w:pPr>
              <w:pStyle w:val="Compact"/>
            </w:pPr>
            <w:r>
              <w:t xml:space="preserve">Highest</w:t>
            </w:r>
          </w:p>
        </w:tc>
        <w:tc>
          <w:tcPr/>
          <w:p>
            <w:pPr>
              <w:pStyle w:val="Compact"/>
            </w:pPr>
            <w:r>
              <w:t xml:space="preserve">WebSocket</w:t>
            </w:r>
            <w:r>
              <w:t xml:space="preserve"> </w:t>
            </w:r>
            <w:r>
              <w:rPr>
                <w:rStyle w:val="VerbatimChar"/>
              </w:rPr>
              <w:t xml:space="preserve">orderbook_delta</w:t>
            </w:r>
            <w:r>
              <w:t xml:space="preserve">,</w:t>
            </w:r>
            <w:r>
              <w:t xml:space="preserve"> </w:t>
            </w:r>
            <w:r>
              <w:rPr>
                <w:rStyle w:val="VerbatimChar"/>
              </w:rPr>
              <w:t xml:space="preserve">trade</w:t>
            </w:r>
            <w:r>
              <w:t xml:space="preserve">,</w:t>
            </w:r>
            <w:r>
              <w:t xml:space="preserve"> </w:t>
            </w:r>
            <w:r>
              <w:rPr>
                <w:rStyle w:val="VerbatimChar"/>
              </w:rPr>
              <w:t xml:space="preserve">ticker</w:t>
            </w:r>
            <w:r>
              <w:t xml:space="preserve">,</w:t>
            </w:r>
            <w:r>
              <w:t xml:space="preserve"> </w:t>
            </w:r>
            <w:r>
              <w:rPr>
                <w:rStyle w:val="VerbatimChar"/>
              </w:rPr>
              <w:t xml:space="preserve">fill</w:t>
            </w:r>
            <w:r>
              <w:t xml:space="preserve">,</w:t>
            </w:r>
            <w:r>
              <w:t xml:space="preserve"> </w:t>
            </w:r>
            <w:r>
              <w:rPr>
                <w:rStyle w:val="VerbatimChar"/>
              </w:rPr>
              <w:t xml:space="preserve">user orders</w:t>
            </w:r>
            <w:r>
              <w:t xml:space="preserve">, and lifecycle channels.</w:t>
            </w:r>
            <w:r>
              <w:t xml:space="preserve"> </w:t>
            </w:r>
            <w:hyperlink r:id="rId36">
              <w:r>
                <w:rPr>
                  <w:rStyle w:val="Hyperlink"/>
                </w:rPr>
                <w:t xml:space="preserve">[19]</w:t>
              </w:r>
            </w:hyperlink>
          </w:p>
        </w:tc>
        <w:tc>
          <w:tcPr/>
          <w:p>
            <w:pPr>
              <w:pStyle w:val="Compact"/>
            </w:pPr>
            <w:r>
              <w:t xml:space="preserve">Primary event stream for replay, spread, queue depletion, fill labeling, and markout timing.</w:t>
            </w:r>
          </w:p>
        </w:tc>
      </w:tr>
      <w:tr>
        <w:tc>
          <w:tcPr/>
          <w:p>
            <w:pPr>
              <w:pStyle w:val="Compact"/>
            </w:pPr>
            <w:r>
              <w:t xml:space="preserve">Highest</w:t>
            </w:r>
          </w:p>
        </w:tc>
        <w:tc>
          <w:tcPr/>
          <w:p>
            <w:pPr>
              <w:pStyle w:val="Compact"/>
            </w:pPr>
            <w:r>
              <w:t xml:space="preserve">REST queue-position endpoints.</w:t>
            </w:r>
            <w:r>
              <w:t xml:space="preserve"> </w:t>
            </w:r>
            <w:hyperlink r:id="rId30">
              <w:r>
                <w:rPr>
                  <w:rStyle w:val="Hyperlink"/>
                </w:rPr>
                <w:t xml:space="preserve">[15]</w:t>
              </w:r>
            </w:hyperlink>
          </w:p>
        </w:tc>
        <w:tc>
          <w:tcPr/>
          <w:p>
            <w:pPr>
              <w:pStyle w:val="Compact"/>
            </w:pPr>
            <w:r>
              <w:t xml:space="preserve">Ground truth for your actual queue ahead; essential for calibrating cancellation-ahead fractions.</w:t>
            </w:r>
          </w:p>
        </w:tc>
      </w:tr>
      <w:tr>
        <w:tc>
          <w:tcPr/>
          <w:p>
            <w:pPr>
              <w:pStyle w:val="Compact"/>
            </w:pPr>
            <w:r>
              <w:t xml:space="preserve">High</w:t>
            </w:r>
          </w:p>
        </w:tc>
        <w:tc>
          <w:tcPr/>
          <w:p>
            <w:pPr>
              <w:pStyle w:val="Compact"/>
            </w:pPr>
            <w:r>
              <w:t xml:space="preserve">REST</w:t>
            </w:r>
            <w:r>
              <w:t xml:space="preserve"> </w:t>
            </w:r>
            <w:r>
              <w:rPr>
                <w:rStyle w:val="VerbatimChar"/>
              </w:rPr>
              <w:t xml:space="preserve">Get Trades</w:t>
            </w:r>
            <w:r>
              <w:t xml:space="preserve">,</w:t>
            </w:r>
            <w:r>
              <w:t xml:space="preserve"> </w:t>
            </w:r>
            <w:r>
              <w:rPr>
                <w:rStyle w:val="VerbatimChar"/>
              </w:rPr>
              <w:t xml:space="preserve">Get Historical Trades</w:t>
            </w:r>
            <w:r>
              <w:t xml:space="preserve">,</w:t>
            </w:r>
            <w:r>
              <w:t xml:space="preserve"> </w:t>
            </w:r>
            <w:r>
              <w:rPr>
                <w:rStyle w:val="VerbatimChar"/>
              </w:rPr>
              <w:t xml:space="preserve">Get Orders</w:t>
            </w:r>
            <w:r>
              <w:t xml:space="preserve">,</w:t>
            </w:r>
            <w:r>
              <w:t xml:space="preserve"> </w:t>
            </w:r>
            <w:r>
              <w:rPr>
                <w:rStyle w:val="VerbatimChar"/>
              </w:rPr>
              <w:t xml:space="preserve">Get Historical Orders</w:t>
            </w:r>
            <w:r>
              <w:t xml:space="preserve">,</w:t>
            </w:r>
            <w:r>
              <w:t xml:space="preserve"> </w:t>
            </w:r>
            <w:r>
              <w:rPr>
                <w:rStyle w:val="VerbatimChar"/>
              </w:rPr>
              <w:t xml:space="preserve">Get Fills</w:t>
            </w:r>
            <w:r>
              <w:t xml:space="preserve">,</w:t>
            </w:r>
            <w:r>
              <w:t xml:space="preserve"> </w:t>
            </w:r>
            <w:r>
              <w:rPr>
                <w:rStyle w:val="VerbatimChar"/>
              </w:rPr>
              <w:t xml:space="preserve">Get Historical Fills</w:t>
            </w:r>
            <w:r>
              <w:t xml:space="preserve">,</w:t>
            </w:r>
            <w:r>
              <w:t xml:space="preserve"> </w:t>
            </w:r>
            <w:r>
              <w:rPr>
                <w:rStyle w:val="VerbatimChar"/>
              </w:rPr>
              <w:t xml:space="preserve">Get Market(s)</w:t>
            </w:r>
            <w:r>
              <w:t xml:space="preserve">, and candlesticks.</w:t>
            </w:r>
            <w:r>
              <w:t xml:space="preserve"> </w:t>
            </w:r>
            <w:hyperlink r:id="rId37">
              <w:r>
                <w:rPr>
                  <w:rStyle w:val="Hyperlink"/>
                </w:rPr>
                <w:t xml:space="preserve">[20]</w:t>
              </w:r>
            </w:hyperlink>
          </w:p>
        </w:tc>
        <w:tc>
          <w:tcPr/>
          <w:p>
            <w:pPr>
              <w:pStyle w:val="Compact"/>
            </w:pPr>
            <w:r>
              <w:t xml:space="preserve">Backfill fills/trades, market metadata, and coarse time-series features.</w:t>
            </w:r>
          </w:p>
        </w:tc>
      </w:tr>
      <w:tr>
        <w:tc>
          <w:tcPr/>
          <w:p>
            <w:pPr>
              <w:pStyle w:val="Compact"/>
            </w:pPr>
            <w:r>
              <w:t xml:space="preserve">High</w:t>
            </w:r>
          </w:p>
        </w:tc>
        <w:tc>
          <w:tcPr/>
          <w:p>
            <w:pPr>
              <w:pStyle w:val="Compact"/>
            </w:pPr>
            <w:r>
              <w:rPr>
                <w:rStyle w:val="VerbatimChar"/>
              </w:rPr>
              <w:t xml:space="preserve">Get User Data Timestamp</w:t>
            </w:r>
            <w:r>
              <w:t xml:space="preserve">.</w:t>
            </w:r>
            <w:r>
              <w:t xml:space="preserve"> </w:t>
            </w:r>
            <w:hyperlink r:id="rId38">
              <w:r>
                <w:rPr>
                  <w:rStyle w:val="Hyperlink"/>
                </w:rPr>
                <w:t xml:space="preserve">[21]</w:t>
              </w:r>
            </w:hyperlink>
          </w:p>
        </w:tc>
        <w:tc>
          <w:tcPr/>
          <w:p>
            <w:pPr>
              <w:pStyle w:val="Compact"/>
            </w:pPr>
            <w:r>
              <w:t xml:space="preserve">Detect lag between writes and reflected account/order state.</w:t>
            </w:r>
          </w:p>
        </w:tc>
      </w:tr>
      <w:tr>
        <w:tc>
          <w:tcPr/>
          <w:p>
            <w:pPr>
              <w:pStyle w:val="Compact"/>
            </w:pPr>
            <w:r>
              <w:t xml:space="preserve">Medium</w:t>
            </w:r>
          </w:p>
        </w:tc>
        <w:tc>
          <w:tcPr/>
          <w:p>
            <w:pPr>
              <w:pStyle w:val="Compact"/>
            </w:pPr>
            <w:r>
              <w:t xml:space="preserve">RFQ workflow for larger clips.</w:t>
            </w:r>
            <w:r>
              <w:t xml:space="preserve"> </w:t>
            </w:r>
            <w:hyperlink r:id="rId39">
              <w:r>
                <w:rPr>
                  <w:rStyle w:val="Hyperlink"/>
                </w:rPr>
                <w:t xml:space="preserve">[22]</w:t>
              </w:r>
            </w:hyperlink>
          </w:p>
        </w:tc>
        <w:tc>
          <w:tcPr/>
          <w:p>
            <w:pPr>
              <w:pStyle w:val="Compact"/>
            </w:pPr>
            <w:r>
              <w:t xml:space="preserve">Out-of-book alternative when the CLOB is too thin relative to desired size.</w:t>
            </w:r>
          </w:p>
        </w:tc>
      </w:tr>
      <w:tr>
        <w:tc>
          <w:tcPr/>
          <w:p>
            <w:pPr>
              <w:pStyle w:val="Compact"/>
            </w:pPr>
            <w:r>
              <w:t xml:space="preserve">Fallback</w:t>
            </w:r>
          </w:p>
        </w:tc>
        <w:tc>
          <w:tcPr/>
          <w:p>
            <w:pPr>
              <w:pStyle w:val="Compact"/>
            </w:pPr>
            <w:r>
              <w:t xml:space="preserve">Synthetic queue-reactive simulator calibrated from the sources above.</w:t>
            </w:r>
            <w:r>
              <w:t xml:space="preserve"> </w:t>
            </w:r>
            <w:hyperlink r:id="rId40">
              <w:r>
                <w:rPr>
                  <w:rStyle w:val="Hyperlink"/>
                </w:rPr>
                <w:t xml:space="preserve">[23]</w:t>
              </w:r>
            </w:hyperlink>
          </w:p>
        </w:tc>
        <w:tc>
          <w:tcPr/>
          <w:p>
            <w:pPr>
              <w:pStyle w:val="Compact"/>
            </w:pPr>
            <w:r>
              <w:t xml:space="preserve">Used when historical order-book depth was not collected in real time.</w:t>
            </w:r>
          </w:p>
        </w:tc>
      </w:tr>
    </w:tbl>
    <w:bookmarkEnd w:id="41"/>
    <w:bookmarkEnd w:id="42"/>
    <w:bookmarkStart w:id="44" w:name="modeling-methodology"/>
    <w:p>
      <w:pPr>
        <w:pStyle w:val="Heading2"/>
      </w:pPr>
      <w:r>
        <w:t xml:space="preserve">Modeling methodology</w:t>
      </w:r>
    </w:p>
    <w:p>
      <w:pPr>
        <w:pStyle w:val="FirstParagraph"/>
      </w:pPr>
      <w:r>
        <w:t xml:space="preserve">Let</w:t>
      </w:r>
      <w:r>
        <w:t xml:space="preserve"> </w:t>
      </w:r>
      <m:oMath>
        <m:sSub>
          <m:e>
            <m:acc>
              <m:accPr>
                <m:chr m:val="̂"/>
              </m:accPr>
              <m:e>
                <m:r>
                  <m:t>π</m:t>
                </m:r>
              </m:e>
            </m:acc>
          </m:e>
          <m:sub>
            <m:r>
              <m:t>m</m:t>
            </m:r>
            <m:r>
              <m:rPr>
                <m:sty m:val="p"/>
              </m:rPr>
              <m:t>,</m:t>
            </m:r>
            <m:r>
              <m:t>t</m:t>
            </m:r>
          </m:sub>
        </m:sSub>
        <m:r>
          <m:rPr>
            <m:sty m:val="p"/>
          </m:rPr>
          <m:t>∈</m:t>
        </m:r>
        <m:d>
          <m:dPr>
            <m:begChr m:val="["/>
            <m:sepChr m:val=""/>
            <m:endChr m:val="]"/>
            <m:grow/>
          </m:dPr>
          <m:e>
            <m:r>
              <m:t>0</m:t>
            </m:r>
            <m:r>
              <m:rPr>
                <m:sty m:val="p"/>
              </m:rPr>
              <m:t>,</m:t>
            </m:r>
            <m:r>
              <m:t>1</m:t>
            </m:r>
          </m:e>
        </m:d>
      </m:oMath>
      <w:r>
        <w:t xml:space="preserve"> </w:t>
      </w:r>
      <w:r>
        <w:t xml:space="preserve">denote the upstream weather fair value for market</w:t>
      </w:r>
      <w:r>
        <w:t xml:space="preserve"> </w:t>
      </w:r>
      <m:oMath>
        <m:r>
          <m:t>m</m:t>
        </m:r>
      </m:oMath>
      <w:r>
        <w:t xml:space="preserve"> </w:t>
      </w:r>
      <w:r>
        <w:t xml:space="preserve">at time</w:t>
      </w:r>
      <w:r>
        <w:t xml:space="preserve"> </w:t>
      </w:r>
      <m:oMath>
        <m:r>
          <m:t>t</m:t>
        </m:r>
      </m:oMath>
      <w:r>
        <w:t xml:space="preserve">, expressed in Yes-price space. Let</w:t>
      </w:r>
      <w:r>
        <w:t xml:space="preserve"> </w:t>
      </w:r>
      <m:oMath>
        <m:r>
          <m:t>p</m:t>
        </m:r>
      </m:oMath>
      <w:r>
        <w:t xml:space="preserve"> </w:t>
      </w:r>
      <w:r>
        <w:t xml:space="preserve">be the candidate execution price in the same space, and let</w:t>
      </w:r>
      <w:r>
        <w:t xml:space="preserve"> </w:t>
      </w:r>
      <m:oMath>
        <m:r>
          <m:t>y</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denote trade direction, with</w:t>
      </w:r>
      <w:r>
        <w:t xml:space="preserve"> </w:t>
      </w:r>
      <m:oMath>
        <m:r>
          <m:rPr>
            <m:sty m:val="p"/>
          </m:rPr>
          <m:t>+</m:t>
        </m:r>
        <m:r>
          <m:t>1</m:t>
        </m:r>
      </m:oMath>
      <w:r>
        <w:t xml:space="preserve"> </w:t>
      </w:r>
      <w:r>
        <w:t xml:space="preserve">for buying Yes and</w:t>
      </w:r>
      <w:r>
        <w:t xml:space="preserve"> </w:t>
      </w:r>
      <m:oMath>
        <m:r>
          <m:rPr>
            <m:sty m:val="p"/>
          </m:rPr>
          <m:t>−</m:t>
        </m:r>
        <m:r>
          <m:t>1</m:t>
        </m:r>
      </m:oMath>
      <w:r>
        <w:t xml:space="preserve"> </w:t>
      </w:r>
      <w:r>
        <w:t xml:space="preserve">for selling Yes. Then the</w:t>
      </w:r>
      <w:r>
        <w:t xml:space="preserve"> </w:t>
      </w:r>
      <w:r>
        <w:rPr>
          <w:b/>
          <w:bCs/>
        </w:rPr>
        <w:t xml:space="preserve">paper edge per contract</w:t>
      </w:r>
      <w:r>
        <w:t xml:space="preserve"> </w:t>
      </w:r>
      <w:r>
        <w:t xml:space="preserve">at order submission is</w:t>
      </w:r>
    </w:p>
    <w:p>
      <w:pPr>
        <w:pStyle w:val="BodyText"/>
      </w:pPr>
      <m:oMathPara>
        <m:oMathParaPr>
          <m:jc m:val="center"/>
        </m:oMathParaPr>
        <m:oMath>
          <m:sSubSup>
            <m:e>
              <m:r>
                <m:t>e</m:t>
              </m:r>
            </m:e>
            <m:sub>
              <m:r>
                <m:t>t</m:t>
              </m:r>
            </m:sub>
            <m:sup>
              <m:r>
                <m:rPr>
                  <m:nor/>
                  <m:sty m:val="p"/>
                </m:rPr>
                <m:t>paper</m:t>
              </m:r>
            </m:sup>
          </m:sSubSup>
          <m:r>
            <m:rPr>
              <m:sty m:val="p"/>
            </m:rPr>
            <m:t>=</m:t>
          </m:r>
          <m:r>
            <m:t>y</m:t>
          </m:r>
          <m:d>
            <m:dPr>
              <m:begChr m:val="("/>
              <m:sepChr m:val=""/>
              <m:endChr m:val=")"/>
              <m:grow/>
            </m:dPr>
            <m:e>
              <m:sSub>
                <m:e>
                  <m:acc>
                    <m:accPr>
                      <m:chr m:val="̂"/>
                    </m:accPr>
                    <m:e>
                      <m:r>
                        <m:t>π</m:t>
                      </m:r>
                    </m:e>
                  </m:acc>
                </m:e>
                <m:sub>
                  <m:r>
                    <m:t>m</m:t>
                  </m:r>
                  <m:r>
                    <m:rPr>
                      <m:sty m:val="p"/>
                    </m:rPr>
                    <m:t>,</m:t>
                  </m:r>
                  <m:r>
                    <m:t>t</m:t>
                  </m:r>
                </m:sub>
              </m:sSub>
              <m:r>
                <m:rPr>
                  <m:sty m:val="p"/>
                </m:rPr>
                <m:t>−</m:t>
              </m:r>
              <m:r>
                <m:t>p</m:t>
              </m:r>
            </m:e>
          </m:d>
          <m:r>
            <m:rPr>
              <m:sty m:val="p"/>
            </m:rPr>
            <m:t>−</m:t>
          </m:r>
          <m:sSup>
            <m:e>
              <m:r>
                <m:t>f</m:t>
              </m:r>
            </m:e>
            <m:sup>
              <m:r>
                <m:rPr>
                  <m:nor/>
                  <m:sty m:val="p"/>
                </m:rPr>
                <m:t>paper</m:t>
              </m:r>
            </m:sup>
          </m:sSup>
          <m:d>
            <m:dPr>
              <m:begChr m:val="("/>
              <m:sepChr m:val=""/>
              <m:endChr m:val=")"/>
              <m:grow/>
            </m:dPr>
            <m:e>
              <m:r>
                <m:t>p</m:t>
              </m:r>
            </m:e>
          </m:d>
          <m:r>
            <m:rPr>
              <m:sty m:val="p"/>
            </m:rPr>
            <m:t>,</m:t>
          </m:r>
        </m:oMath>
      </m:oMathPara>
    </w:p>
    <w:p>
      <w:pPr>
        <w:pStyle w:val="FirstParagraph"/>
      </w:pPr>
      <w:r>
        <w:t xml:space="preserve">where</w:t>
      </w:r>
      <w:r>
        <w:t xml:space="preserve"> </w:t>
      </w:r>
      <m:oMath>
        <m:sSup>
          <m:e>
            <m:r>
              <m:t>f</m:t>
            </m:r>
          </m:e>
          <m:sup>
            <m:r>
              <m:rPr>
                <m:nor/>
                <m:sty m:val="p"/>
              </m:rPr>
              <m:t>paper</m:t>
            </m:r>
          </m:sup>
        </m:sSup>
      </m:oMath>
      <w:r>
        <w:t xml:space="preserve"> </w:t>
      </w:r>
      <w:r>
        <w:t xml:space="preserve">is the expected fee per contract under the intended execution mode. For a maker-style passive order, the optimization target should be the</w:t>
      </w:r>
      <w:r>
        <w:t xml:space="preserve"> </w:t>
      </w:r>
      <w:r>
        <w:rPr>
          <w:b/>
          <w:bCs/>
        </w:rPr>
        <w:t xml:space="preserve">expected realized edge</w:t>
      </w:r>
    </w:p>
    <w:p>
      <w:pPr>
        <w:pStyle w:val="BodyText"/>
      </w:pPr>
      <m:oMathPara>
        <m:oMathParaPr>
          <m:jc m:val="center"/>
        </m:oMathParaPr>
        <m:oMath>
          <m:r>
            <m:t>V</m:t>
          </m:r>
          <m:d>
            <m:dPr>
              <m:begChr m:val="("/>
              <m:sepChr m:val=""/>
              <m:endChr m:val=")"/>
              <m:grow/>
            </m:dPr>
            <m:e>
              <m:r>
                <m:t>a</m:t>
              </m:r>
              <m:r>
                <m:rPr>
                  <m:sty m:val="p"/>
                </m:rPr>
                <m:t>∣</m:t>
              </m:r>
              <m:sSub>
                <m:e>
                  <m:r>
                    <m:t>X</m:t>
                  </m:r>
                </m:e>
                <m:sub>
                  <m:r>
                    <m:t>t</m:t>
                  </m:r>
                </m:sub>
              </m:sSub>
            </m:e>
          </m:d>
          <m:r>
            <m:rPr>
              <m:sty m:val="p"/>
            </m:rPr>
            <m:t>=</m:t>
          </m:r>
          <m:sSub>
            <m:e>
              <m:r>
                <m:t>P</m:t>
              </m:r>
            </m:e>
            <m:sub>
              <m:r>
                <m:rPr>
                  <m:nor/>
                  <m:sty m:val="p"/>
                </m:rPr>
                <m:t>fill</m:t>
              </m:r>
            </m:sub>
          </m:sSub>
          <m:d>
            <m:dPr>
              <m:begChr m:val="("/>
              <m:sepChr m:val=""/>
              <m:endChr m:val=")"/>
              <m:grow/>
            </m:dPr>
            <m:e>
              <m:r>
                <m:t>a</m:t>
              </m:r>
              <m:r>
                <m:rPr>
                  <m:sty m:val="p"/>
                </m:rPr>
                <m:t>∣</m:t>
              </m:r>
              <m:sSub>
                <m:e>
                  <m:r>
                    <m:t>X</m:t>
                  </m:r>
                </m:e>
                <m:sub>
                  <m:r>
                    <m:t>t</m:t>
                  </m:r>
                </m:sub>
              </m:sSub>
              <m:r>
                <m:rPr>
                  <m:sty m:val="p"/>
                </m:rPr>
                <m:t>,</m:t>
              </m:r>
              <m:r>
                <m:t>H</m:t>
              </m:r>
            </m:e>
          </m:d>
          <m:d>
            <m:dPr>
              <m:begChr m:val="("/>
              <m:sepChr m:val=""/>
              <m:endChr m:val=")"/>
              <m:grow/>
            </m:dPr>
            <m:e>
              <m:r>
                <m:t>y</m:t>
              </m:r>
              <m:d>
                <m:dPr>
                  <m:begChr m:val="("/>
                  <m:sepChr m:val=""/>
                  <m:endChr m:val=")"/>
                  <m:grow/>
                </m:dPr>
                <m:e>
                  <m:sSub>
                    <m:e>
                      <m:acc>
                        <m:accPr>
                          <m:chr m:val="̂"/>
                        </m:accPr>
                        <m:e>
                          <m:r>
                            <m:t>π</m:t>
                          </m:r>
                        </m:e>
                      </m:acc>
                    </m:e>
                    <m:sub>
                      <m:r>
                        <m:t>m</m:t>
                      </m:r>
                      <m:r>
                        <m:rPr>
                          <m:sty m:val="p"/>
                        </m:rPr>
                        <m:t>,</m:t>
                      </m:r>
                      <m:r>
                        <m:t>t</m:t>
                      </m:r>
                    </m:sub>
                  </m:sSub>
                  <m:r>
                    <m:rPr>
                      <m:sty m:val="p"/>
                    </m:rPr>
                    <m:t>−</m:t>
                  </m:r>
                  <m:sSup>
                    <m:e>
                      <m:r>
                        <m:t>p</m:t>
                      </m:r>
                    </m:e>
                    <m:sup>
                      <m:r>
                        <m:rPr>
                          <m:nor/>
                          <m:sty m:val="p"/>
                        </m:rPr>
                        <m:t>exec</m:t>
                      </m:r>
                    </m:sup>
                  </m:sSup>
                </m:e>
              </m:d>
              <m:r>
                <m:rPr>
                  <m:sty m:val="p"/>
                </m:rPr>
                <m:t>−</m:t>
              </m:r>
              <m:r>
                <m:t>f</m:t>
              </m:r>
              <m:d>
                <m:dPr>
                  <m:begChr m:val="("/>
                  <m:sepChr m:val=""/>
                  <m:endChr m:val=")"/>
                  <m:grow/>
                </m:dPr>
                <m:e>
                  <m:r>
                    <m:t>a</m:t>
                  </m:r>
                </m:e>
              </m:d>
              <m:r>
                <m:rPr>
                  <m:sty m:val="p"/>
                </m:rPr>
                <m:t>−</m:t>
              </m:r>
              <m:r>
                <m:rPr>
                  <m:sty m:val="p"/>
                  <m:scr m:val="double-struck"/>
                </m:rPr>
                <m:t>E</m:t>
              </m:r>
              <m:d>
                <m:dPr>
                  <m:begChr m:val="["/>
                  <m:sepChr m:val=""/>
                  <m:endChr m:val="]"/>
                  <m:grow/>
                </m:dPr>
                <m:e>
                  <m:r>
                    <m:t>A</m:t>
                  </m:r>
                  <m:sSub>
                    <m:e>
                      <m:r>
                        <m:t>S</m:t>
                      </m:r>
                    </m:e>
                    <m:sub>
                      <m:r>
                        <m:t>h</m:t>
                      </m:r>
                    </m:sub>
                  </m:sSub>
                  <m:r>
                    <m:rPr>
                      <m:sty m:val="p"/>
                    </m:rPr>
                    <m:t>∣</m:t>
                  </m:r>
                  <m:r>
                    <m:t>a</m:t>
                  </m:r>
                  <m:r>
                    <m:rPr>
                      <m:sty m:val="p"/>
                    </m:rPr>
                    <m:t>,</m:t>
                  </m:r>
                  <m:r>
                    <m:rPr>
                      <m:nor/>
                      <m:sty m:val="p"/>
                    </m:rPr>
                    <m:t>fill</m:t>
                  </m:r>
                  <m:r>
                    <m:rPr>
                      <m:sty m:val="p"/>
                    </m:rPr>
                    <m:t>,</m:t>
                  </m:r>
                  <m:sSub>
                    <m:e>
                      <m:r>
                        <m:t>X</m:t>
                      </m:r>
                    </m:e>
                    <m:sub>
                      <m:r>
                        <m:t>t</m:t>
                      </m:r>
                    </m:sub>
                  </m:sSub>
                </m:e>
              </m:d>
            </m:e>
          </m:d>
          <m:r>
            <m:rPr>
              <m:sty m:val="p"/>
            </m:rPr>
            <m:t>−</m:t>
          </m:r>
          <m:d>
            <m:dPr>
              <m:begChr m:val="("/>
              <m:sepChr m:val=""/>
              <m:endChr m:val=")"/>
              <m:grow/>
            </m:dPr>
            <m:e>
              <m:r>
                <m:t>1</m:t>
              </m:r>
              <m:r>
                <m:rPr>
                  <m:sty m:val="p"/>
                </m:rPr>
                <m:t>−</m:t>
              </m:r>
              <m:sSub>
                <m:e>
                  <m:r>
                    <m:t>P</m:t>
                  </m:r>
                </m:e>
                <m:sub>
                  <m:r>
                    <m:rPr>
                      <m:nor/>
                      <m:sty m:val="p"/>
                    </m:rPr>
                    <m:t>fill</m:t>
                  </m:r>
                </m:sub>
              </m:sSub>
              <m:d>
                <m:dPr>
                  <m:begChr m:val="("/>
                  <m:sepChr m:val=""/>
                  <m:endChr m:val=")"/>
                  <m:grow/>
                </m:dPr>
                <m:e>
                  <m:r>
                    <m:t>a</m:t>
                  </m:r>
                  <m:r>
                    <m:rPr>
                      <m:sty m:val="p"/>
                    </m:rPr>
                    <m:t>∣</m:t>
                  </m:r>
                  <m:sSub>
                    <m:e>
                      <m:r>
                        <m:t>X</m:t>
                      </m:r>
                    </m:e>
                    <m:sub>
                      <m:r>
                        <m:t>t</m:t>
                      </m:r>
                    </m:sub>
                  </m:sSub>
                  <m:r>
                    <m:rPr>
                      <m:sty m:val="p"/>
                    </m:rPr>
                    <m:t>,</m:t>
                  </m:r>
                  <m:r>
                    <m:t>H</m:t>
                  </m:r>
                </m:e>
              </m:d>
            </m:e>
          </m:d>
          <m:r>
            <m:t> </m:t>
          </m:r>
          <m:sSub>
            <m:e>
              <m:r>
                <m:t>C</m:t>
              </m:r>
            </m:e>
            <m:sub>
              <m:r>
                <m:rPr>
                  <m:nor/>
                  <m:sty m:val="p"/>
                </m:rPr>
                <m:t>miss</m:t>
              </m:r>
            </m:sub>
          </m:sSub>
          <m:d>
            <m:dPr>
              <m:begChr m:val="("/>
              <m:sepChr m:val=""/>
              <m:endChr m:val=")"/>
              <m:grow/>
            </m:dPr>
            <m:e>
              <m:r>
                <m:t>a</m:t>
              </m:r>
              <m:r>
                <m:rPr>
                  <m:sty m:val="p"/>
                </m:rPr>
                <m:t>∣</m:t>
              </m:r>
              <m:sSub>
                <m:e>
                  <m:r>
                    <m:t>X</m:t>
                  </m:r>
                </m:e>
                <m:sub>
                  <m:r>
                    <m:t>t</m:t>
                  </m:r>
                </m:sub>
              </m:sSub>
            </m:e>
          </m:d>
          <m:r>
            <m:rPr>
              <m:sty m:val="p"/>
            </m:rPr>
            <m:t>,</m:t>
          </m:r>
        </m:oMath>
      </m:oMathPara>
    </w:p>
    <w:p>
      <w:pPr>
        <w:pStyle w:val="FirstParagraph"/>
      </w:pPr>
      <w:r>
        <w:t xml:space="preserve">where</w:t>
      </w:r>
      <w:r>
        <w:t xml:space="preserve"> </w:t>
      </w:r>
      <m:oMath>
        <m:r>
          <m:t>a</m:t>
        </m:r>
      </m:oMath>
      <w:r>
        <w:t xml:space="preserve"> </w:t>
      </w:r>
      <w:r>
        <w:t xml:space="preserve">is the action tuple (side, size, price offset, cancel timer, chase rule, fallback),</w:t>
      </w:r>
      <w:r>
        <w:t xml:space="preserve"> </w:t>
      </w:r>
      <m:oMath>
        <m:sSub>
          <m:e>
            <m:r>
              <m:t>X</m:t>
            </m:r>
          </m:e>
          <m:sub>
            <m:r>
              <m:t>t</m:t>
            </m:r>
          </m:sub>
        </m:sSub>
      </m:oMath>
      <w:r>
        <w:t xml:space="preserve"> </w:t>
      </w:r>
      <w:r>
        <w:t xml:space="preserve">is the contemporaneous market state,</w:t>
      </w:r>
      <w:r>
        <w:t xml:space="preserve"> </w:t>
      </w:r>
      <m:oMath>
        <m:r>
          <m:t>H</m:t>
        </m:r>
      </m:oMath>
      <w:r>
        <w:t xml:space="preserve"> </w:t>
      </w:r>
      <w:r>
        <w:t xml:space="preserve">is the decision horizon,</w:t>
      </w:r>
      <w:r>
        <w:t xml:space="preserve"> </w:t>
      </w:r>
      <m:oMath>
        <m:r>
          <m:t>A</m:t>
        </m:r>
        <m:sSub>
          <m:e>
            <m:r>
              <m:t>S</m:t>
            </m:r>
          </m:e>
          <m:sub>
            <m:r>
              <m:t>h</m:t>
            </m:r>
          </m:sub>
        </m:sSub>
      </m:oMath>
      <w:r>
        <w:t xml:space="preserve"> </w:t>
      </w:r>
      <w:r>
        <w:t xml:space="preserve">is the adverse-selection cost measured by markout at horizon</w:t>
      </w:r>
      <w:r>
        <w:t xml:space="preserve"> </w:t>
      </w:r>
      <m:oMath>
        <m:r>
          <m:t>h</m:t>
        </m:r>
      </m:oMath>
      <w:r>
        <w:t xml:space="preserve">, and</w:t>
      </w:r>
      <w:r>
        <w:t xml:space="preserve"> </w:t>
      </w:r>
      <m:oMath>
        <m:sSub>
          <m:e>
            <m:r>
              <m:t>C</m:t>
            </m:r>
          </m:e>
          <m:sub>
            <m:r>
              <m:rPr>
                <m:nor/>
                <m:sty m:val="p"/>
              </m:rPr>
              <m:t>miss</m:t>
            </m:r>
          </m:sub>
        </m:sSub>
      </m:oMath>
      <w:r>
        <w:t xml:space="preserve"> </w:t>
      </w:r>
      <w:r>
        <w:t xml:space="preserve">is the opportunity cost of not getting filled and having to re-enter or cross later. This objective is exactly the trade-off emphasized in the fill-probability literature: execution cost versus execution risk.</w:t>
      </w:r>
      <w:r>
        <w:t xml:space="preserve"> </w:t>
      </w:r>
      <w:hyperlink r:id="rId22">
        <w:r>
          <w:rPr>
            <w:rStyle w:val="Hyperlink"/>
          </w:rPr>
          <w:t xml:space="preserve">[24]</w:t>
        </w:r>
      </w:hyperlink>
    </w:p>
    <w:p>
      <w:pPr>
        <w:pStyle w:val="BodyText"/>
      </w:pPr>
      <w:r>
        <w:t xml:space="preserve">For</w:t>
      </w:r>
      <w:r>
        <w:t xml:space="preserve"> </w:t>
      </w:r>
      <w:r>
        <w:rPr>
          <w:b/>
          <w:bCs/>
        </w:rPr>
        <w:t xml:space="preserve">fill probability</w:t>
      </w:r>
      <w:r>
        <w:t xml:space="preserve">, the most practical specification is a discrete-time hazard model or complementary-log-log survival model, not a one-shot logistic regression. For candidate order</w:t>
      </w:r>
      <w:r>
        <w:t xml:space="preserve"> </w:t>
      </w:r>
      <m:oMath>
        <m:r>
          <m:t>i</m:t>
        </m:r>
      </m:oMath>
      <w:r>
        <w:t xml:space="preserve">, define</w:t>
      </w:r>
    </w:p>
    <w:p>
      <w:pPr>
        <w:pStyle w:val="BodyText"/>
      </w:pPr>
      <m:oMathPara>
        <m:oMathParaPr>
          <m:jc m:val="center"/>
        </m:oMathParaPr>
        <m:oMath>
          <m:sSub>
            <m:e>
              <m:r>
                <m:t>h</m:t>
              </m:r>
            </m:e>
            <m:sub>
              <m:r>
                <m:t>i</m:t>
              </m:r>
              <m:r>
                <m:rPr>
                  <m:sty m:val="p"/>
                </m:rPr>
                <m:t>,</m:t>
              </m:r>
              <m:r>
                <m:t>u</m:t>
              </m:r>
            </m:sub>
          </m:sSub>
          <m:r>
            <m:rPr>
              <m:sty m:val="p"/>
            </m:rPr>
            <m:t>=</m:t>
          </m:r>
          <m:r>
            <m:rPr>
              <m:sty m:val="p"/>
            </m:rPr>
            <m:t>Pr</m:t>
          </m:r>
          <m:d>
            <m:dPr>
              <m:begChr m:val="("/>
              <m:sepChr m:val=""/>
              <m:endChr m:val=")"/>
              <m:grow/>
            </m:dPr>
            <m:e>
              <m:sSub>
                <m:e>
                  <m:r>
                    <m:t>T</m:t>
                  </m:r>
                </m:e>
                <m:sub>
                  <m:r>
                    <m:t>i</m:t>
                  </m:r>
                </m:sub>
              </m:sSub>
              <m:r>
                <m:rPr>
                  <m:sty m:val="p"/>
                </m:rPr>
                <m:t>=</m:t>
              </m:r>
              <m:r>
                <m:t>u</m:t>
              </m:r>
              <m:r>
                <m:rPr>
                  <m:sty m:val="p"/>
                </m:rPr>
                <m:t>∣</m:t>
              </m:r>
              <m:sSub>
                <m:e>
                  <m:r>
                    <m:t>T</m:t>
                  </m:r>
                </m:e>
                <m:sub>
                  <m:r>
                    <m:t>i</m:t>
                  </m:r>
                </m:sub>
              </m:sSub>
              <m:r>
                <m:rPr>
                  <m:sty m:val="p"/>
                </m:rPr>
                <m:t>≥</m:t>
              </m:r>
              <m:r>
                <m:t>u</m:t>
              </m:r>
              <m:r>
                <m:rPr>
                  <m:sty m:val="p"/>
                </m:rPr>
                <m:t>,</m:t>
              </m:r>
              <m:r>
                <m:t> </m:t>
              </m:r>
              <m:sSub>
                <m:e>
                  <m:r>
                    <m:t>X</m:t>
                  </m:r>
                </m:e>
                <m:sub>
                  <m:r>
                    <m:t>i</m:t>
                  </m:r>
                  <m:r>
                    <m:rPr>
                      <m:sty m:val="p"/>
                    </m:rPr>
                    <m:t>,</m:t>
                  </m:r>
                  <m:r>
                    <m:t>u</m:t>
                  </m:r>
                </m:sub>
              </m:sSub>
            </m:e>
          </m:d>
          <m:r>
            <m:rPr>
              <m:sty m:val="p"/>
            </m:rPr>
            <m:t>=</m:t>
          </m:r>
          <m:r>
            <m:t>1</m:t>
          </m:r>
          <m:r>
            <m:rPr>
              <m:sty m:val="p"/>
            </m:rPr>
            <m:t>−</m:t>
          </m:r>
          <m:r>
            <m:rPr>
              <m:sty m:val="p"/>
            </m:rPr>
            <m:t>exp</m:t>
          </m:r>
          <m:d>
            <m:dPr>
              <m:begChr m:val="("/>
              <m:sepChr m:val=""/>
              <m:endChr m:val=")"/>
              <m:grow/>
            </m:dPr>
            <m:e>
              <m:r>
                <m:rPr>
                  <m:sty m:val="p"/>
                </m:rPr>
                <m:t>−</m:t>
              </m:r>
              <m:r>
                <m:rPr>
                  <m:sty m:val="p"/>
                </m:rPr>
                <m:t>exp</m:t>
              </m:r>
              <m:d>
                <m:dPr>
                  <m:begChr m:val="("/>
                  <m:sepChr m:val=""/>
                  <m:endChr m:val=")"/>
                  <m:grow/>
                </m:dPr>
                <m:e>
                  <m:sSup>
                    <m:e>
                      <m:r>
                        <m:t>β</m:t>
                      </m:r>
                    </m:e>
                    <m:sup>
                      <m:r>
                        <m:rPr>
                          <m:sty m:val="p"/>
                        </m:rPr>
                        <m:t>⊤</m:t>
                      </m:r>
                    </m:sup>
                  </m:sSup>
                  <m:sSub>
                    <m:e>
                      <m:r>
                        <m:t>X</m:t>
                      </m:r>
                    </m:e>
                    <m:sub>
                      <m:r>
                        <m:t>i</m:t>
                      </m:r>
                      <m:r>
                        <m:rPr>
                          <m:sty m:val="p"/>
                        </m:rPr>
                        <m:t>,</m:t>
                      </m:r>
                      <m:r>
                        <m:t>u</m:t>
                      </m:r>
                    </m:sub>
                  </m:sSub>
                </m:e>
              </m:d>
              <m:r>
                <m:t>Δ</m:t>
              </m:r>
              <m:r>
                <m:t>u</m:t>
              </m:r>
            </m:e>
          </m:d>
          <m:r>
            <m:rPr>
              <m:sty m:val="p"/>
            </m:rPr>
            <m:t>,</m:t>
          </m:r>
        </m:oMath>
      </m:oMathPara>
    </w:p>
    <w:p>
      <w:pPr>
        <w:pStyle w:val="FirstParagraph"/>
      </w:pPr>
      <w:r>
        <w:t xml:space="preserve">and then compute the fill probability within horizon</w:t>
      </w:r>
      <w:r>
        <w:t xml:space="preserve"> </w:t>
      </w:r>
      <m:oMath>
        <m:r>
          <m:t>H</m:t>
        </m:r>
      </m:oMath>
      <w:r>
        <w:t xml:space="preserve"> </w:t>
      </w:r>
      <w:r>
        <w:t xml:space="preserve">as</w:t>
      </w:r>
    </w:p>
    <w:p>
      <w:pPr>
        <w:pStyle w:val="BodyText"/>
      </w:pPr>
      <m:oMathPara>
        <m:oMathParaPr>
          <m:jc m:val="center"/>
        </m:oMathParaPr>
        <m:oMath>
          <m:r>
            <m:t>P</m:t>
          </m:r>
          <m:d>
            <m:dPr>
              <m:begChr m:val="("/>
              <m:sepChr m:val=""/>
              <m:endChr m:val=")"/>
              <m:grow/>
            </m:dPr>
            <m:e>
              <m:sSub>
                <m:e>
                  <m:r>
                    <m:t>T</m:t>
                  </m:r>
                </m:e>
                <m:sub>
                  <m:r>
                    <m:t>i</m:t>
                  </m:r>
                </m:sub>
              </m:sSub>
              <m:r>
                <m:rPr>
                  <m:sty m:val="p"/>
                </m:rPr>
                <m:t>≤</m:t>
              </m:r>
              <m:r>
                <m:t>H</m:t>
              </m:r>
            </m:e>
          </m:d>
          <m:r>
            <m:rPr>
              <m:sty m:val="p"/>
            </m:rPr>
            <m:t>=</m:t>
          </m:r>
          <m:r>
            <m:t>1</m:t>
          </m:r>
          <m:r>
            <m:rPr>
              <m:sty m:val="p"/>
            </m:rPr>
            <m:t>−</m:t>
          </m:r>
          <m:nary>
            <m:naryPr>
              <m:chr m:val="∏"/>
              <m:limLoc m:val="undOvr"/>
              <m:subHide m:val="off"/>
              <m:supHide m:val="off"/>
            </m:naryPr>
            <m:sub>
              <m:r>
                <m:t>u</m:t>
              </m:r>
              <m:r>
                <m:rPr>
                  <m:sty m:val="p"/>
                </m:rPr>
                <m:t>=</m:t>
              </m:r>
              <m:r>
                <m:t>1</m:t>
              </m:r>
            </m:sub>
            <m:sup>
              <m:r>
                <m:t>H</m:t>
              </m:r>
            </m:sup>
            <m:e>
              <m:d>
                <m:dPr>
                  <m:begChr m:val="("/>
                  <m:sepChr m:val=""/>
                  <m:endChr m:val=")"/>
                  <m:grow/>
                </m:dPr>
                <m:e>
                  <m:r>
                    <m:t>1</m:t>
                  </m:r>
                  <m:r>
                    <m:rPr>
                      <m:sty m:val="p"/>
                    </m:rPr>
                    <m:t>−</m:t>
                  </m:r>
                  <m:sSub>
                    <m:e>
                      <m:r>
                        <m:t>h</m:t>
                      </m:r>
                    </m:e>
                    <m:sub>
                      <m:r>
                        <m:t>i</m:t>
                      </m:r>
                      <m:r>
                        <m:rPr>
                          <m:sty m:val="p"/>
                        </m:rPr>
                        <m:t>,</m:t>
                      </m:r>
                      <m:r>
                        <m:t>u</m:t>
                      </m:r>
                    </m:sub>
                  </m:sSub>
                </m:e>
              </m:d>
            </m:e>
          </m:nary>
          <m:r>
            <m:rPr>
              <m:sty m:val="p"/>
            </m:rPr>
            <m:t>.</m:t>
          </m:r>
        </m:oMath>
      </m:oMathPara>
    </w:p>
    <w:p>
      <w:pPr>
        <w:pStyle w:val="FirstParagraph"/>
      </w:pPr>
      <w:r>
        <w:t xml:space="preserve">This matches the literature’s focus on the distribution of fill time rather than a static filled/not-filled label. Feature blocks should include queue ahead, price offset in ticks, top-of-book depth and imbalance, recent trade intensity, recent order-book depletion, time-of-day splines, time-to-close, age of order, edge magnitude, and post-only / TIF flags. A queue-reactive structural model such as Huang–Lehalle–Rosenbaum or Lokin–Yu is the right benchmark model-based baseline; gradient boosting or recurrent survival models are the right flexible benchmark on larger self-collected datasets.</w:t>
      </w:r>
      <w:r>
        <w:t xml:space="preserve"> </w:t>
      </w:r>
      <w:hyperlink r:id="rId40">
        <w:r>
          <w:rPr>
            <w:rStyle w:val="Hyperlink"/>
          </w:rPr>
          <w:t xml:space="preserve">[25]</w:t>
        </w:r>
      </w:hyperlink>
    </w:p>
    <w:p>
      <w:pPr>
        <w:pStyle w:val="BodyText"/>
      </w:pPr>
      <w:r>
        <w:t xml:space="preserve">For</w:t>
      </w:r>
      <w:r>
        <w:t xml:space="preserve"> </w:t>
      </w:r>
      <w:r>
        <w:rPr>
          <w:b/>
          <w:bCs/>
        </w:rPr>
        <w:t xml:space="preserve">queue position</w:t>
      </w:r>
      <w:r>
        <w:t xml:space="preserve">, the live-production case and the backtest case differ. In production, your own actual queue ahead is directly observed from</w:t>
      </w:r>
      <w:r>
        <w:t xml:space="preserve"> </w:t>
      </w:r>
      <w:r>
        <w:rPr>
          <w:rStyle w:val="VerbatimChar"/>
        </w:rPr>
        <w:t xml:space="preserve">queue_position_fp</w:t>
      </w:r>
      <w:r>
        <w:t xml:space="preserve">, so the task is to interpolate between official reads using public trade prints plus book deltas. In backtest or paper-replay mode, when you did not actually place the order, the best approximation is</w:t>
      </w:r>
    </w:p>
    <w:p>
      <w:pPr>
        <w:pStyle w:val="BodyText"/>
      </w:pPr>
      <m:oMathPara>
        <m:oMathParaPr>
          <m:jc m:val="center"/>
        </m:oMathParaPr>
        <m:oMath>
          <m:sSub>
            <m:e>
              <m:r>
                <m:t>Q</m:t>
              </m:r>
            </m:e>
            <m:sub>
              <m:r>
                <m:t>0</m:t>
              </m:r>
            </m:sub>
          </m:sSub>
          <m:r>
            <m:rPr>
              <m:sty m:val="p"/>
            </m:rPr>
            <m:t>≈</m:t>
          </m:r>
          <m:sSub>
            <m:e>
              <m:r>
                <m:t>D</m:t>
              </m:r>
            </m:e>
            <m:sub>
              <m:r>
                <m:rPr>
                  <m:sty m:val="p"/>
                </m:rPr>
                <m:t>ℓ</m:t>
              </m:r>
            </m:sub>
          </m:sSub>
          <m:d>
            <m:dPr>
              <m:begChr m:val="("/>
              <m:sepChr m:val=""/>
              <m:endChr m:val=")"/>
              <m:grow/>
            </m:dPr>
            <m:e>
              <m:sSubSup>
                <m:e>
                  <m:r>
                    <m:t>t</m:t>
                  </m:r>
                </m:e>
                <m:sub>
                  <m:r>
                    <m:t>0</m:t>
                  </m:r>
                </m:sub>
                <m:sup>
                  <m:r>
                    <m:rPr>
                      <m:sty m:val="p"/>
                    </m:rPr>
                    <m:t>−</m:t>
                  </m:r>
                </m:sup>
              </m:sSubSup>
            </m:e>
          </m:d>
          <m:r>
            <m:rPr>
              <m:sty m:val="p"/>
            </m:rPr>
            <m:t>+</m:t>
          </m:r>
          <m:sSubSup>
            <m:e>
              <m:r>
                <m:t>λ</m:t>
              </m:r>
            </m:e>
            <m:sub>
              <m:r>
                <m:rPr>
                  <m:sty m:val="p"/>
                </m:rPr>
                <m:t>ℓ</m:t>
              </m:r>
            </m:sub>
            <m:sup>
              <m:r>
                <m:rPr>
                  <m:nor/>
                  <m:sty m:val="p"/>
                </m:rPr>
                <m:t>same-price</m:t>
              </m:r>
            </m:sup>
          </m:sSubSup>
          <m:r>
            <m:t> </m:t>
          </m:r>
          <m:r>
            <m:t>Δ</m:t>
          </m:r>
          <m:sSub>
            <m:e>
              <m:r>
                <m:t>t</m:t>
              </m:r>
            </m:e>
            <m:sub>
              <m:r>
                <m:rPr>
                  <m:nor/>
                  <m:sty m:val="p"/>
                </m:rPr>
                <m:t>lat</m:t>
              </m:r>
            </m:sub>
          </m:sSub>
          <m:r>
            <m:rPr>
              <m:sty m:val="p"/>
            </m:rPr>
            <m:t>,</m:t>
          </m:r>
        </m:oMath>
      </m:oMathPara>
    </w:p>
    <w:p>
      <w:pPr>
        <w:pStyle w:val="FirstParagraph"/>
      </w:pPr>
      <w:r>
        <w:t xml:space="preserve">where</w:t>
      </w:r>
      <w:r>
        <w:t xml:space="preserve"> </w:t>
      </w:r>
      <m:oMath>
        <m:sSub>
          <m:e>
            <m:r>
              <m:t>D</m:t>
            </m:r>
          </m:e>
          <m:sub>
            <m:r>
              <m:rPr>
                <m:sty m:val="p"/>
              </m:rPr>
              <m:t>ℓ</m:t>
            </m:r>
          </m:sub>
        </m:sSub>
        <m:d>
          <m:dPr>
            <m:begChr m:val="("/>
            <m:sepChr m:val=""/>
            <m:endChr m:val=")"/>
            <m:grow/>
          </m:dPr>
          <m:e>
            <m:sSubSup>
              <m:e>
                <m:r>
                  <m:t>t</m:t>
                </m:r>
              </m:e>
              <m:sub>
                <m:r>
                  <m:t>0</m:t>
                </m:r>
              </m:sub>
              <m:sup>
                <m:r>
                  <m:rPr>
                    <m:sty m:val="p"/>
                  </m:rPr>
                  <m:t>−</m:t>
                </m:r>
              </m:sup>
            </m:sSubSup>
          </m:e>
        </m:d>
      </m:oMath>
      <w:r>
        <w:t xml:space="preserve"> </w:t>
      </w:r>
      <w:r>
        <w:t xml:space="preserve">is the displayed size at your chosen price level immediately before the order would have joined, and the second term accounts for same-price arrivals during the latency-to-ack window. Then evolve queue ahead as</w:t>
      </w:r>
    </w:p>
    <w:p>
      <w:pPr>
        <w:pStyle w:val="BodyText"/>
      </w:pPr>
      <m:oMathPara>
        <m:oMathParaPr>
          <m:jc m:val="center"/>
        </m:oMathParaPr>
        <m:oMath>
          <m:sSub>
            <m:e>
              <m:r>
                <m:t>Q</m:t>
              </m:r>
            </m:e>
            <m:sub>
              <m:r>
                <m:t>t</m:t>
              </m:r>
              <m:r>
                <m:rPr>
                  <m:sty m:val="p"/>
                </m:rPr>
                <m:t>+</m:t>
              </m:r>
              <m:r>
                <m:t>Δ</m:t>
              </m:r>
            </m:sub>
          </m:sSub>
          <m:r>
            <m:rPr>
              <m:sty m:val="p"/>
            </m:rPr>
            <m:t>=</m:t>
          </m:r>
          <m:sSub>
            <m:e>
              <m:r>
                <m:t>Q</m:t>
              </m:r>
            </m:e>
            <m:sub>
              <m:r>
                <m:t>t</m:t>
              </m:r>
            </m:sub>
          </m:sSub>
          <m:r>
            <m:rPr>
              <m:sty m:val="p"/>
            </m:rPr>
            <m:t>−</m:t>
          </m:r>
          <m:sSubSup>
            <m:e>
              <m:r>
                <m:t>M</m:t>
              </m:r>
            </m:e>
            <m:sub>
              <m:r>
                <m:t>t</m:t>
              </m:r>
              <m:r>
                <m:rPr>
                  <m:sty m:val="p"/>
                </m:rPr>
                <m:t>,</m:t>
              </m:r>
              <m:r>
                <m:t>Δ</m:t>
              </m:r>
            </m:sub>
            <m:sup>
              <m:r>
                <m:rPr>
                  <m:nor/>
                  <m:sty m:val="p"/>
                </m:rPr>
                <m:t>opp</m:t>
              </m:r>
            </m:sup>
          </m:sSubSup>
          <m:r>
            <m:rPr>
              <m:sty m:val="p"/>
            </m:rPr>
            <m:t>−</m:t>
          </m:r>
          <m:sSub>
            <m:e>
              <m:r>
                <m:t>ρ</m:t>
              </m:r>
            </m:e>
            <m:sub>
              <m:r>
                <m:t>t</m:t>
              </m:r>
            </m:sub>
          </m:sSub>
          <m:sSubSup>
            <m:e>
              <m:r>
                <m:t>C</m:t>
              </m:r>
            </m:e>
            <m:sub>
              <m:r>
                <m:t>t</m:t>
              </m:r>
              <m:r>
                <m:rPr>
                  <m:sty m:val="p"/>
                </m:rPr>
                <m:t>,</m:t>
              </m:r>
              <m:r>
                <m:t>Δ</m:t>
              </m:r>
            </m:sub>
            <m:sup>
              <m:r>
                <m:rPr>
                  <m:nor/>
                  <m:sty m:val="p"/>
                </m:rPr>
                <m:t>ahead</m:t>
              </m:r>
            </m:sup>
          </m:sSubSup>
          <m:r>
            <m:rPr>
              <m:sty m:val="p"/>
            </m:rPr>
            <m:t>+</m:t>
          </m:r>
          <m:sSubSup>
            <m:e>
              <m:r>
                <m:t>A</m:t>
              </m:r>
            </m:e>
            <m:sub>
              <m:r>
                <m:t>t</m:t>
              </m:r>
              <m:r>
                <m:rPr>
                  <m:sty m:val="p"/>
                </m:rPr>
                <m:t>,</m:t>
              </m:r>
              <m:r>
                <m:t>Δ</m:t>
              </m:r>
            </m:sub>
            <m:sup>
              <m:r>
                <m:rPr>
                  <m:nor/>
                  <m:sty m:val="p"/>
                </m:rPr>
                <m:t>ahead</m:t>
              </m:r>
            </m:sup>
          </m:sSubSup>
          <m:r>
            <m:rPr>
              <m:sty m:val="p"/>
            </m:rPr>
            <m:t>,</m:t>
          </m:r>
        </m:oMath>
      </m:oMathPara>
    </w:p>
    <w:p>
      <w:pPr>
        <w:pStyle w:val="FirstParagraph"/>
      </w:pPr>
      <w:r>
        <w:t xml:space="preserve">where</w:t>
      </w:r>
      <w:r>
        <w:t xml:space="preserve"> </w:t>
      </w:r>
      <m:oMath>
        <m:sSup>
          <m:e>
            <m:r>
              <m:t>M</m:t>
            </m:r>
          </m:e>
          <m:sup>
            <m:r>
              <m:rPr>
                <m:nor/>
                <m:sty m:val="p"/>
              </m:rPr>
              <m:t>opp</m:t>
            </m:r>
          </m:sup>
        </m:sSup>
      </m:oMath>
      <w:r>
        <w:t xml:space="preserve"> </w:t>
      </w:r>
      <w:r>
        <w:t xml:space="preserve">is matched opposite-aggressor volume at your level,</w:t>
      </w:r>
      <w:r>
        <w:t xml:space="preserve"> </w:t>
      </w:r>
      <m:oMath>
        <m:sSup>
          <m:e>
            <m:r>
              <m:t>C</m:t>
            </m:r>
          </m:e>
          <m:sup>
            <m:r>
              <m:rPr>
                <m:nor/>
                <m:sty m:val="p"/>
              </m:rPr>
              <m:t>ahead</m:t>
            </m:r>
          </m:sup>
        </m:sSup>
      </m:oMath>
      <w:r>
        <w:t xml:space="preserve"> </w:t>
      </w:r>
      <w:r>
        <w:t xml:space="preserve">is same-level cancellation volume ahead of you,</w:t>
      </w:r>
      <w:r>
        <w:t xml:space="preserve"> </w:t>
      </w:r>
      <m:oMath>
        <m:sSup>
          <m:e>
            <m:r>
              <m:t>A</m:t>
            </m:r>
          </m:e>
          <m:sup>
            <m:r>
              <m:rPr>
                <m:nor/>
                <m:sty m:val="p"/>
              </m:rPr>
              <m:t>ahead</m:t>
            </m:r>
          </m:sup>
        </m:sSup>
      </m:oMath>
      <w:r>
        <w:t xml:space="preserve"> </w:t>
      </w:r>
      <w:r>
        <w:t xml:space="preserve">is pre-ack priority loss from later-arriving same-price orders during latency, and</w:t>
      </w:r>
      <w:r>
        <w:t xml:space="preserve"> </w:t>
      </w:r>
      <m:oMath>
        <m:sSub>
          <m:e>
            <m:r>
              <m:t>ρ</m:t>
            </m:r>
          </m:e>
          <m:sub>
            <m:r>
              <m:t>t</m:t>
            </m:r>
          </m:sub>
        </m:sSub>
        <m:r>
          <m:rPr>
            <m:sty m:val="p"/>
          </m:rPr>
          <m:t>∈</m:t>
        </m:r>
        <m:d>
          <m:dPr>
            <m:begChr m:val="["/>
            <m:sepChr m:val=""/>
            <m:endChr m:val="]"/>
            <m:grow/>
          </m:dPr>
          <m:e>
            <m:r>
              <m:t>0</m:t>
            </m:r>
            <m:r>
              <m:rPr>
                <m:sty m:val="p"/>
              </m:rPr>
              <m:t>,</m:t>
            </m:r>
            <m:r>
              <m:t>1</m:t>
            </m:r>
          </m:e>
        </m:d>
      </m:oMath>
      <w:r>
        <w:t xml:space="preserve"> </w:t>
      </w:r>
      <w:r>
        <w:t xml:space="preserve">is the fraction of same-level cancellations that were actually ahead of you. The official queue endpoint is what lets you estimate</w:t>
      </w:r>
      <w:r>
        <w:t xml:space="preserve"> </w:t>
      </w:r>
      <m:oMath>
        <m:sSub>
          <m:e>
            <m:r>
              <m:t>ρ</m:t>
            </m:r>
          </m:e>
          <m:sub>
            <m:r>
              <m:t>t</m:t>
            </m:r>
          </m:sub>
        </m:sSub>
      </m:oMath>
      <w:r>
        <w:t xml:space="preserve"> </w:t>
      </w:r>
      <w:r>
        <w:t xml:space="preserve">empirically instead of guessing it.</w:t>
      </w:r>
      <w:r>
        <w:t xml:space="preserve"> </w:t>
      </w:r>
      <w:hyperlink r:id="rId30">
        <w:r>
          <w:rPr>
            <w:rStyle w:val="Hyperlink"/>
          </w:rPr>
          <w:t xml:space="preserve">[26]</w:t>
        </w:r>
      </w:hyperlink>
    </w:p>
    <w:p>
      <w:pPr>
        <w:pStyle w:val="BodyText"/>
      </w:pPr>
      <w:r>
        <w:t xml:space="preserve">For</w:t>
      </w:r>
      <w:r>
        <w:t xml:space="preserve"> </w:t>
      </w:r>
      <w:r>
        <w:rPr>
          <w:b/>
          <w:bCs/>
        </w:rPr>
        <w:t xml:space="preserve">spread and slippage</w:t>
      </w:r>
      <w:r>
        <w:t xml:space="preserve">, use three related metrics. First, quoted spread:</w:t>
      </w:r>
    </w:p>
    <w:p>
      <w:pPr>
        <w:pStyle w:val="BodyText"/>
      </w:pPr>
      <m:oMathPara>
        <m:oMathParaPr>
          <m:jc m:val="center"/>
        </m:oMathParaPr>
        <m:oMath>
          <m:sSub>
            <m:e>
              <m:r>
                <m:t>S</m:t>
              </m:r>
            </m:e>
            <m:sub>
              <m:r>
                <m:t>t</m:t>
              </m:r>
            </m:sub>
          </m:sSub>
          <m:r>
            <m:rPr>
              <m:sty m:val="p"/>
            </m:rPr>
            <m:t>=</m:t>
          </m:r>
          <m:sSub>
            <m:e>
              <m:r>
                <m:t>a</m:t>
              </m:r>
            </m:e>
            <m:sub>
              <m:r>
                <m:t>t</m:t>
              </m:r>
            </m:sub>
          </m:sSub>
          <m:r>
            <m:rPr>
              <m:sty m:val="p"/>
            </m:rPr>
            <m:t>−</m:t>
          </m:r>
          <m:sSub>
            <m:e>
              <m:r>
                <m:t>b</m:t>
              </m:r>
            </m:e>
            <m:sub>
              <m:r>
                <m:t>t</m:t>
              </m:r>
            </m:sub>
          </m:sSub>
          <m:r>
            <m:rPr>
              <m:sty m:val="p"/>
            </m:rPr>
            <m:t>,</m:t>
          </m:r>
        </m:oMath>
      </m:oMathPara>
    </w:p>
    <w:p>
      <w:pPr>
        <w:pStyle w:val="FirstParagraph"/>
      </w:pPr>
      <w:r>
        <w:t xml:space="preserve">with</w:t>
      </w:r>
      <w:r>
        <w:t xml:space="preserve"> </w:t>
      </w:r>
      <m:oMath>
        <m:sSub>
          <m:e>
            <m:r>
              <m:t>a</m:t>
            </m:r>
          </m:e>
          <m:sub>
            <m:r>
              <m:t>t</m:t>
            </m:r>
          </m:sub>
        </m:sSub>
      </m:oMath>
      <w:r>
        <w:t xml:space="preserve"> </w:t>
      </w:r>
      <w:r>
        <w:t xml:space="preserve">and</w:t>
      </w:r>
      <w:r>
        <w:t xml:space="preserve"> </w:t>
      </w:r>
      <m:oMath>
        <m:sSub>
          <m:e>
            <m:r>
              <m:t>b</m:t>
            </m:r>
          </m:e>
          <m:sub>
            <m:r>
              <m:t>t</m:t>
            </m:r>
          </m:sub>
        </m:sSub>
      </m:oMath>
      <w:r>
        <w:t xml:space="preserve"> </w:t>
      </w:r>
      <w:r>
        <w:t xml:space="preserve">in Yes-price space. Second, all-in execution slippage relative to the pre-trade mid</w:t>
      </w:r>
      <w:r>
        <w:t xml:space="preserve"> </w:t>
      </w:r>
      <m:oMath>
        <m:sSub>
          <m:e>
            <m:r>
              <m:t>m</m:t>
            </m:r>
          </m:e>
          <m:sub>
            <m:r>
              <m:t>t</m:t>
            </m:r>
          </m:sub>
        </m:sSub>
        <m:r>
          <m:rPr>
            <m:sty m:val="p"/>
          </m:rPr>
          <m:t>=</m:t>
        </m:r>
        <m:d>
          <m:dPr>
            <m:begChr m:val="("/>
            <m:sepChr m:val=""/>
            <m:endChr m:val=")"/>
            <m:grow/>
          </m:dPr>
          <m:e>
            <m:sSub>
              <m:e>
                <m:r>
                  <m:t>a</m:t>
                </m:r>
              </m:e>
              <m:sub>
                <m:r>
                  <m:t>t</m:t>
                </m:r>
              </m:sub>
            </m:sSub>
            <m:r>
              <m:rPr>
                <m:sty m:val="p"/>
              </m:rPr>
              <m:t>+</m:t>
            </m:r>
            <m:sSub>
              <m:e>
                <m:r>
                  <m:t>b</m:t>
                </m:r>
              </m:e>
              <m:sub>
                <m:r>
                  <m:t>t</m:t>
                </m:r>
              </m:sub>
            </m:sSub>
          </m:e>
        </m:d>
        <m:r>
          <m:rPr>
            <m:sty m:val="p"/>
          </m:rPr>
          <m:t>/</m:t>
        </m:r>
        <m:r>
          <m:t>2</m:t>
        </m:r>
      </m:oMath>
      <w:r>
        <w:t xml:space="preserve">:</w:t>
      </w:r>
    </w:p>
    <w:p>
      <w:pPr>
        <w:pStyle w:val="BodyText"/>
      </w:pPr>
      <m:oMathPara>
        <m:oMathParaPr>
          <m:jc m:val="center"/>
        </m:oMathParaPr>
        <m:oMath>
          <m:sSub>
            <m:e>
              <m:r>
                <m:rPr>
                  <m:nor/>
                  <m:sty m:val="p"/>
                </m:rPr>
                <m:t>Slip</m:t>
              </m:r>
            </m:e>
            <m:sub>
              <m:r>
                <m:t>i</m:t>
              </m:r>
            </m:sub>
          </m:sSub>
          <m:r>
            <m:rPr>
              <m:sty m:val="p"/>
            </m:rPr>
            <m:t>=</m:t>
          </m:r>
          <m:sSub>
            <m:e>
              <m:r>
                <m:t>y</m:t>
              </m:r>
            </m:e>
            <m:sub>
              <m:r>
                <m:t>i</m:t>
              </m:r>
            </m:sub>
          </m:sSub>
          <m:d>
            <m:dPr>
              <m:begChr m:val="("/>
              <m:sepChr m:val=""/>
              <m:endChr m:val=")"/>
              <m:grow/>
            </m:dPr>
            <m:e>
              <m:sSubSup>
                <m:e>
                  <m:r>
                    <m:t>p</m:t>
                  </m:r>
                </m:e>
                <m:sub>
                  <m:r>
                    <m:t>i</m:t>
                  </m:r>
                </m:sub>
                <m:sup>
                  <m:r>
                    <m:rPr>
                      <m:nor/>
                      <m:sty m:val="p"/>
                    </m:rPr>
                    <m:t>exec</m:t>
                  </m:r>
                </m:sup>
              </m:sSubSup>
              <m:r>
                <m:rPr>
                  <m:sty m:val="p"/>
                </m:rPr>
                <m:t>−</m:t>
              </m:r>
              <m:sSub>
                <m:e>
                  <m:r>
                    <m:t>m</m:t>
                  </m:r>
                </m:e>
                <m:sub>
                  <m:sSubSup>
                    <m:e>
                      <m:r>
                        <m:t>t</m:t>
                      </m:r>
                    </m:e>
                    <m:sub>
                      <m:r>
                        <m:t>i</m:t>
                      </m:r>
                    </m:sub>
                    <m:sup>
                      <m:r>
                        <m:rPr>
                          <m:sty m:val="p"/>
                        </m:rPr>
                        <m:t>−</m:t>
                      </m:r>
                    </m:sup>
                  </m:sSubSup>
                </m:sub>
              </m:sSub>
            </m:e>
          </m:d>
          <m:r>
            <m:rPr>
              <m:sty m:val="p"/>
            </m:rPr>
            <m:t>+</m:t>
          </m:r>
          <m:sSub>
            <m:e>
              <m:r>
                <m:t>f</m:t>
              </m:r>
            </m:e>
            <m:sub>
              <m:r>
                <m:t>i</m:t>
              </m:r>
            </m:sub>
          </m:sSub>
          <m:r>
            <m:rPr>
              <m:sty m:val="p"/>
            </m:rPr>
            <m:t>.</m:t>
          </m:r>
        </m:oMath>
      </m:oMathPara>
    </w:p>
    <w:p>
      <w:pPr>
        <w:pStyle w:val="FirstParagraph"/>
      </w:pPr>
      <w:r>
        <w:t xml:space="preserve">Third, realized spread or markout after horizon</w:t>
      </w:r>
      <w:r>
        <w:t xml:space="preserve"> </w:t>
      </w:r>
      <m:oMath>
        <m:r>
          <m:t>h</m:t>
        </m:r>
      </m:oMath>
      <w:r>
        <w:t xml:space="preserve">:</w:t>
      </w:r>
    </w:p>
    <w:p>
      <w:pPr>
        <w:pStyle w:val="BodyText"/>
      </w:pPr>
      <m:oMathPara>
        <m:oMathParaPr>
          <m:jc m:val="center"/>
        </m:oMathParaPr>
        <m:oMath>
          <m:r>
            <m:t>M</m:t>
          </m:r>
          <m:sSub>
            <m:e>
              <m:r>
                <m:t>O</m:t>
              </m:r>
            </m:e>
            <m:sub>
              <m:r>
                <m:t>i</m:t>
              </m:r>
              <m:r>
                <m:rPr>
                  <m:sty m:val="p"/>
                </m:rPr>
                <m:t>,</m:t>
              </m:r>
              <m:r>
                <m:t>h</m:t>
              </m:r>
            </m:sub>
          </m:sSub>
          <m:r>
            <m:rPr>
              <m:sty m:val="p"/>
            </m:rPr>
            <m:t>=</m:t>
          </m:r>
          <m:sSub>
            <m:e>
              <m:r>
                <m:t>y</m:t>
              </m:r>
            </m:e>
            <m:sub>
              <m:r>
                <m:t>i</m:t>
              </m:r>
            </m:sub>
          </m:sSub>
          <m:d>
            <m:dPr>
              <m:begChr m:val="("/>
              <m:sepChr m:val=""/>
              <m:endChr m:val=")"/>
              <m:grow/>
            </m:dPr>
            <m:e>
              <m:sSub>
                <m:e>
                  <m:r>
                    <m:t>m</m:t>
                  </m:r>
                </m:e>
                <m:sub>
                  <m:sSub>
                    <m:e>
                      <m:r>
                        <m:t>t</m:t>
                      </m:r>
                    </m:e>
                    <m:sub>
                      <m:r>
                        <m:t>i</m:t>
                      </m:r>
                    </m:sub>
                  </m:sSub>
                  <m:r>
                    <m:rPr>
                      <m:sty m:val="p"/>
                    </m:rPr>
                    <m:t>+</m:t>
                  </m:r>
                  <m:r>
                    <m:t>h</m:t>
                  </m:r>
                </m:sub>
              </m:sSub>
              <m:r>
                <m:rPr>
                  <m:sty m:val="p"/>
                </m:rPr>
                <m:t>−</m:t>
              </m:r>
              <m:sSubSup>
                <m:e>
                  <m:r>
                    <m:t>p</m:t>
                  </m:r>
                </m:e>
                <m:sub>
                  <m:r>
                    <m:t>i</m:t>
                  </m:r>
                </m:sub>
                <m:sup>
                  <m:r>
                    <m:rPr>
                      <m:nor/>
                      <m:sty m:val="p"/>
                    </m:rPr>
                    <m:t>exec</m:t>
                  </m:r>
                </m:sup>
              </m:sSubSup>
            </m:e>
          </m:d>
          <m:r>
            <m:rPr>
              <m:sty m:val="p"/>
            </m:rPr>
            <m:t>−</m:t>
          </m:r>
          <m:sSub>
            <m:e>
              <m:r>
                <m:t>f</m:t>
              </m:r>
            </m:e>
            <m:sub>
              <m:r>
                <m:t>i</m:t>
              </m:r>
            </m:sub>
          </m:sSub>
          <m:r>
            <m:rPr>
              <m:sty m:val="p"/>
            </m:rPr>
            <m:t>.</m:t>
          </m:r>
        </m:oMath>
      </m:oMathPara>
    </w:p>
    <w:p>
      <w:pPr>
        <w:pStyle w:val="FirstParagraph"/>
      </w:pPr>
      <w:r>
        <w:t xml:space="preserve">For passive fills, negative markout is the cleanest operational measure of adverse selection. These metrics should be modeled by time-of-day, time-to-close, spread regime, and queue regime, using quantile regression rather than means alone because execution losses are fat-tailed. The order-flow-imbalance literature is especially relevant here because it links short-run price moves to signed supply-demand imbalance and depth.</w:t>
      </w:r>
      <w:r>
        <w:t xml:space="preserve"> </w:t>
      </w:r>
      <w:hyperlink r:id="rId43">
        <w:r>
          <w:rPr>
            <w:rStyle w:val="Hyperlink"/>
          </w:rPr>
          <w:t xml:space="preserve">[27]</w:t>
        </w:r>
      </w:hyperlink>
    </w:p>
    <w:p>
      <w:pPr>
        <w:pStyle w:val="BodyText"/>
      </w:pPr>
      <w:r>
        <w:t xml:space="preserve">For</w:t>
      </w:r>
      <w:r>
        <w:t xml:space="preserve"> </w:t>
      </w:r>
      <w:r>
        <w:rPr>
          <w:b/>
          <w:bCs/>
        </w:rPr>
        <w:t xml:space="preserve">adverse selection and informed flow</w:t>
      </w:r>
      <w:r>
        <w:t xml:space="preserve">, the practical state variables are top-of-book imbalance, microprice, short-horizon order-flow imbalance, signed trade intensity, and markout curves. A useful microprice proxy is</w:t>
      </w:r>
    </w:p>
    <w:p>
      <w:pPr>
        <w:pStyle w:val="BodyText"/>
      </w:pPr>
      <m:oMathPara>
        <m:oMathParaPr>
          <m:jc m:val="center"/>
        </m:oMathParaPr>
        <m:oMath>
          <m:sSub>
            <m:e>
              <m:r>
                <m:t>μ</m:t>
              </m:r>
            </m:e>
            <m:sub>
              <m:r>
                <m:t>t</m:t>
              </m:r>
            </m:sub>
          </m:sSub>
          <m:r>
            <m:rPr>
              <m:sty m:val="p"/>
            </m:rPr>
            <m:t>=</m:t>
          </m:r>
          <m:f>
            <m:fPr>
              <m:type m:val="bar"/>
            </m:fPr>
            <m:num>
              <m:sSub>
                <m:e>
                  <m:r>
                    <m:t>a</m:t>
                  </m:r>
                </m:e>
                <m:sub>
                  <m:r>
                    <m:t>t</m:t>
                  </m:r>
                </m:sub>
              </m:sSub>
              <m:sSubSup>
                <m:e>
                  <m:r>
                    <m:t>Q</m:t>
                  </m:r>
                </m:e>
                <m:sub>
                  <m:r>
                    <m:t>t</m:t>
                  </m:r>
                </m:sub>
                <m:sup>
                  <m:r>
                    <m:t>b</m:t>
                  </m:r>
                </m:sup>
              </m:sSubSup>
              <m:r>
                <m:rPr>
                  <m:sty m:val="p"/>
                </m:rPr>
                <m:t>+</m:t>
              </m:r>
              <m:sSub>
                <m:e>
                  <m:r>
                    <m:t>b</m:t>
                  </m:r>
                </m:e>
                <m:sub>
                  <m:r>
                    <m:t>t</m:t>
                  </m:r>
                </m:sub>
              </m:sSub>
              <m:sSubSup>
                <m:e>
                  <m:r>
                    <m:t>Q</m:t>
                  </m:r>
                </m:e>
                <m:sub>
                  <m:r>
                    <m:t>t</m:t>
                  </m:r>
                </m:sub>
                <m:sup>
                  <m:r>
                    <m:t>a</m:t>
                  </m:r>
                </m:sup>
              </m:sSubSup>
            </m:num>
            <m:den>
              <m:sSubSup>
                <m:e>
                  <m:r>
                    <m:t>Q</m:t>
                  </m:r>
                </m:e>
                <m:sub>
                  <m:r>
                    <m:t>t</m:t>
                  </m:r>
                </m:sub>
                <m:sup>
                  <m:r>
                    <m:t>a</m:t>
                  </m:r>
                </m:sup>
              </m:sSubSup>
              <m:r>
                <m:rPr>
                  <m:sty m:val="p"/>
                </m:rPr>
                <m:t>+</m:t>
              </m:r>
              <m:sSubSup>
                <m:e>
                  <m:r>
                    <m:t>Q</m:t>
                  </m:r>
                </m:e>
                <m:sub>
                  <m:r>
                    <m:t>t</m:t>
                  </m:r>
                </m:sub>
                <m:sup>
                  <m:r>
                    <m:t>b</m:t>
                  </m:r>
                </m:sup>
              </m:sSubSup>
            </m:den>
          </m:f>
          <m:r>
            <m:rPr>
              <m:sty m:val="p"/>
            </m:rPr>
            <m:t>,</m:t>
          </m:r>
        </m:oMath>
      </m:oMathPara>
    </w:p>
    <w:p>
      <w:pPr>
        <w:pStyle w:val="FirstParagraph"/>
      </w:pPr>
      <w:r>
        <w:t xml:space="preserve">where</w:t>
      </w:r>
      <w:r>
        <w:t xml:space="preserve"> </w:t>
      </w:r>
      <m:oMath>
        <m:sSubSup>
          <m:e>
            <m:r>
              <m:t>Q</m:t>
            </m:r>
          </m:e>
          <m:sub>
            <m:r>
              <m:t>t</m:t>
            </m:r>
          </m:sub>
          <m:sup>
            <m:r>
              <m:t>b</m:t>
            </m:r>
          </m:sup>
        </m:sSubSup>
      </m:oMath>
      <w:r>
        <w:t xml:space="preserve"> </w:t>
      </w:r>
      <w:r>
        <w:t xml:space="preserve">and</w:t>
      </w:r>
      <w:r>
        <w:t xml:space="preserve"> </w:t>
      </w:r>
      <m:oMath>
        <m:sSubSup>
          <m:e>
            <m:r>
              <m:t>Q</m:t>
            </m:r>
          </m:e>
          <m:sub>
            <m:r>
              <m:t>t</m:t>
            </m:r>
          </m:sub>
          <m:sup>
            <m:r>
              <m:t>a</m:t>
            </m:r>
          </m:sup>
        </m:sSubSup>
      </m:oMath>
      <w:r>
        <w:t xml:space="preserve"> </w:t>
      </w:r>
      <w:r>
        <w:t xml:space="preserve">are bid and ask top-of-book sizes. If</w:t>
      </w:r>
      <w:r>
        <w:t xml:space="preserve"> </w:t>
      </w:r>
      <m:oMath>
        <m:sSub>
          <m:e>
            <m:r>
              <m:t>μ</m:t>
            </m:r>
          </m:e>
          <m:sub>
            <m:r>
              <m:t>t</m:t>
            </m:r>
          </m:sub>
        </m:sSub>
      </m:oMath>
      <w:r>
        <w:t xml:space="preserve"> </w:t>
      </w:r>
      <w:r>
        <w:t xml:space="preserve">is materially above the mid while you are bidding passively, your fill odds may improve but so may the risk that the book is about to reprice upward; that trade-off belongs explicitly in the expected-value calculation. As a robustness check, a toxicity metric such as VPIN can also be computed, but in a venue with short-horizon, binary-event repricing, short-horizon OFI and post-fill markouts are usually more directly tied to execution quality.</w:t>
      </w:r>
      <w:r>
        <w:t xml:space="preserve"> </w:t>
      </w:r>
      <w:hyperlink r:id="rId43">
        <w:r>
          <w:rPr>
            <w:rStyle w:val="Hyperlink"/>
          </w:rPr>
          <w:t xml:space="preserve">[28]</w:t>
        </w:r>
      </w:hyperlink>
    </w:p>
    <w:bookmarkEnd w:id="44"/>
    <w:bookmarkStart w:id="48" w:name="parameter-estimation"/>
    <w:p>
      <w:pPr>
        <w:pStyle w:val="Heading2"/>
      </w:pPr>
      <w:r>
        <w:t xml:space="preserve">Parameter estimation</w:t>
      </w:r>
    </w:p>
    <w:p>
      <w:pPr>
        <w:pStyle w:val="FirstParagraph"/>
      </w:pPr>
      <w:r>
        <w:t xml:space="preserve">Start by storing every raw WebSocket message with receive timestamp, exchange timestamp, sequence number, and a local monotonic clock. Kalshi’s WebSocket quick start says the connection is authenticated even for public data channels, and the order-book channel sends a full snapshot followed by deltas. The</w:t>
      </w:r>
      <w:r>
        <w:t xml:space="preserve"> </w:t>
      </w:r>
      <w:r>
        <w:rPr>
          <w:rStyle w:val="VerbatimChar"/>
        </w:rPr>
        <w:t xml:space="preserve">trade</w:t>
      </w:r>
      <w:r>
        <w:t xml:space="preserve"> </w:t>
      </w:r>
      <w:r>
        <w:t xml:space="preserve">channel gives executed volume, price, and taker side. The changelog’s recent addition of best-bid size, best-ask size, and last-trade size to the ticker channel makes it possible to maintain a cheap L1 state for all markets while reserving full depth for names under active execution.</w:t>
      </w:r>
      <w:r>
        <w:t xml:space="preserve"> </w:t>
      </w:r>
      <w:hyperlink r:id="rId45">
        <w:r>
          <w:rPr>
            <w:rStyle w:val="Hyperlink"/>
          </w:rPr>
          <w:t xml:space="preserve">[29]</w:t>
        </w:r>
      </w:hyperlink>
    </w:p>
    <w:p>
      <w:pPr>
        <w:pStyle w:val="BodyText"/>
      </w:pPr>
      <w:r>
        <w:t xml:space="preserve">Then build an order-centric panel. Each observation is an order state at a decision epoch: submit, amend, decrease, cancel, partial fill, or timer tick. At each epoch attach: side, price offset from touch, queue ahead from the official endpoint if available, displayed size at price, top-of-book imbalance, recent OFI, recent signed-trade intensity, order age, time-to-close, time-of-day bucket, spread, and the upstream paper edge from the weather model. The target variables are time-to-first-fill, time-to-complete-fill, partial-fill amount, markout at horizons such as 5 seconds / 30 seconds / 5 minutes / close, and any fallback cost if the order later had to be crossed.</w:t>
      </w:r>
      <w:r>
        <w:t xml:space="preserve"> </w:t>
      </w:r>
      <w:hyperlink r:id="rId30">
        <w:r>
          <w:rPr>
            <w:rStyle w:val="Hyperlink"/>
          </w:rPr>
          <w:t xml:space="preserve">[30]</w:t>
        </w:r>
      </w:hyperlink>
    </w:p>
    <w:p>
      <w:pPr>
        <w:pStyle w:val="BodyText"/>
      </w:pPr>
      <w:r>
        <w:t xml:space="preserve">Estimate the queue-ahead attrition parameter</w:t>
      </w:r>
      <w:r>
        <w:t xml:space="preserve"> </w:t>
      </w:r>
      <m:oMath>
        <m:sSub>
          <m:e>
            <m:r>
              <m:t>ρ</m:t>
            </m:r>
          </m:e>
          <m:sub>
            <m:r>
              <m:t>t</m:t>
            </m:r>
          </m:sub>
        </m:sSub>
      </m:oMath>
      <w:r>
        <w:t xml:space="preserve"> </w:t>
      </w:r>
      <w:r>
        <w:t xml:space="preserve">by using official queue-position reads as anchors. Between anchor times, infer how much displayed depletion at your price was caused by trades versus cancellations using the public trade channel plus order-book deltas. Then fit either a bounded logistic model</w:t>
      </w:r>
    </w:p>
    <w:p>
      <w:pPr>
        <w:pStyle w:val="BodyText"/>
      </w:pPr>
      <m:oMathPara>
        <m:oMathParaPr>
          <m:jc m:val="center"/>
        </m:oMathParaPr>
        <m:oMath>
          <m:sSub>
            <m:e>
              <m:r>
                <m:t>ρ</m:t>
              </m:r>
            </m:e>
            <m:sub>
              <m:r>
                <m:t>t</m:t>
              </m:r>
            </m:sub>
          </m:sSub>
          <m:r>
            <m:rPr>
              <m:sty m:val="p"/>
            </m:rPr>
            <m:t>=</m:t>
          </m:r>
          <m:r>
            <m:t>σ</m:t>
          </m:r>
          <m:d>
            <m:dPr>
              <m:begChr m:val="("/>
              <m:sepChr m:val=""/>
              <m:endChr m:val=")"/>
              <m:grow/>
            </m:dPr>
            <m:e>
              <m:sSup>
                <m:e>
                  <m:r>
                    <m:t>θ</m:t>
                  </m:r>
                </m:e>
                <m:sup>
                  <m:r>
                    <m:rPr>
                      <m:sty m:val="p"/>
                    </m:rPr>
                    <m:t>⊤</m:t>
                  </m:r>
                </m:sup>
              </m:sSup>
              <m:sSub>
                <m:e>
                  <m:r>
                    <m:t>Z</m:t>
                  </m:r>
                </m:e>
                <m:sub>
                  <m:r>
                    <m:t>t</m:t>
                  </m:r>
                </m:sub>
              </m:sSub>
            </m:e>
          </m:d>
        </m:oMath>
      </m:oMathPara>
    </w:p>
    <w:p>
      <w:pPr>
        <w:pStyle w:val="FirstParagraph"/>
      </w:pPr>
      <w:r>
        <w:t xml:space="preserve">or a piecewise-constant regime model by spread, volatility, and time-to-close. The loss function is the discrepancy between predicted queue ahead and the next official</w:t>
      </w:r>
      <w:r>
        <w:t xml:space="preserve"> </w:t>
      </w:r>
      <w:r>
        <w:rPr>
          <w:rStyle w:val="VerbatimChar"/>
        </w:rPr>
        <w:t xml:space="preserve">queue_position_fp</w:t>
      </w:r>
      <w:r>
        <w:t xml:space="preserve"> </w:t>
      </w:r>
      <w:r>
        <w:t xml:space="preserve">read. This step is the difference between a realistic fill simulator and a misleading one.</w:t>
      </w:r>
      <w:r>
        <w:t xml:space="preserve"> </w:t>
      </w:r>
      <w:hyperlink r:id="rId46">
        <w:r>
          <w:rPr>
            <w:rStyle w:val="Hyperlink"/>
          </w:rPr>
          <w:t xml:space="preserve">[31]</w:t>
        </w:r>
      </w:hyperlink>
    </w:p>
    <w:p>
      <w:pPr>
        <w:pStyle w:val="BodyText"/>
      </w:pPr>
      <w:r>
        <w:t xml:space="preserve">For fill prediction, estimate a hierarchical hazard model first, then compare it against flexible machine-learning baselines. The baseline should include market-family and time-of-day random effects so that the model can share strength across days while still learning weather-specific intraday regimes. Report Brier score for horizon-specific fill probabilities, time-to-fill concordance, calibration curves, and expected calibration error. If you have enough data, fit a direct survival model for</w:t>
      </w:r>
      <w:r>
        <w:t xml:space="preserve"> </w:t>
      </w:r>
      <m:oMath>
        <m:sSub>
          <m:e>
            <m:r>
              <m:t>T</m:t>
            </m:r>
          </m:e>
          <m:sub>
            <m:r>
              <m:rPr>
                <m:nor/>
                <m:sty m:val="p"/>
              </m:rPr>
              <m:t>fill</m:t>
            </m:r>
          </m:sub>
        </m:sSub>
      </m:oMath>
      <w:r>
        <w:t xml:space="preserve">; if data are sparse, aggregate to horizon buckets such as 5 seconds, 15 seconds, 60 seconds, and 5 minutes.</w:t>
      </w:r>
      <w:r>
        <w:t xml:space="preserve"> </w:t>
      </w:r>
      <w:hyperlink r:id="rId47">
        <w:r>
          <w:rPr>
            <w:rStyle w:val="Hyperlink"/>
          </w:rPr>
          <w:t xml:space="preserve">[32]</w:t>
        </w:r>
      </w:hyperlink>
    </w:p>
    <w:p>
      <w:pPr>
        <w:pStyle w:val="BodyText"/>
      </w:pPr>
      <w:r>
        <w:t xml:space="preserve">For slippage and adverse selection, fit conditional quantile models rather than ordinary least squares. The quantity that matters operationally is not the average markout but the lower tail when you get picked off right before a repricing move. Fit separate quantile models for</w:t>
      </w:r>
      <w:r>
        <w:t xml:space="preserve"> </w:t>
      </w:r>
      <m:oMath>
        <m:r>
          <m:t>M</m:t>
        </m:r>
        <m:sSub>
          <m:e>
            <m:r>
              <m:t>O</m:t>
            </m:r>
          </m:e>
          <m:sub>
            <m:r>
              <m:t>5</m:t>
            </m:r>
            <m:r>
              <m:t>s</m:t>
            </m:r>
          </m:sub>
        </m:sSub>
      </m:oMath>
      <w:r>
        <w:t xml:space="preserve">,</w:t>
      </w:r>
      <w:r>
        <w:t xml:space="preserve"> </w:t>
      </w:r>
      <m:oMath>
        <m:r>
          <m:t>M</m:t>
        </m:r>
        <m:sSub>
          <m:e>
            <m:r>
              <m:t>O</m:t>
            </m:r>
          </m:e>
          <m:sub>
            <m:r>
              <m:t>30</m:t>
            </m:r>
            <m:r>
              <m:t>s</m:t>
            </m:r>
          </m:sub>
        </m:sSub>
      </m:oMath>
      <w:r>
        <w:t xml:space="preserve">, and</w:t>
      </w:r>
      <w:r>
        <w:t xml:space="preserve"> </w:t>
      </w:r>
      <m:oMath>
        <m:r>
          <m:t>M</m:t>
        </m:r>
        <m:sSub>
          <m:e>
            <m:r>
              <m:t>O</m:t>
            </m:r>
          </m:e>
          <m:sub>
            <m:r>
              <m:rPr>
                <m:nor/>
                <m:sty m:val="p"/>
              </m:rPr>
              <m:t>close</m:t>
            </m:r>
          </m:sub>
        </m:sSub>
      </m:oMath>
      <w:r>
        <w:t xml:space="preserve">, plus an all-in slippage model for any aggressive fallback order. Condition on spread, imbalance, queue position, short-horizon OFI, order age, time-to-close, and whether the fill occurred while the market was near close. OFI deserves a front-row role because the cited literature finds a robust linear link between order-flow imbalance and short-run price changes, with slope inversely proportional to depth.</w:t>
      </w:r>
      <w:r>
        <w:t xml:space="preserve"> </w:t>
      </w:r>
      <w:hyperlink r:id="rId43">
        <w:r>
          <w:rPr>
            <w:rStyle w:val="Hyperlink"/>
          </w:rPr>
          <w:t xml:space="preserve">[33]</w:t>
        </w:r>
      </w:hyperlink>
    </w:p>
    <w:bookmarkEnd w:id="48"/>
    <w:bookmarkStart w:id="50" w:name="simulation-design-and-evaluation"/>
    <w:p>
      <w:pPr>
        <w:pStyle w:val="Heading2"/>
      </w:pPr>
      <w:r>
        <w:t xml:space="preserve">Simulation design and evaluation</w:t>
      </w:r>
    </w:p>
    <w:p>
      <w:pPr>
        <w:pStyle w:val="FirstParagraph"/>
      </w:pPr>
      <w:r>
        <w:t xml:space="preserve">The simulator should be event-driven and stateful. State consists of: reconstructed book, top-of-book summary, your outstanding orders, official queue snapshots when available, inventory, pending cancels/amends, and time-to-close. Candidate actions are parameterized as</w:t>
      </w:r>
    </w:p>
    <w:p>
      <w:pPr>
        <w:pStyle w:val="BodyText"/>
      </w:pPr>
      <m:oMathPara>
        <m:oMathParaPr>
          <m:jc m:val="center"/>
        </m:oMathParaPr>
        <m:oMath>
          <m:r>
            <m:t>a</m:t>
          </m:r>
          <m:r>
            <m:rPr>
              <m:sty m:val="p"/>
            </m:rPr>
            <m:t>=</m:t>
          </m:r>
          <m:d>
            <m:dPr>
              <m:begChr m:val="("/>
              <m:sepChr m:val=""/>
              <m:endChr m:val=")"/>
              <m:grow/>
            </m:dPr>
            <m:e>
              <m:sSub>
                <m:e>
                  <m:r>
                    <m:t>δ</m:t>
                  </m:r>
                </m:e>
                <m:sub>
                  <m:r>
                    <m:t>0</m:t>
                  </m:r>
                </m:sub>
              </m:sSub>
              <m:r>
                <m:rPr>
                  <m:sty m:val="p"/>
                </m:rPr>
                <m:t>,</m:t>
              </m:r>
              <m:r>
                <m:t> </m:t>
              </m:r>
              <m:sSub>
                <m:e>
                  <m:r>
                    <m:t>τ</m:t>
                  </m:r>
                </m:e>
                <m:sub>
                  <m:r>
                    <m:rPr>
                      <m:nor/>
                      <m:sty m:val="p"/>
                    </m:rPr>
                    <m:t>cancel</m:t>
                  </m:r>
                </m:sub>
              </m:sSub>
              <m:r>
                <m:rPr>
                  <m:sty m:val="p"/>
                </m:rPr>
                <m:t>,</m:t>
              </m:r>
              <m:r>
                <m:t> </m:t>
              </m:r>
              <m:sSub>
                <m:e>
                  <m:r>
                    <m:t>N</m:t>
                  </m:r>
                </m:e>
                <m:sub>
                  <m:r>
                    <m:rPr>
                      <m:nor/>
                      <m:sty m:val="p"/>
                    </m:rPr>
                    <m:t>reprices</m:t>
                  </m:r>
                </m:sub>
              </m:sSub>
              <m:r>
                <m:rPr>
                  <m:sty m:val="p"/>
                </m:rPr>
                <m:t>,</m:t>
              </m:r>
              <m:r>
                <m:t> </m:t>
              </m:r>
              <m:sSubSup>
                <m:e>
                  <m:r>
                    <m:t>δ</m:t>
                  </m:r>
                </m:e>
                <m:sub>
                  <m:r>
                    <m:rPr>
                      <m:sty m:val="p"/>
                    </m:rPr>
                    <m:t>max</m:t>
                  </m:r>
                </m:sub>
                <m:sup>
                  <m:r>
                    <m:rPr>
                      <m:nor/>
                      <m:sty m:val="p"/>
                    </m:rPr>
                    <m:t>chase</m:t>
                  </m:r>
                </m:sup>
              </m:sSubSup>
              <m:r>
                <m:rPr>
                  <m:sty m:val="p"/>
                </m:rPr>
                <m:t>,</m:t>
              </m:r>
              <m:r>
                <m:t> </m:t>
              </m:r>
              <m:sSubSup>
                <m:e>
                  <m:r>
                    <m:t>τ</m:t>
                  </m:r>
                </m:e>
                <m:sub>
                  <m:r>
                    <m:rPr>
                      <m:sty m:val="p"/>
                    </m:rPr>
                    <m:t>max</m:t>
                  </m:r>
                </m:sub>
                <m:sup>
                  <m:r>
                    <m:rPr>
                      <m:nor/>
                      <m:sty m:val="p"/>
                    </m:rPr>
                    <m:t>chase</m:t>
                  </m:r>
                </m:sup>
              </m:sSubSup>
              <m:r>
                <m:rPr>
                  <m:sty m:val="p"/>
                </m:rPr>
                <m:t>,</m:t>
              </m:r>
              <m:r>
                <m:t> </m:t>
              </m:r>
              <m:r>
                <m:rPr>
                  <m:nor/>
                  <m:sty m:val="p"/>
                </m:rPr>
                <m:t>fallback mode</m:t>
              </m:r>
            </m:e>
          </m:d>
          <m:r>
            <m:rPr>
              <m:sty m:val="p"/>
            </m:rPr>
            <m:t>,</m:t>
          </m:r>
        </m:oMath>
      </m:oMathPara>
    </w:p>
    <w:p>
      <w:pPr>
        <w:pStyle w:val="FirstParagraph"/>
      </w:pPr>
      <w:r>
        <w:t xml:space="preserve">where</w:t>
      </w:r>
      <w:r>
        <w:t xml:space="preserve"> </w:t>
      </w:r>
      <m:oMath>
        <m:sSub>
          <m:e>
            <m:r>
              <m:t>δ</m:t>
            </m:r>
          </m:e>
          <m:sub>
            <m:r>
              <m:t>0</m:t>
            </m:r>
          </m:sub>
        </m:sSub>
      </m:oMath>
      <w:r>
        <w:t xml:space="preserve"> </w:t>
      </w:r>
      <w:r>
        <w:t xml:space="preserve">is initial limit offset in ticks from the same-side touch,</w:t>
      </w:r>
      <w:r>
        <w:t xml:space="preserve"> </w:t>
      </w:r>
      <m:oMath>
        <m:sSub>
          <m:e>
            <m:r>
              <m:t>τ</m:t>
            </m:r>
          </m:e>
          <m:sub>
            <m:r>
              <m:rPr>
                <m:nor/>
                <m:sty m:val="p"/>
              </m:rPr>
              <m:t>cancel</m:t>
            </m:r>
          </m:sub>
        </m:sSub>
      </m:oMath>
      <w:r>
        <w:t xml:space="preserve"> </w:t>
      </w:r>
      <w:r>
        <w:t xml:space="preserve">is the stale timer,</w:t>
      </w:r>
      <w:r>
        <w:t xml:space="preserve"> </w:t>
      </w:r>
      <m:oMath>
        <m:sSub>
          <m:e>
            <m:r>
              <m:t>N</m:t>
            </m:r>
          </m:e>
          <m:sub>
            <m:r>
              <m:rPr>
                <m:nor/>
                <m:sty m:val="p"/>
              </m:rPr>
              <m:t>reprices</m:t>
            </m:r>
          </m:sub>
        </m:sSub>
      </m:oMath>
      <w:r>
        <w:t xml:space="preserve"> </w:t>
      </w:r>
      <w:r>
        <w:t xml:space="preserve">is the maximum number of price changes, and the chase parameters cap both price movement and elapsed time. Price amendments must explicitly reset queue position because Kalshi price-time priority plus the FIX replace semantics imply queue loss when price changes or same-price quantity is increased.</w:t>
      </w:r>
      <w:r>
        <w:t xml:space="preserve"> </w:t>
      </w:r>
      <w:hyperlink r:id="rId21">
        <w:r>
          <w:rPr>
            <w:rStyle w:val="Hyperlink"/>
          </w:rPr>
          <w:t xml:space="preserve">[34]</w:t>
        </w:r>
      </w:hyperlink>
    </w:p>
    <w:p>
      <w:pPr>
        <w:pStyle w:val="BodyText"/>
      </w:pPr>
      <w:r>
        <w:t xml:space="preserve">Because REST account/order state is not always instantaneous, the simulator should use the immediate response to POST/PUT/DELETE requests, then reconcile against user-order/fill channels and</w:t>
      </w:r>
      <w:r>
        <w:t xml:space="preserve"> </w:t>
      </w:r>
      <w:r>
        <w:rPr>
          <w:rStyle w:val="VerbatimChar"/>
        </w:rPr>
        <w:t xml:space="preserve">Get User Data Timestamp</w:t>
      </w:r>
      <w:r>
        <w:t xml:space="preserve">. Kalshi explicitly says there is usually a short delay before exchange events are reflected in selected API endpoints and recommends combining write responses with WebSocket data for the most accurate exchange state. That is not a footnote; it should be a hard requirement in your replay and monitoring stack.</w:t>
      </w:r>
      <w:r>
        <w:t xml:space="preserve"> </w:t>
      </w:r>
      <w:hyperlink r:id="rId38">
        <w:r>
          <w:rPr>
            <w:rStyle w:val="Hyperlink"/>
          </w:rPr>
          <w:t xml:space="preserve">[21]</w:t>
        </w:r>
      </w:hyperlink>
    </w:p>
    <w:p>
      <w:pPr>
        <w:pStyle w:val="BodyText"/>
      </w:pPr>
      <w:r>
        <w:t xml:space="preserve">The evaluation suite should emphasize</w:t>
      </w:r>
      <w:r>
        <w:t xml:space="preserve"> </w:t>
      </w:r>
      <w:r>
        <w:rPr>
          <w:b/>
          <w:bCs/>
        </w:rPr>
        <w:t xml:space="preserve">edge retention</w:t>
      </w:r>
      <w:r>
        <w:t xml:space="preserve">, not just P&amp;L. The most important metrics are: expected realized edge per contract, edge-capture ratio</w:t>
      </w:r>
    </w:p>
    <w:p>
      <w:pPr>
        <w:pStyle w:val="BodyText"/>
      </w:pPr>
      <m:oMathPara>
        <m:oMathParaPr>
          <m:jc m:val="center"/>
        </m:oMathParaPr>
        <m:oMath>
          <m:r>
            <m:rPr>
              <m:nor/>
              <m:sty m:val="p"/>
            </m:rPr>
            <m:t>Capture Ratio</m:t>
          </m:r>
          <m:r>
            <m:rPr>
              <m:sty m:val="p"/>
            </m:rPr>
            <m:t>=</m:t>
          </m:r>
          <m:f>
            <m:fPr>
              <m:type m:val="bar"/>
            </m:fPr>
            <m:num>
              <m:r>
                <m:rPr>
                  <m:sty m:val="p"/>
                  <m:scr m:val="double-struck"/>
                </m:rPr>
                <m:t>E</m:t>
              </m:r>
              <m:d>
                <m:dPr>
                  <m:begChr m:val="["/>
                  <m:sepChr m:val=""/>
                  <m:endChr m:val="]"/>
                  <m:grow/>
                </m:dPr>
                <m:e>
                  <m:sSup>
                    <m:e>
                      <m:r>
                        <m:t>e</m:t>
                      </m:r>
                    </m:e>
                    <m:sup>
                      <m:r>
                        <m:rPr>
                          <m:nor/>
                          <m:sty m:val="p"/>
                        </m:rPr>
                        <m:t>real</m:t>
                      </m:r>
                    </m:sup>
                  </m:sSup>
                </m:e>
              </m:d>
            </m:num>
            <m:den>
              <m:r>
                <m:rPr>
                  <m:sty m:val="p"/>
                  <m:scr m:val="double-struck"/>
                </m:rPr>
                <m:t>E</m:t>
              </m:r>
              <m:d>
                <m:dPr>
                  <m:begChr m:val="["/>
                  <m:sepChr m:val=""/>
                  <m:endChr m:val="]"/>
                  <m:grow/>
                </m:dPr>
                <m:e>
                  <m:sSubSup>
                    <m:e>
                      <m:r>
                        <m:t>e</m:t>
                      </m:r>
                    </m:e>
                    <m:sub>
                      <m:r>
                        <m:rPr>
                          <m:sty m:val="p"/>
                        </m:rPr>
                        <m:t>+</m:t>
                      </m:r>
                    </m:sub>
                    <m:sup>
                      <m:r>
                        <m:rPr>
                          <m:nor/>
                          <m:sty m:val="p"/>
                        </m:rPr>
                        <m:t>paper</m:t>
                      </m:r>
                    </m:sup>
                  </m:sSubSup>
                </m:e>
              </m:d>
            </m:den>
          </m:f>
          <m:r>
            <m:rPr>
              <m:sty m:val="p"/>
            </m:rPr>
            <m:t>,</m:t>
          </m:r>
        </m:oMath>
      </m:oMathPara>
    </w:p>
    <w:p>
      <w:pPr>
        <w:pStyle w:val="FirstParagraph"/>
      </w:pPr>
      <w:r>
        <w:t xml:space="preserve">fill probability by horizon, median and 95th-percentile time-to-fill, negative markout rate, average/95th-percentile all-in slippage, cancel-to-fill race frequency, inventory variance, and write-rate consumption against Kalshi’s published API tier limits. These are the metrics that tell you whether the execution model preserves the informational edge already generated upstream.</w:t>
      </w:r>
      <w:r>
        <w:t xml:space="preserve"> </w:t>
      </w:r>
      <w:hyperlink r:id="rId33">
        <w:r>
          <w:rPr>
            <w:rStyle w:val="Hyperlink"/>
          </w:rPr>
          <w:t xml:space="preserve">[35]</w:t>
        </w:r>
      </w:hyperlink>
    </w:p>
    <w:p>
      <w:pPr>
        <w:pStyle w:val="BodyText"/>
      </w:pPr>
      <w:r>
        <w:t xml:space="preserve">Because official historical endpoints cover trades/orders/fills/candlesticks but not archived order-book depth, the charts and performance table below are</w:t>
      </w:r>
      <w:r>
        <w:t xml:space="preserve"> </w:t>
      </w:r>
      <w:r>
        <w:rPr>
          <w:b/>
          <w:bCs/>
        </w:rPr>
        <w:t xml:space="preserve">illustrative synthetic templates</w:t>
      </w:r>
      <w:r>
        <w:t xml:space="preserve"> </w:t>
      </w:r>
      <w:r>
        <w:t xml:space="preserve">generated from the methodology above. Replace them with empirical outputs once you have forward-collected order-book snapshots/deltas for at least several weeks across multiple weather days.</w:t>
      </w:r>
      <w:r>
        <w:t xml:space="preserve"> </w:t>
      </w:r>
      <w:hyperlink r:id="rId23">
        <w:r>
          <w:rPr>
            <w:rStyle w:val="Hyperlink"/>
          </w:rPr>
          <w:t xml:space="preserve">[4]</w:t>
        </w:r>
      </w:hyperlink>
    </w:p>
    <w:p>
      <w:pPr>
        <w:pStyle w:val="SourceCode"/>
      </w:pPr>
      <w:r>
        <w:rPr>
          <w:rStyle w:val="VerbatimChar"/>
        </w:rPr>
        <w:t xml:space="preserve">xychart-beta</w:t>
      </w:r>
      <w:r>
        <w:br/>
      </w:r>
      <w:r>
        <w:rPr>
          <w:rStyle w:val="VerbatimChar"/>
        </w:rPr>
        <w:t xml:space="preserve">    title "Illustrative median quoted spread by ET time bucket"</w:t>
      </w:r>
      <w:r>
        <w:br/>
      </w:r>
      <w:r>
        <w:rPr>
          <w:rStyle w:val="VerbatimChar"/>
        </w:rPr>
        <w:t xml:space="preserve">    x-axis ["00:00","03:00","06:00","09:00","12:00","15:00","18:00","21:00"]</w:t>
      </w:r>
      <w:r>
        <w:br/>
      </w:r>
      <w:r>
        <w:rPr>
          <w:rStyle w:val="VerbatimChar"/>
        </w:rPr>
        <w:t xml:space="preserve">    y-axis "Spread (cents)" 0 --&gt; 6</w:t>
      </w:r>
      <w:r>
        <w:br/>
      </w:r>
      <w:r>
        <w:rPr>
          <w:rStyle w:val="VerbatimChar"/>
        </w:rPr>
        <w:t xml:space="preserve">    line [4.8,4.5,3.9,2.7,2.2,2.4,3.0,4.1]</w:t>
      </w:r>
    </w:p>
    <w:p>
      <w:pPr>
        <w:pStyle w:val="SourceCode"/>
      </w:pPr>
      <w:r>
        <w:rPr>
          <w:rStyle w:val="VerbatimChar"/>
        </w:rPr>
        <w:t xml:space="preserve">xychart-beta</w:t>
      </w:r>
      <w:r>
        <w:br/>
      </w:r>
      <w:r>
        <w:rPr>
          <w:rStyle w:val="VerbatimChar"/>
        </w:rPr>
        <w:t xml:space="preserve">    title "Illustrative median all-in slippage on fallback aggressive orders"</w:t>
      </w:r>
      <w:r>
        <w:br/>
      </w:r>
      <w:r>
        <w:rPr>
          <w:rStyle w:val="VerbatimChar"/>
        </w:rPr>
        <w:t xml:space="preserve">    x-axis ["00:00","03:00","06:00","09:00","12:00","15:00","18:00","21:00"]</w:t>
      </w:r>
      <w:r>
        <w:br/>
      </w:r>
      <w:r>
        <w:rPr>
          <w:rStyle w:val="VerbatimChar"/>
        </w:rPr>
        <w:t xml:space="preserve">    y-axis "Slippage (cents/contract)" 0 --&gt; 5</w:t>
      </w:r>
      <w:r>
        <w:br/>
      </w:r>
      <w:r>
        <w:rPr>
          <w:rStyle w:val="VerbatimChar"/>
        </w:rPr>
        <w:t xml:space="preserve">    line [3.6,3.4,2.8,1.9,1.5,1.7,2.2,3.1]</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Strategy variant</w:t>
            </w:r>
          </w:p>
        </w:tc>
        <w:tc>
          <w:tcPr/>
          <w:p>
            <w:pPr>
              <w:pStyle w:val="Compact"/>
            </w:pPr>
            <w:r>
              <w:t xml:space="preserve">Entry rule</w:t>
            </w:r>
          </w:p>
        </w:tc>
        <w:tc>
          <w:tcPr/>
          <w:p>
            <w:pPr>
              <w:pStyle w:val="Compact"/>
              <w:jc w:val="right"/>
            </w:pPr>
            <w:r>
              <w:t xml:space="preserve">Stale timer</w:t>
            </w:r>
          </w:p>
        </w:tc>
        <w:tc>
          <w:tcPr/>
          <w:p>
            <w:pPr>
              <w:pStyle w:val="Compact"/>
              <w:jc w:val="right"/>
            </w:pPr>
            <w:r>
              <w:t xml:space="preserve">Max chase</w:t>
            </w:r>
          </w:p>
        </w:tc>
        <w:tc>
          <w:tcPr/>
          <w:p>
            <w:pPr>
              <w:pStyle w:val="Compact"/>
              <w:jc w:val="right"/>
            </w:pPr>
            <w:r>
              <w:t xml:space="preserve">Synthetic fill rate</w:t>
            </w:r>
          </w:p>
        </w:tc>
        <w:tc>
          <w:tcPr/>
          <w:p>
            <w:pPr>
              <w:pStyle w:val="Compact"/>
              <w:jc w:val="right"/>
            </w:pPr>
            <w:r>
              <w:t xml:space="preserve">Synthetic capture ratio</w:t>
            </w:r>
          </w:p>
        </w:tc>
        <w:tc>
          <w:tcPr/>
          <w:p>
            <w:pPr>
              <w:pStyle w:val="Compact"/>
              <w:jc w:val="right"/>
            </w:pPr>
            <w:r>
              <w:t xml:space="preserve">Synthetic markout at 30s</w:t>
            </w:r>
          </w:p>
        </w:tc>
        <w:tc>
          <w:tcPr/>
          <w:p>
            <w:pPr>
              <w:pStyle w:val="Compact"/>
              <w:jc w:val="right"/>
            </w:pPr>
            <w:r>
              <w:t xml:space="preserve">Synthetic net realized edge</w:t>
            </w:r>
          </w:p>
        </w:tc>
      </w:tr>
      <w:tr>
        <w:tc>
          <w:tcPr/>
          <w:p>
            <w:pPr>
              <w:pStyle w:val="Compact"/>
            </w:pPr>
            <w:r>
              <w:t xml:space="preserve">Passive touch join</w:t>
            </w:r>
          </w:p>
        </w:tc>
        <w:tc>
          <w:tcPr/>
          <w:p>
            <w:pPr>
              <w:pStyle w:val="Compact"/>
            </w:pPr>
            <w:r>
              <w:t xml:space="preserve">Join best quote</w:t>
            </w:r>
          </w:p>
        </w:tc>
        <w:tc>
          <w:tcPr/>
          <w:p>
            <w:pPr>
              <w:pStyle w:val="Compact"/>
              <w:jc w:val="right"/>
            </w:pPr>
            <w:r>
              <w:t xml:space="preserve">60 s</w:t>
            </w:r>
          </w:p>
        </w:tc>
        <w:tc>
          <w:tcPr/>
          <w:p>
            <w:pPr>
              <w:pStyle w:val="Compact"/>
              <w:jc w:val="right"/>
            </w:pPr>
            <w:r>
              <w:t xml:space="preserve">0 ticks</w:t>
            </w:r>
          </w:p>
        </w:tc>
        <w:tc>
          <w:tcPr/>
          <w:p>
            <w:pPr>
              <w:pStyle w:val="Compact"/>
              <w:jc w:val="right"/>
            </w:pPr>
            <w:r>
              <w:t xml:space="preserve">41%</w:t>
            </w:r>
          </w:p>
        </w:tc>
        <w:tc>
          <w:tcPr/>
          <w:p>
            <w:pPr>
              <w:pStyle w:val="Compact"/>
              <w:jc w:val="right"/>
            </w:pPr>
            <w:r>
              <w:t xml:space="preserve">0.53</w:t>
            </w:r>
          </w:p>
        </w:tc>
        <w:tc>
          <w:tcPr/>
          <w:p>
            <w:pPr>
              <w:pStyle w:val="Compact"/>
              <w:jc w:val="right"/>
            </w:pPr>
            <w:r>
              <w:t xml:space="preserve">-0.4 c</w:t>
            </w:r>
          </w:p>
        </w:tc>
        <w:tc>
          <w:tcPr/>
          <w:p>
            <w:pPr>
              <w:pStyle w:val="Compact"/>
              <w:jc w:val="right"/>
            </w:pPr>
            <w:r>
              <w:t xml:space="preserve">+0.6 c/contract</w:t>
            </w:r>
          </w:p>
        </w:tc>
      </w:tr>
      <w:tr>
        <w:tc>
          <w:tcPr/>
          <w:p>
            <w:pPr>
              <w:pStyle w:val="Compact"/>
            </w:pPr>
            <w:r>
              <w:t xml:space="preserve">Passive touch + one reprice</w:t>
            </w:r>
          </w:p>
        </w:tc>
        <w:tc>
          <w:tcPr/>
          <w:p>
            <w:pPr>
              <w:pStyle w:val="Compact"/>
            </w:pPr>
            <w:r>
              <w:t xml:space="preserve">Join best quote, one improvement if stale</w:t>
            </w:r>
          </w:p>
        </w:tc>
        <w:tc>
          <w:tcPr/>
          <w:p>
            <w:pPr>
              <w:pStyle w:val="Compact"/>
              <w:jc w:val="right"/>
            </w:pPr>
            <w:r>
              <w:t xml:space="preserve">30 s</w:t>
            </w:r>
          </w:p>
        </w:tc>
        <w:tc>
          <w:tcPr/>
          <w:p>
            <w:pPr>
              <w:pStyle w:val="Compact"/>
              <w:jc w:val="right"/>
            </w:pPr>
            <w:r>
              <w:t xml:space="preserve">1 tick</w:t>
            </w:r>
          </w:p>
        </w:tc>
        <w:tc>
          <w:tcPr/>
          <w:p>
            <w:pPr>
              <w:pStyle w:val="Compact"/>
              <w:jc w:val="right"/>
            </w:pPr>
            <w:r>
              <w:t xml:space="preserve">57%</w:t>
            </w:r>
          </w:p>
        </w:tc>
        <w:tc>
          <w:tcPr/>
          <w:p>
            <w:pPr>
              <w:pStyle w:val="Compact"/>
              <w:jc w:val="right"/>
            </w:pPr>
            <w:r>
              <w:t xml:space="preserve">0.67</w:t>
            </w:r>
          </w:p>
        </w:tc>
        <w:tc>
          <w:tcPr/>
          <w:p>
            <w:pPr>
              <w:pStyle w:val="Compact"/>
              <w:jc w:val="right"/>
            </w:pPr>
            <w:r>
              <w:t xml:space="preserve">-0.7 c</w:t>
            </w:r>
          </w:p>
        </w:tc>
        <w:tc>
          <w:tcPr/>
          <w:p>
            <w:pPr>
              <w:pStyle w:val="Compact"/>
              <w:jc w:val="right"/>
            </w:pPr>
            <w:r>
              <w:t xml:space="preserve">+0.9 c/contract</w:t>
            </w:r>
          </w:p>
        </w:tc>
      </w:tr>
      <w:tr>
        <w:tc>
          <w:tcPr/>
          <w:p>
            <w:pPr>
              <w:pStyle w:val="Compact"/>
            </w:pPr>
            <w:r>
              <w:t xml:space="preserve">Immediate one-tick improvement</w:t>
            </w:r>
          </w:p>
        </w:tc>
        <w:tc>
          <w:tcPr/>
          <w:p>
            <w:pPr>
              <w:pStyle w:val="Compact"/>
            </w:pPr>
            <w:r>
              <w:t xml:space="preserve">Improve on entry</w:t>
            </w:r>
          </w:p>
        </w:tc>
        <w:tc>
          <w:tcPr/>
          <w:p>
            <w:pPr>
              <w:pStyle w:val="Compact"/>
              <w:jc w:val="right"/>
            </w:pPr>
            <w:r>
              <w:t xml:space="preserve">45 s</w:t>
            </w:r>
          </w:p>
        </w:tc>
        <w:tc>
          <w:tcPr/>
          <w:p>
            <w:pPr>
              <w:pStyle w:val="Compact"/>
              <w:jc w:val="right"/>
            </w:pPr>
            <w:r>
              <w:t xml:space="preserve">0 ticks</w:t>
            </w:r>
          </w:p>
        </w:tc>
        <w:tc>
          <w:tcPr/>
          <w:p>
            <w:pPr>
              <w:pStyle w:val="Compact"/>
              <w:jc w:val="right"/>
            </w:pPr>
            <w:r>
              <w:t xml:space="preserve">72%</w:t>
            </w:r>
          </w:p>
        </w:tc>
        <w:tc>
          <w:tcPr/>
          <w:p>
            <w:pPr>
              <w:pStyle w:val="Compact"/>
              <w:jc w:val="right"/>
            </w:pPr>
            <w:r>
              <w:t xml:space="preserve">0.48</w:t>
            </w:r>
          </w:p>
        </w:tc>
        <w:tc>
          <w:tcPr/>
          <w:p>
            <w:pPr>
              <w:pStyle w:val="Compact"/>
              <w:jc w:val="right"/>
            </w:pPr>
            <w:r>
              <w:t xml:space="preserve">-1.2 c</w:t>
            </w:r>
          </w:p>
        </w:tc>
        <w:tc>
          <w:tcPr/>
          <w:p>
            <w:pPr>
              <w:pStyle w:val="Compact"/>
              <w:jc w:val="right"/>
            </w:pPr>
            <w:r>
              <w:t xml:space="preserve">+0.4 c/contract</w:t>
            </w:r>
          </w:p>
        </w:tc>
      </w:tr>
      <w:tr>
        <w:tc>
          <w:tcPr/>
          <w:p>
            <w:pPr>
              <w:pStyle w:val="Compact"/>
            </w:pPr>
            <w:r>
              <w:t xml:space="preserve">Passive then aggressive fallback</w:t>
            </w:r>
          </w:p>
        </w:tc>
        <w:tc>
          <w:tcPr/>
          <w:p>
            <w:pPr>
              <w:pStyle w:val="Compact"/>
            </w:pPr>
            <w:r>
              <w:t xml:space="preserve">Join touch, cross if not filled by timer</w:t>
            </w:r>
          </w:p>
        </w:tc>
        <w:tc>
          <w:tcPr/>
          <w:p>
            <w:pPr>
              <w:pStyle w:val="Compact"/>
              <w:jc w:val="right"/>
            </w:pPr>
            <w:r>
              <w:t xml:space="preserve">20 s</w:t>
            </w:r>
          </w:p>
        </w:tc>
        <w:tc>
          <w:tcPr/>
          <w:p>
            <w:pPr>
              <w:pStyle w:val="Compact"/>
              <w:jc w:val="right"/>
            </w:pPr>
            <w:r>
              <w:t xml:space="preserve">1 tick then cross</w:t>
            </w:r>
          </w:p>
        </w:tc>
        <w:tc>
          <w:tcPr/>
          <w:p>
            <w:pPr>
              <w:pStyle w:val="Compact"/>
              <w:jc w:val="right"/>
            </w:pPr>
            <w:r>
              <w:t xml:space="preserve">92% eventual</w:t>
            </w:r>
          </w:p>
        </w:tc>
        <w:tc>
          <w:tcPr/>
          <w:p>
            <w:pPr>
              <w:pStyle w:val="Compact"/>
              <w:jc w:val="right"/>
            </w:pPr>
            <w:r>
              <w:t xml:space="preserve">0.39</w:t>
            </w:r>
          </w:p>
        </w:tc>
        <w:tc>
          <w:tcPr/>
          <w:p>
            <w:pPr>
              <w:pStyle w:val="Compact"/>
              <w:jc w:val="right"/>
            </w:pPr>
            <w:r>
              <w:t xml:space="preserve">-1.8 c</w:t>
            </w:r>
          </w:p>
        </w:tc>
        <w:tc>
          <w:tcPr/>
          <w:p>
            <w:pPr>
              <w:pStyle w:val="Compact"/>
              <w:jc w:val="right"/>
            </w:pPr>
            <w:r>
              <w:t xml:space="preserve">+0.1 c/contract</w:t>
            </w:r>
          </w:p>
        </w:tc>
      </w:tr>
      <w:tr>
        <w:tc>
          <w:tcPr/>
          <w:p>
            <w:pPr>
              <w:pStyle w:val="Compact"/>
            </w:pPr>
            <w:r>
              <w:t xml:space="preserve">Unbounded chase</w:t>
            </w:r>
          </w:p>
        </w:tc>
        <w:tc>
          <w:tcPr/>
          <w:p>
            <w:pPr>
              <w:pStyle w:val="Compact"/>
            </w:pPr>
            <w:r>
              <w:t xml:space="preserve">Reprice repeatedly toward touch</w:t>
            </w:r>
          </w:p>
        </w:tc>
        <w:tc>
          <w:tcPr/>
          <w:p>
            <w:pPr>
              <w:pStyle w:val="Compact"/>
              <w:jc w:val="right"/>
            </w:pPr>
            <w:r>
              <w:t xml:space="preserve">10 s</w:t>
            </w:r>
          </w:p>
        </w:tc>
        <w:tc>
          <w:tcPr/>
          <w:p>
            <w:pPr>
              <w:pStyle w:val="Compact"/>
              <w:jc w:val="right"/>
            </w:pPr>
            <w:r>
              <w:t xml:space="preserve">3 ticks</w:t>
            </w:r>
          </w:p>
        </w:tc>
        <w:tc>
          <w:tcPr/>
          <w:p>
            <w:pPr>
              <w:pStyle w:val="Compact"/>
              <w:jc w:val="right"/>
            </w:pPr>
            <w:r>
              <w:t xml:space="preserve">96% eventual</w:t>
            </w:r>
          </w:p>
        </w:tc>
        <w:tc>
          <w:tcPr/>
          <w:p>
            <w:pPr>
              <w:pStyle w:val="Compact"/>
              <w:jc w:val="right"/>
            </w:pPr>
            <w:r>
              <w:t xml:space="preserve">0.28</w:t>
            </w:r>
          </w:p>
        </w:tc>
        <w:tc>
          <w:tcPr/>
          <w:p>
            <w:pPr>
              <w:pStyle w:val="Compact"/>
              <w:jc w:val="right"/>
            </w:pPr>
            <w:r>
              <w:t xml:space="preserve">-2.3 c</w:t>
            </w:r>
          </w:p>
        </w:tc>
        <w:tc>
          <w:tcPr/>
          <w:p>
            <w:pPr>
              <w:pStyle w:val="Compact"/>
              <w:jc w:val="right"/>
            </w:pPr>
            <w:r>
              <w:t xml:space="preserve">-0.2 c/contract</w:t>
            </w:r>
          </w:p>
        </w:tc>
      </w:tr>
    </w:tbl>
    <w:p>
      <w:pPr>
        <w:pStyle w:val="BodyText"/>
      </w:pPr>
      <w:r>
        <w:t xml:space="preserve">The table is not an empirical forecast. It is the kind of ranking you should expect</w:t>
      </w:r>
      <w:r>
        <w:t xml:space="preserve"> </w:t>
      </w:r>
      <w:r>
        <w:rPr>
          <w:b/>
          <w:bCs/>
        </w:rPr>
        <w:t xml:space="preserve">if</w:t>
      </w:r>
      <w:r>
        <w:t xml:space="preserve"> </w:t>
      </w:r>
      <w:r>
        <w:t xml:space="preserve">your venue behaves like a large-tick binary market with nontrivial queue value and meaningful adverse selection: bounded passive tactics usually retain more of the original paper edge than immediate improvement or repeated chasing, while low-latency fallback-to-cross rules raise fill rate but destroy capture ratio unless the ex ante weather edge is very large. That ranking is consistent with queue-value, fill-probability, and adverse-selection literature.</w:t>
      </w:r>
      <w:r>
        <w:t xml:space="preserve"> </w:t>
      </w:r>
      <w:hyperlink r:id="rId49">
        <w:r>
          <w:rPr>
            <w:rStyle w:val="Hyperlink"/>
          </w:rPr>
          <w:t xml:space="preserve">[36]</w:t>
        </w:r>
      </w:hyperlink>
    </w:p>
    <w:bookmarkEnd w:id="50"/>
    <w:bookmarkStart w:id="52" w:name="recommended-order-placement-rules"/>
    <w:p>
      <w:pPr>
        <w:pStyle w:val="Heading2"/>
      </w:pPr>
      <w:r>
        <w:t xml:space="preserve">Recommended order-placement rules</w:t>
      </w:r>
    </w:p>
    <w:p>
      <w:pPr>
        <w:pStyle w:val="FirstParagraph"/>
      </w:pPr>
      <w:r>
        <w:t xml:space="preserve">The most robust starting rule set is:</w:t>
      </w:r>
    </w:p>
    <w:p>
      <w:pPr>
        <w:pStyle w:val="BodyText"/>
      </w:pPr>
      <m:oMathPara>
        <m:oMathParaPr>
          <m:jc m:val="center"/>
        </m:oMathParaPr>
        <m:oMath>
          <m:r>
            <m:rPr>
              <m:nor/>
              <m:sty m:val="p"/>
            </m:rPr>
            <m:t>Choose passive posting if </m:t>
          </m:r>
          <m:sSup>
            <m:e>
              <m:r>
                <m:t>e</m:t>
              </m:r>
            </m:e>
            <m:sup>
              <m:r>
                <m:rPr>
                  <m:nor/>
                  <m:sty m:val="p"/>
                </m:rPr>
                <m:t>paper</m:t>
              </m:r>
            </m:sup>
          </m:sSup>
          <m:r>
            <m:rPr>
              <m:sty m:val="p"/>
            </m:rPr>
            <m:t>−</m:t>
          </m:r>
          <m:sSub>
            <m:e>
              <m:acc>
                <m:accPr>
                  <m:chr m:val="̂"/>
                </m:accPr>
                <m:e>
                  <m:r>
                    <m:t>A</m:t>
                  </m:r>
                  <m:r>
                    <m:t>S</m:t>
                  </m:r>
                </m:e>
              </m:acc>
            </m:e>
            <m:sub>
              <m:r>
                <m:t>30</m:t>
              </m:r>
              <m:r>
                <m:t>s</m:t>
              </m:r>
            </m:sub>
          </m:sSub>
          <m:r>
            <m:rPr>
              <m:sty m:val="p"/>
            </m:rPr>
            <m:t>−</m:t>
          </m:r>
          <m:sSub>
            <m:e>
              <m:r>
                <m:t>f</m:t>
              </m:r>
            </m:e>
            <m:sub>
              <m:r>
                <m:rPr>
                  <m:nor/>
                  <m:sty m:val="p"/>
                </m:rPr>
                <m:t>maker</m:t>
              </m:r>
            </m:sub>
          </m:sSub>
          <m:r>
            <m:rPr>
              <m:sty m:val="p"/>
            </m:rPr>
            <m:t>&gt;</m:t>
          </m:r>
          <m:r>
            <m:t>0</m:t>
          </m:r>
          <m:r>
            <m:t> </m:t>
          </m:r>
          <m:r>
            <m:rPr>
              <m:nor/>
              <m:sty m:val="p"/>
            </m:rPr>
            <m:t>and</m:t>
          </m:r>
          <m:r>
            <m:t> </m:t>
          </m:r>
          <m:sSub>
            <m:e>
              <m:acc>
                <m:accPr>
                  <m:chr m:val="̂"/>
                </m:accPr>
                <m:e>
                  <m:r>
                    <m:t>P</m:t>
                  </m:r>
                </m:e>
              </m:acc>
            </m:e>
            <m:sub>
              <m:r>
                <m:rPr>
                  <m:nor/>
                  <m:sty m:val="p"/>
                </m:rPr>
                <m:t>fill</m:t>
              </m:r>
            </m:sub>
          </m:sSub>
          <m:d>
            <m:dPr>
              <m:begChr m:val="("/>
              <m:sepChr m:val=""/>
              <m:endChr m:val=")"/>
              <m:grow/>
            </m:dPr>
            <m:e>
              <m:r>
                <m:t>H</m:t>
              </m:r>
            </m:e>
          </m:d>
          <m:r>
            <m:rPr>
              <m:sty m:val="p"/>
            </m:rPr>
            <m:t>≥</m:t>
          </m:r>
          <m:sSub>
            <m:e>
              <m:r>
                <m:t>p</m:t>
              </m:r>
            </m:e>
            <m:sub>
              <m:r>
                <m:rPr>
                  <m:sty m:val="p"/>
                </m:rPr>
                <m:t>min</m:t>
              </m:r>
            </m:sub>
          </m:sSub>
          <m:r>
            <m:rPr>
              <m:sty m:val="p"/>
            </m:rPr>
            <m:t>.</m:t>
          </m:r>
        </m:oMath>
      </m:oMathPara>
    </w:p>
    <w:p>
      <w:pPr>
        <w:pStyle w:val="FirstParagraph"/>
      </w:pPr>
      <w:r>
        <w:t xml:space="preserve">A sensible initial threshold is</w:t>
      </w:r>
      <w:r>
        <w:t xml:space="preserve"> </w:t>
      </w:r>
      <m:oMath>
        <m:sSub>
          <m:e>
            <m:r>
              <m:t>p</m:t>
            </m:r>
          </m:e>
          <m:sub>
            <m:r>
              <m:rPr>
                <m:sty m:val="p"/>
              </m:rPr>
              <m:t>min</m:t>
            </m:r>
          </m:sub>
        </m:sSub>
        <m:r>
          <m:rPr>
            <m:sty m:val="p"/>
          </m:rPr>
          <m:t>=</m:t>
        </m:r>
        <m:r>
          <m:t>25</m:t>
        </m:r>
        <m:r>
          <m:rPr>
            <m:sty m:val="p"/>
          </m:rPr>
          <m:t>%</m:t>
        </m:r>
      </m:oMath>
      <w:r>
        <w:t xml:space="preserve"> </w:t>
      </w:r>
      <w:r>
        <w:t xml:space="preserve">to</w:t>
      </w:r>
      <w:r>
        <w:t xml:space="preserve"> </w:t>
      </w:r>
      <m:oMath>
        <m:r>
          <m:t>40</m:t>
        </m:r>
        <m:r>
          <m:rPr>
            <m:sty m:val="p"/>
          </m:rPr>
          <m:t>%</m:t>
        </m:r>
      </m:oMath>
      <w:r>
        <w:t xml:space="preserve"> </w:t>
      </w:r>
      <w:r>
        <w:t xml:space="preserve">for short-horizon weather trades and higher—say</w:t>
      </w:r>
      <w:r>
        <w:t xml:space="preserve"> </w:t>
      </w:r>
      <m:oMath>
        <m:r>
          <m:t>50</m:t>
        </m:r>
        <m:r>
          <m:rPr>
            <m:sty m:val="p"/>
          </m:rPr>
          <m:t>%</m:t>
        </m:r>
      </m:oMath>
      <w:r>
        <w:t xml:space="preserve"> </w:t>
      </w:r>
      <w:r>
        <w:t xml:space="preserve">to</w:t>
      </w:r>
      <w:r>
        <w:t xml:space="preserve"> </w:t>
      </w:r>
      <m:oMath>
        <m:r>
          <m:t>70</m:t>
        </m:r>
        <m:r>
          <m:rPr>
            <m:sty m:val="p"/>
          </m:rPr>
          <m:t>%</m:t>
        </m:r>
      </m:oMath>
      <w:r>
        <w:t xml:space="preserve">—inside the last few minutes before close, when missed-fill cost rises sharply. This rule converts the usual “passive if edge is positive” heuristic into a venue-aware execution condition.</w:t>
      </w:r>
      <w:r>
        <w:t xml:space="preserve"> </w:t>
      </w:r>
      <w:hyperlink r:id="rId22">
        <w:r>
          <w:rPr>
            <w:rStyle w:val="Hyperlink"/>
          </w:rPr>
          <w:t xml:space="preserve">[24]</w:t>
        </w:r>
      </w:hyperlink>
    </w:p>
    <w:p>
      <w:pPr>
        <w:pStyle w:val="BodyText"/>
      </w:pPr>
      <w:r>
        <w:t xml:space="preserve">For</w:t>
      </w:r>
      <w:r>
        <w:t xml:space="preserve"> </w:t>
      </w:r>
      <w:r>
        <w:rPr>
          <w:b/>
          <w:bCs/>
        </w:rPr>
        <w:t xml:space="preserve">initial limit offsets</w:t>
      </w:r>
      <w:r>
        <w:t xml:space="preserve">, use the following default parameter ranges. If the market is already one tick wide and your fill-hazard model says joining the touch has acceptable fill odds, join the touch and avoid improving. If the spread is at least two ticks wide and your markout model is benign, allow improvement by one tick, but only when the estimated gain in fill probability dominates the queue-reset cost. Deeper posting, more than one tick away, should be reserved for very large upstream paper edges or when the market is likely to mean-revert and queue priority is cheap. A modern fill-probability model should explicitly compare posting at the best quote versus one level deeper “before the opposite best quote moves,” which is exactly the distinction emphasized by the Lokin–Yu framework.</w:t>
      </w:r>
      <w:r>
        <w:t xml:space="preserve"> </w:t>
      </w:r>
      <w:hyperlink r:id="rId22">
        <w:r>
          <w:rPr>
            <w:rStyle w:val="Hyperlink"/>
          </w:rPr>
          <w:t xml:space="preserve">[37]</w:t>
        </w:r>
      </w:hyperlink>
    </w:p>
    <w:p>
      <w:pPr>
        <w:pStyle w:val="BodyText"/>
      </w:pPr>
      <w:r>
        <w:t xml:space="preserve">For</w:t>
      </w:r>
      <w:r>
        <w:t xml:space="preserve"> </w:t>
      </w:r>
      <w:r>
        <w:rPr>
          <w:b/>
          <w:bCs/>
        </w:rPr>
        <w:t xml:space="preserve">cancel/replace timing</w:t>
      </w:r>
      <w:r>
        <w:t xml:space="preserve">, compute a rolling estimated fill time</w:t>
      </w:r>
    </w:p>
    <w:p>
      <w:pPr>
        <w:pStyle w:val="BodyText"/>
      </w:pPr>
      <m:oMathPara>
        <m:oMathParaPr>
          <m:jc m:val="center"/>
        </m:oMathParaPr>
        <m:oMath>
          <m:sSub>
            <m:e>
              <m:acc>
                <m:accPr>
                  <m:chr m:val="̂"/>
                </m:accPr>
                <m:e>
                  <m:r>
                    <m:t>T</m:t>
                  </m:r>
                </m:e>
              </m:acc>
            </m:e>
            <m:sub>
              <m:r>
                <m:rPr>
                  <m:nor/>
                  <m:sty m:val="p"/>
                </m:rPr>
                <m:t>fill</m:t>
              </m:r>
            </m:sub>
          </m:sSub>
          <m:r>
            <m:rPr>
              <m:sty m:val="p"/>
            </m:rPr>
            <m:t>=</m:t>
          </m:r>
          <m:f>
            <m:fPr>
              <m:type m:val="bar"/>
            </m:fPr>
            <m:num>
              <m:sSub>
                <m:e>
                  <m:r>
                    <m:t>Q</m:t>
                  </m:r>
                </m:e>
                <m:sub>
                  <m:r>
                    <m:rPr>
                      <m:nor/>
                      <m:sty m:val="p"/>
                    </m:rPr>
                    <m:t>ahead</m:t>
                  </m:r>
                </m:sub>
              </m:sSub>
            </m:num>
            <m:den>
              <m:sSub>
                <m:e>
                  <m:acc>
                    <m:accPr>
                      <m:chr m:val="̂"/>
                    </m:accPr>
                    <m:e>
                      <m:r>
                        <m:t>λ</m:t>
                      </m:r>
                    </m:e>
                  </m:acc>
                </m:e>
                <m:sub>
                  <m:r>
                    <m:rPr>
                      <m:nor/>
                      <m:sty m:val="p"/>
                    </m:rPr>
                    <m:t>deplete</m:t>
                  </m:r>
                </m:sub>
              </m:sSub>
            </m:den>
          </m:f>
          <m:r>
            <m:rPr>
              <m:sty m:val="p"/>
            </m:rPr>
            <m:t>,</m:t>
          </m:r>
        </m:oMath>
      </m:oMathPara>
    </w:p>
    <w:p>
      <w:pPr>
        <w:pStyle w:val="FirstParagraph"/>
      </w:pPr>
      <w:r>
        <w:t xml:space="preserve">where</w:t>
      </w:r>
      <w:r>
        <w:t xml:space="preserve"> </w:t>
      </w:r>
      <m:oMath>
        <m:sSub>
          <m:e>
            <m:acc>
              <m:accPr>
                <m:chr m:val="̂"/>
              </m:accPr>
              <m:e>
                <m:r>
                  <m:t>λ</m:t>
                </m:r>
              </m:e>
            </m:acc>
          </m:e>
          <m:sub>
            <m:r>
              <m:rPr>
                <m:nor/>
                <m:sty m:val="p"/>
              </m:rPr>
              <m:t>deplete</m:t>
            </m:r>
          </m:sub>
        </m:sSub>
      </m:oMath>
      <w:r>
        <w:t xml:space="preserve"> </w:t>
      </w:r>
      <w:r>
        <w:t xml:space="preserve">is the expected per-second depletion rate at your level from opposite aggressors and ahead-of-you cancellations. Cancel or reprice when either</w:t>
      </w:r>
      <w:r>
        <w:t xml:space="preserve"> </w:t>
      </w:r>
      <m:oMath>
        <m:sSub>
          <m:e>
            <m:acc>
              <m:accPr>
                <m:chr m:val="̂"/>
              </m:accPr>
              <m:e>
                <m:r>
                  <m:t>T</m:t>
                </m:r>
              </m:e>
            </m:acc>
          </m:e>
          <m:sub>
            <m:r>
              <m:rPr>
                <m:nor/>
                <m:sty m:val="p"/>
              </m:rPr>
              <m:t>fill</m:t>
            </m:r>
          </m:sub>
        </m:sSub>
        <m:r>
          <m:rPr>
            <m:sty m:val="p"/>
          </m:rPr>
          <m:t>&gt;</m:t>
        </m:r>
        <m:r>
          <m:t>H</m:t>
        </m:r>
      </m:oMath>
      <w:r>
        <w:t xml:space="preserve">, or when the edge buffer after fees and markout falls below zero, or when a higher-priority condition is triggered by a large change in imbalance or microprice. In quiet regimes, a starting stale timer of 60 to 180 seconds is reasonable; in active intraday windows, 15 to 30 seconds is more appropriate. The key is that the timer should be state-dependent, not fixed.</w:t>
      </w:r>
      <w:r>
        <w:t xml:space="preserve"> </w:t>
      </w:r>
      <w:hyperlink r:id="rId46">
        <w:r>
          <w:rPr>
            <w:rStyle w:val="Hyperlink"/>
          </w:rPr>
          <w:t xml:space="preserve">[38]</w:t>
        </w:r>
      </w:hyperlink>
    </w:p>
    <w:p>
      <w:pPr>
        <w:pStyle w:val="BodyText"/>
      </w:pPr>
      <w:r>
        <w:t xml:space="preserve">For</w:t>
      </w:r>
      <w:r>
        <w:t xml:space="preserve"> </w:t>
      </w:r>
      <w:r>
        <w:rPr>
          <w:b/>
          <w:bCs/>
        </w:rPr>
        <w:t xml:space="preserve">size changes</w:t>
      </w:r>
      <w:r>
        <w:t xml:space="preserve">, prefer</w:t>
      </w:r>
      <w:r>
        <w:t xml:space="preserve"> </w:t>
      </w:r>
      <w:r>
        <w:rPr>
          <w:rStyle w:val="VerbatimChar"/>
        </w:rPr>
        <w:t xml:space="preserve">Decrease Order</w:t>
      </w:r>
      <w:r>
        <w:t xml:space="preserve"> </w:t>
      </w:r>
      <w:r>
        <w:t xml:space="preserve">whenever risk needs to come down. Do</w:t>
      </w:r>
      <w:r>
        <w:t xml:space="preserve"> </w:t>
      </w:r>
      <w:r>
        <w:rPr>
          <w:b/>
          <w:bCs/>
        </w:rPr>
        <w:t xml:space="preserve">not</w:t>
      </w:r>
      <w:r>
        <w:t xml:space="preserve"> </w:t>
      </w:r>
      <w:r>
        <w:t xml:space="preserve">cancel and recreate a smaller order unless the simulator shows a recoverable gain elsewhere, because decreasing quantity is the dedicated quantity-edit path, while FIX replace semantics explicitly say same-price quantity increases forfeit queue position. Likewise, do not use price amendments casually: every price change should be treated as a new order for queue purposes and be charged a modeled queue-reset cost.</w:t>
      </w:r>
      <w:r>
        <w:t xml:space="preserve"> </w:t>
      </w:r>
      <w:hyperlink r:id="rId51">
        <w:r>
          <w:rPr>
            <w:rStyle w:val="Hyperlink"/>
          </w:rPr>
          <w:t xml:space="preserve">[39]</w:t>
        </w:r>
      </w:hyperlink>
    </w:p>
    <w:p>
      <w:pPr>
        <w:pStyle w:val="BodyText"/>
      </w:pPr>
      <w:r>
        <w:t xml:space="preserve">For</w:t>
      </w:r>
      <w:r>
        <w:t xml:space="preserve"> </w:t>
      </w:r>
      <w:r>
        <w:rPr>
          <w:b/>
          <w:bCs/>
        </w:rPr>
        <w:t xml:space="preserve">max chase</w:t>
      </w:r>
      <w:r>
        <w:t xml:space="preserve">, the right default is conservative. Outside the final pre-close window, set</w:t>
      </w:r>
      <w:r>
        <w:t xml:space="preserve"> </w:t>
      </w:r>
      <m:oMath>
        <m:sSubSup>
          <m:e>
            <m:r>
              <m:t>δ</m:t>
            </m:r>
          </m:e>
          <m:sub>
            <m:r>
              <m:rPr>
                <m:nor/>
                <m:sty m:val="p"/>
              </m:rPr>
              <m:t>chase</m:t>
            </m:r>
          </m:sub>
          <m:sup>
            <m:r>
              <m:rPr>
                <m:sty m:val="p"/>
              </m:rPr>
              <m:t>max</m:t>
            </m:r>
          </m:sup>
        </m:sSubSup>
        <m:r>
          <m:rPr>
            <m:sty m:val="p"/>
          </m:rPr>
          <m:t>∈</m:t>
        </m:r>
        <m:r>
          <m:rPr>
            <m:sty m:val="p"/>
          </m:rPr>
          <m:t>{</m:t>
        </m:r>
        <m:r>
          <m:t>0</m:t>
        </m:r>
        <m:r>
          <m:rPr>
            <m:sty m:val="p"/>
          </m:rPr>
          <m:t>,</m:t>
        </m:r>
        <m:r>
          <m:t>1</m:t>
        </m:r>
        <m:r>
          <m:rPr>
            <m:sty m:val="p"/>
          </m:rPr>
          <m:t>}</m:t>
        </m:r>
      </m:oMath>
      <w:r>
        <w:t xml:space="preserve"> </w:t>
      </w:r>
      <w:r>
        <w:t xml:space="preserve">tick and</w:t>
      </w:r>
      <w:r>
        <w:t xml:space="preserve"> </w:t>
      </w:r>
      <m:oMath>
        <m:sSubSup>
          <m:e>
            <m:r>
              <m:t>τ</m:t>
            </m:r>
          </m:e>
          <m:sub>
            <m:r>
              <m:rPr>
                <m:nor/>
                <m:sty m:val="p"/>
              </m:rPr>
              <m:t>chase</m:t>
            </m:r>
          </m:sub>
          <m:sup>
            <m:r>
              <m:rPr>
                <m:sty m:val="p"/>
              </m:rPr>
              <m:t>max</m:t>
            </m:r>
          </m:sup>
        </m:sSubSup>
      </m:oMath>
      <w:r>
        <w:t xml:space="preserve"> </w:t>
      </w:r>
      <w:r>
        <w:t xml:space="preserve">to at most 30 to 60 seconds. Inside the final pre-close window, allow up to 2 ticks only if the residual weather edge exceeds the taker-versus-maker fee difference plus the modeled short-horizon adverse-selection cost and the missed-fill penalty. Repeated repricing beyond two steps should normally be disallowed because each step sacrifices queue priority and usually raises toxicity exposure faster than it raises capture.</w:t>
      </w:r>
      <w:r>
        <w:t xml:space="preserve"> </w:t>
      </w:r>
      <w:hyperlink r:id="rId29">
        <w:r>
          <w:rPr>
            <w:rStyle w:val="Hyperlink"/>
          </w:rPr>
          <w:t xml:space="preserve">[40]</w:t>
        </w:r>
      </w:hyperlink>
    </w:p>
    <w:p>
      <w:pPr>
        <w:pStyle w:val="BodyText"/>
      </w:pPr>
      <w:r>
        <w:t xml:space="preserve">For</w:t>
      </w:r>
      <w:r>
        <w:t xml:space="preserve"> </w:t>
      </w:r>
      <w:r>
        <w:rPr>
          <w:b/>
          <w:bCs/>
        </w:rPr>
        <w:t xml:space="preserve">aggressive fallback</w:t>
      </w:r>
      <w:r>
        <w:t xml:space="preserve">, cross only when</w:t>
      </w:r>
    </w:p>
    <w:p>
      <w:pPr>
        <w:pStyle w:val="BodyText"/>
      </w:pPr>
      <m:oMathPara>
        <m:oMathParaPr>
          <m:jc m:val="center"/>
        </m:oMathParaPr>
        <m:oMath>
          <m:sSup>
            <m:e>
              <m:r>
                <m:t>e</m:t>
              </m:r>
            </m:e>
            <m:sup>
              <m:r>
                <m:rPr>
                  <m:nor/>
                  <m:sty m:val="p"/>
                </m:rPr>
                <m:t>paper</m:t>
              </m:r>
            </m:sup>
          </m:sSup>
          <m:r>
            <m:rPr>
              <m:sty m:val="p"/>
            </m:rPr>
            <m:t>−</m:t>
          </m:r>
          <m:sSub>
            <m:e>
              <m:r>
                <m:t>f</m:t>
              </m:r>
            </m:e>
            <m:sub>
              <m:r>
                <m:rPr>
                  <m:nor/>
                  <m:sty m:val="p"/>
                </m:rPr>
                <m:t>taker</m:t>
              </m:r>
            </m:sub>
          </m:sSub>
          <m:r>
            <m:rPr>
              <m:sty m:val="p"/>
            </m:rPr>
            <m:t>−</m:t>
          </m:r>
          <m:sSub>
            <m:e>
              <m:acc>
                <m:accPr>
                  <m:chr m:val="̂"/>
                </m:accPr>
                <m:e>
                  <m:r>
                    <m:t>A</m:t>
                  </m:r>
                  <m:r>
                    <m:t>S</m:t>
                  </m:r>
                </m:e>
              </m:acc>
            </m:e>
            <m:sub>
              <m:r>
                <m:rPr>
                  <m:nor/>
                  <m:sty m:val="p"/>
                </m:rPr>
                <m:t>fallback</m:t>
              </m:r>
            </m:sub>
          </m:sSub>
          <m:r>
            <m:rPr>
              <m:sty m:val="p"/>
            </m:rPr>
            <m:t>−</m:t>
          </m:r>
          <m:sSub>
            <m:e>
              <m:r>
                <m:t>C</m:t>
              </m:r>
            </m:e>
            <m:sub>
              <m:r>
                <m:rPr>
                  <m:nor/>
                  <m:sty m:val="p"/>
                </m:rPr>
                <m:t>latency</m:t>
              </m:r>
            </m:sub>
          </m:sSub>
          <m:r>
            <m:rPr>
              <m:sty m:val="p"/>
            </m:rPr>
            <m:t>&gt;</m:t>
          </m:r>
          <m:r>
            <m:t>0</m:t>
          </m:r>
        </m:oMath>
      </m:oMathPara>
    </w:p>
    <w:p>
      <w:pPr>
        <w:pStyle w:val="FirstParagraph"/>
      </w:pPr>
      <w:r>
        <w:t xml:space="preserve">and the expected cost of missing the fill is larger than the extra crossing cost. The fee schedule makes this test nontrivial, especially around mid-range prices where</w:t>
      </w:r>
      <w:r>
        <w:t xml:space="preserve"> </w:t>
      </w:r>
      <m:oMath>
        <m:r>
          <m:t>P</m:t>
        </m:r>
        <m:d>
          <m:dPr>
            <m:begChr m:val="("/>
            <m:sepChr m:val=""/>
            <m:endChr m:val=")"/>
            <m:grow/>
          </m:dPr>
          <m:e>
            <m:r>
              <m:t>1</m:t>
            </m:r>
            <m:r>
              <m:rPr>
                <m:sty m:val="p"/>
              </m:rPr>
              <m:t>−</m:t>
            </m:r>
            <m:r>
              <m:t>P</m:t>
            </m:r>
          </m:e>
        </m:d>
      </m:oMath>
      <w:r>
        <w:t xml:space="preserve"> </w:t>
      </w:r>
      <w:r>
        <w:t xml:space="preserve">is largest and fees are highest. That means “cross to guarantee the fill” is usually correct only when your upstream weather edge is genuinely large or the close is imminent.</w:t>
      </w:r>
      <w:r>
        <w:t xml:space="preserve"> </w:t>
      </w:r>
      <w:hyperlink r:id="rId29">
        <w:r>
          <w:rPr>
            <w:rStyle w:val="Hyperlink"/>
          </w:rPr>
          <w:t xml:space="preserve">[41]</w:t>
        </w:r>
      </w:hyperlink>
    </w:p>
    <w:p>
      <w:pPr>
        <w:pStyle w:val="SourceCode"/>
      </w:pPr>
      <w:r>
        <w:rPr>
          <w:rStyle w:val="VerbatimChar"/>
        </w:rPr>
        <w:t xml:space="preserve">flowchart TD</w:t>
      </w:r>
      <w:r>
        <w:br/>
      </w:r>
      <w:r>
        <w:rPr>
          <w:rStyle w:val="VerbatimChar"/>
        </w:rPr>
        <w:t xml:space="preserve">    A[Upstream weather model emits fair value and paper edge] --&gt; B[State snapshot from ticker, orderbook, trades, queue_position]</w:t>
      </w:r>
      <w:r>
        <w:br/>
      </w:r>
      <w:r>
        <w:rPr>
          <w:rStyle w:val="VerbatimChar"/>
        </w:rPr>
        <w:t xml:space="preserve">    B --&gt; C{Passive edge after fees and markout buffer &gt; 0?}</w:t>
      </w:r>
      <w:r>
        <w:br/>
      </w:r>
      <w:r>
        <w:rPr>
          <w:rStyle w:val="VerbatimChar"/>
        </w:rPr>
        <w:t xml:space="preserve">    C -- No --&gt; D[Do not post or use aggressive fallback test]</w:t>
      </w:r>
      <w:r>
        <w:br/>
      </w:r>
      <w:r>
        <w:rPr>
          <w:rStyle w:val="VerbatimChar"/>
        </w:rPr>
        <w:t xml:space="preserve">    C -- Yes --&gt; E[Submit passive limit order]</w:t>
      </w:r>
      <w:r>
        <w:br/>
      </w:r>
      <w:r>
        <w:rPr>
          <w:rStyle w:val="VerbatimChar"/>
        </w:rPr>
        <w:t xml:space="preserve">    E --&gt; F[ACK from REST plus user-order/fill websocket]</w:t>
      </w:r>
      <w:r>
        <w:br/>
      </w:r>
      <w:r>
        <w:rPr>
          <w:rStyle w:val="VerbatimChar"/>
        </w:rPr>
        <w:t xml:space="preserve">    F --&gt; G[Track queue_position_fp and queue depletion]</w:t>
      </w:r>
      <w:r>
        <w:br/>
      </w:r>
      <w:r>
        <w:rPr>
          <w:rStyle w:val="VerbatimChar"/>
        </w:rPr>
        <w:t xml:space="preserve">    G --&gt; H{Filled before stale timer?}</w:t>
      </w:r>
      <w:r>
        <w:br/>
      </w:r>
      <w:r>
        <w:rPr>
          <w:rStyle w:val="VerbatimChar"/>
        </w:rPr>
        <w:t xml:space="preserve">    H -- Yes --&gt; I[Record fill, fees, markouts, realized edge]</w:t>
      </w:r>
      <w:r>
        <w:br/>
      </w:r>
      <w:r>
        <w:rPr>
          <w:rStyle w:val="VerbatimChar"/>
        </w:rPr>
        <w:t xml:space="preserve">    H -- No --&gt; J{Fill ETA still acceptable?}</w:t>
      </w:r>
      <w:r>
        <w:br/>
      </w:r>
      <w:r>
        <w:rPr>
          <w:rStyle w:val="VerbatimChar"/>
        </w:rPr>
        <w:t xml:space="preserve">    J -- Yes --&gt; G</w:t>
      </w:r>
      <w:r>
        <w:br/>
      </w:r>
      <w:r>
        <w:rPr>
          <w:rStyle w:val="VerbatimChar"/>
        </w:rPr>
        <w:t xml:space="preserve">    J -- No --&gt; K{Reprice allowed by max chase and residual edge?}</w:t>
      </w:r>
      <w:r>
        <w:br/>
      </w:r>
      <w:r>
        <w:rPr>
          <w:rStyle w:val="VerbatimChar"/>
        </w:rPr>
        <w:t xml:space="preserve">    K -- No --&gt; L[Cancel or Decrease Order]</w:t>
      </w:r>
      <w:r>
        <w:br/>
      </w:r>
      <w:r>
        <w:rPr>
          <w:rStyle w:val="VerbatimChar"/>
        </w:rPr>
        <w:t xml:space="preserve">    K -- Yes --&gt; M[Amend price and reset queue-cost ledger]</w:t>
      </w:r>
      <w:r>
        <w:br/>
      </w:r>
      <w:r>
        <w:rPr>
          <w:rStyle w:val="VerbatimChar"/>
        </w:rPr>
        <w:t xml:space="preserve">    M --&gt; G</w:t>
      </w:r>
      <w:r>
        <w:br/>
      </w:r>
      <w:r>
        <w:rPr>
          <w:rStyle w:val="VerbatimChar"/>
        </w:rPr>
        <w:t xml:space="preserve">    D --&gt; N{Aggressive fallback edge &gt; 0?}</w:t>
      </w:r>
      <w:r>
        <w:br/>
      </w:r>
      <w:r>
        <w:rPr>
          <w:rStyle w:val="VerbatimChar"/>
        </w:rPr>
        <w:t xml:space="preserve">    N -- Yes --&gt; O[Cross / FOK / IOC path]</w:t>
      </w:r>
      <w:r>
        <w:br/>
      </w:r>
      <w:r>
        <w:rPr>
          <w:rStyle w:val="VerbatimChar"/>
        </w:rPr>
        <w:t xml:space="preserve">    N -- No --&gt; P[Abandon opportunity]</w:t>
      </w:r>
      <w:r>
        <w:br/>
      </w:r>
      <w:r>
        <w:rPr>
          <w:rStyle w:val="VerbatimChar"/>
        </w:rPr>
        <w:t xml:space="preserve">    O --&gt; I</w:t>
      </w:r>
      <w:r>
        <w:br/>
      </w:r>
      <w:r>
        <w:rPr>
          <w:rStyle w:val="VerbatimChar"/>
        </w:rPr>
        <w:t xml:space="preserve">    L --&gt; P</w:t>
      </w:r>
    </w:p>
    <w:bookmarkEnd w:id="52"/>
    <w:bookmarkStart w:id="53" w:name="validation-robustness-and-implementation"/>
    <w:p>
      <w:pPr>
        <w:pStyle w:val="Heading2"/>
      </w:pPr>
      <w:r>
        <w:t xml:space="preserve">Validation, robustness, and implementation</w:t>
      </w:r>
    </w:p>
    <w:p>
      <w:pPr>
        <w:pStyle w:val="FirstParagraph"/>
      </w:pPr>
      <w:r>
        <w:t xml:space="preserve">Validation should be walk-forward, not pooled. Split by calendar month, weather regime, market distance from fair value, spread regime, and time-to-close. Retrain on prior periods and evaluate on the next block. For fill hazards, require calibration by horizon bucket, not just AUC. For markouts, require stable sign-rank ordering across regimes, not just average error. And for the final execution policy, the primary score should be realized-edge capture ratio out of sample, not backtest P&amp;L alone.</w:t>
      </w:r>
      <w:r>
        <w:t xml:space="preserve"> </w:t>
      </w:r>
      <w:hyperlink r:id="rId47">
        <w:r>
          <w:rPr>
            <w:rStyle w:val="Hyperlink"/>
          </w:rPr>
          <w:t xml:space="preserve">[32]</w:t>
        </w:r>
      </w:hyperlink>
    </w:p>
    <w:p>
      <w:pPr>
        <w:pStyle w:val="BodyText"/>
      </w:pPr>
      <w:r>
        <w:t xml:space="preserve">Robustness checks should stress the model on the parameters most likely to break in production: latency, queue-ahead estimation error, missing order-book deltas, fee-regime shifts, and time-of-day instability. At minimum, rerun the replay with acknowledgment and cancel latencies multiplied by 2 and 5; with the ahead-cancel fraction</w:t>
      </w:r>
      <w:r>
        <w:t xml:space="preserve"> </w:t>
      </w:r>
      <m:oMath>
        <m:sSub>
          <m:e>
            <m:r>
              <m:t>ρ</m:t>
            </m:r>
          </m:e>
          <m:sub>
            <m:r>
              <m:t>t</m:t>
            </m:r>
          </m:sub>
        </m:sSub>
      </m:oMath>
      <w:r>
        <w:t xml:space="preserve"> </w:t>
      </w:r>
      <w:r>
        <w:t xml:space="preserve">shifted by</w:t>
      </w:r>
      <w:r>
        <w:t xml:space="preserve"> </w:t>
      </w:r>
      <m:oMath>
        <m:r>
          <m:rPr>
            <m:sty m:val="p"/>
          </m:rPr>
          <m:t>±</m:t>
        </m:r>
        <m:r>
          <m:t>20</m:t>
        </m:r>
        <m:r>
          <m:rPr>
            <m:sty m:val="p"/>
          </m:rPr>
          <m:t>%</m:t>
        </m:r>
      </m:oMath>
      <w:r>
        <w:t xml:space="preserve">; with top-of-book-only features replacing full-depth features; and with adverse-selection forecasts widened to their 75th and 90th percentile tails. If the strategy only works when latency is perfect and toxicity is mild, it is not ready.</w:t>
      </w:r>
      <w:r>
        <w:t xml:space="preserve"> </w:t>
      </w:r>
      <w:hyperlink r:id="rId49">
        <w:r>
          <w:rPr>
            <w:rStyle w:val="Hyperlink"/>
          </w:rPr>
          <w:t xml:space="preserve">[42]</w:t>
        </w:r>
      </w:hyperlink>
    </w:p>
    <w:p>
      <w:pPr>
        <w:pStyle w:val="BodyText"/>
      </w:pPr>
      <w:r>
        <w:t xml:space="preserve">Implementation should assume authenticated, stateful collection everywhere. Even public-market data channels use the authenticated WebSocket connection. Use local message journaling, sequence-gap detection, and deterministic resynchronization from the next</w:t>
      </w:r>
      <w:r>
        <w:t xml:space="preserve"> </w:t>
      </w:r>
      <w:r>
        <w:rPr>
          <w:rStyle w:val="VerbatimChar"/>
        </w:rPr>
        <w:t xml:space="preserve">orderbook_snapshot</w:t>
      </w:r>
      <w:r>
        <w:t xml:space="preserve">. Run periodic REST checks for queue position, orders, and fills, but treat WebSocket updates plus write responses as the freshest state, exactly as Kalshi’s</w:t>
      </w:r>
      <w:r>
        <w:t xml:space="preserve"> </w:t>
      </w:r>
      <w:r>
        <w:rPr>
          <w:rStyle w:val="VerbatimChar"/>
        </w:rPr>
        <w:t xml:space="preserve">Get User Data Timestamp</w:t>
      </w:r>
      <w:r>
        <w:t xml:space="preserve"> </w:t>
      </w:r>
      <w:r>
        <w:t xml:space="preserve">guidance suggests.</w:t>
      </w:r>
      <w:r>
        <w:t xml:space="preserve"> </w:t>
      </w:r>
      <w:hyperlink r:id="rId45">
        <w:r>
          <w:rPr>
            <w:rStyle w:val="Hyperlink"/>
          </w:rPr>
          <w:t xml:space="preserve">[43]</w:t>
        </w:r>
      </w:hyperlink>
    </w:p>
    <w:p>
      <w:pPr>
        <w:pStyle w:val="BodyText"/>
      </w:pPr>
      <w:r>
        <w:t xml:space="preserve">Risk limits are unspecified in the prompt, so a conservative model-development default is appropriate. Start with per-market gross exposure caps, per-event net exposure caps, and a portfolio-level max-Yes-equivalent cap; use subaccounts to isolate strategies; set</w:t>
      </w:r>
      <w:r>
        <w:t xml:space="preserve"> </w:t>
      </w:r>
      <w:r>
        <w:rPr>
          <w:rStyle w:val="VerbatimChar"/>
        </w:rPr>
        <w:t xml:space="preserve">cancel_order_on_pause=true</w:t>
      </w:r>
      <w:r>
        <w:t xml:space="preserve">; and use order groups as hard throttles. Kalshi’s order-group documentation says contracts limits are measured over a rolling 15-second window and that when the limit is hit, all orders in the group are canceled and new orders cannot be placed until reset. That makes order groups a natural kill-switch for runaway chasing or stale-signal bursts.</w:t>
      </w:r>
      <w:r>
        <w:t xml:space="preserve"> </w:t>
      </w:r>
      <w:hyperlink r:id="rId26">
        <w:r>
          <w:rPr>
            <w:rStyle w:val="Hyperlink"/>
          </w:rPr>
          <w:t xml:space="preserve">[44]</w:t>
        </w:r>
      </w:hyperlink>
    </w:p>
    <w:p>
      <w:pPr>
        <w:pStyle w:val="BodyText"/>
      </w:pPr>
      <w:r>
        <w:t xml:space="preserve">The operational dashboard should show at least: live paper edge, live realized-edge estimate, fill-hazard forecast, queue ahead, queue drift versus official endpoint, negative-markout rate, cancel-to-fill race frequency, API read/write utilization versus tier, and the distribution of rejection texts such as</w:t>
      </w:r>
      <w:r>
        <w:t xml:space="preserve"> </w:t>
      </w:r>
      <w:r>
        <w:rPr>
          <w:rStyle w:val="VerbatimChar"/>
        </w:rPr>
        <w:t xml:space="preserve">POST_ONLY_CROSS</w:t>
      </w:r>
      <w:r>
        <w:t xml:space="preserve">,</w:t>
      </w:r>
      <w:r>
        <w:t xml:space="preserve"> </w:t>
      </w:r>
      <w:r>
        <w:rPr>
          <w:rStyle w:val="VerbatimChar"/>
        </w:rPr>
        <w:t xml:space="preserve">FOK_INSUFFICIENT_VOLUME</w:t>
      </w:r>
      <w:r>
        <w:t xml:space="preserve">,</w:t>
      </w:r>
      <w:r>
        <w:t xml:space="preserve"> </w:t>
      </w:r>
      <w:r>
        <w:rPr>
          <w:rStyle w:val="VerbatimChar"/>
        </w:rPr>
        <w:t xml:space="preserve">IMMEDIATE_OR_CANCELLED</w:t>
      </w:r>
      <w:r>
        <w:t xml:space="preserve">,</w:t>
      </w:r>
      <w:r>
        <w:t xml:space="preserve"> </w:t>
      </w:r>
      <w:r>
        <w:rPr>
          <w:rStyle w:val="VerbatimChar"/>
        </w:rPr>
        <w:t xml:space="preserve">MARKET_INACTIVE</w:t>
      </w:r>
      <w:r>
        <w:t xml:space="preserve">, and</w:t>
      </w:r>
      <w:r>
        <w:t xml:space="preserve"> </w:t>
      </w:r>
      <w:r>
        <w:rPr>
          <w:rStyle w:val="VerbatimChar"/>
        </w:rPr>
        <w:t xml:space="preserve">EXCEEDED_ORDER_GROUP_RISK_LIMIT</w:t>
      </w:r>
      <w:r>
        <w:t xml:space="preserve">. Kalshi’s FIX docs enumerate these rejection and cancellation text values, so they should be treated as first-class telemetry dimensions rather than generic errors.</w:t>
      </w:r>
      <w:r>
        <w:t xml:space="preserve"> </w:t>
      </w:r>
      <w:hyperlink r:id="rId28">
        <w:r>
          <w:rPr>
            <w:rStyle w:val="Hyperlink"/>
          </w:rPr>
          <w:t xml:space="preserve">[45]</w:t>
        </w:r>
      </w:hyperlink>
    </w:p>
    <w:p>
      <w:pPr>
        <w:pStyle w:val="BodyText"/>
      </w:pPr>
      <w:r>
        <w:t xml:space="preserve">The practical conclusion is straightforward. For a Kalshi weather strategy, the execution model should be built as a</w:t>
      </w:r>
      <w:r>
        <w:t xml:space="preserve"> </w:t>
      </w:r>
      <w:r>
        <w:rPr>
          <w:b/>
          <w:bCs/>
        </w:rPr>
        <w:t xml:space="preserve">queue-aware, adverse-selection-aware passive execution engine</w:t>
      </w:r>
      <w:r>
        <w:t xml:space="preserve"> </w:t>
      </w:r>
      <w:r>
        <w:t xml:space="preserve">with bounded repricing, explicit fee modeling, and a direct objective of maximizing realized-edge retention. Use official queue-position endpoints whenever you actually have live resting orders. Use self-collected WebSocket order-book data as the source of truth for intraday spread and queue dynamics. Treat price amendments as expensive because they reset priority. And require every chase decision to clear a stricter expected-value test than the initial placement. On this venue, that is the difference between a weather signal that looks good on paper and one that survives contact with the book.</w:t>
      </w:r>
      <w:r>
        <w:t xml:space="preserve"> </w:t>
      </w:r>
      <w:hyperlink r:id="rId46">
        <w:r>
          <w:rPr>
            <w:rStyle w:val="Hyperlink"/>
          </w:rPr>
          <w:t xml:space="preserve">[46]</w:t>
        </w:r>
      </w:hyperlink>
    </w:p>
    <w:bookmarkEnd w:id="53"/>
    <w:bookmarkEnd w:id="54"/>
    <w:bookmarkEnd w:id="55"/>
    <w:p>
      <w:r>
        <w:pict>
          <v:rect style="width:0;height:1.5pt" o:hralign="center" o:hrstd="t" o:hr="t"/>
        </w:pict>
      </w:r>
    </w:p>
    <w:bookmarkStart w:id="56"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[13]</w:t>
        </w:r>
      </w:hyperlink>
      <w:r>
        <w:t xml:space="preserve"> </w:t>
      </w:r>
      <w:hyperlink r:id="rId21">
        <w:r>
          <w:rPr>
            <w:rStyle w:val="Hyperlink"/>
          </w:rPr>
          <w:t xml:space="preserve">[34]</w:t>
        </w:r>
      </w:hyperlink>
      <w:r>
        <w:t xml:space="preserve"> </w:t>
      </w:r>
      <w:r>
        <w:t xml:space="preserve">https://www.cftc.gov/sites/default/files/filings/orgrules/25/07/rules07012525155.pdf</w:t>
      </w:r>
    </w:p>
    <w:p>
      <w:pPr>
        <w:pStyle w:val="BodyText"/>
      </w:pPr>
      <w:hyperlink r:id="rId21">
        <w:r>
          <w:rPr>
            <w:rStyle w:val="Hyperlink"/>
          </w:rPr>
          <w:t xml:space="preserve">https://www.cftc.gov/sites/default/files/filings/orgrules/25/07/rules07012525155.pdf</w:t>
        </w:r>
      </w:hyperlink>
    </w:p>
    <w:p>
      <w:pPr>
        <w:pStyle w:val="BodyText"/>
      </w:pPr>
      <w:hyperlink r:id="rId22">
        <w:r>
          <w:rPr>
            <w:rStyle w:val="Hyperlink"/>
          </w:rPr>
          <w:t xml:space="preserve">[2]</w:t>
        </w:r>
      </w:hyperlink>
      <w:r>
        <w:t xml:space="preserve"> </w:t>
      </w:r>
      <w:hyperlink r:id="rId22">
        <w:r>
          <w:rPr>
            <w:rStyle w:val="Hyperlink"/>
          </w:rPr>
          <w:t xml:space="preserve">[24]</w:t>
        </w:r>
      </w:hyperlink>
      <w:r>
        <w:t xml:space="preserve"> </w:t>
      </w:r>
      <w:hyperlink r:id="rId22">
        <w:r>
          <w:rPr>
            <w:rStyle w:val="Hyperlink"/>
          </w:rPr>
          <w:t xml:space="preserve">[37]</w:t>
        </w:r>
      </w:hyperlink>
      <w:r>
        <w:t xml:space="preserve"> </w:t>
      </w:r>
      <w:r>
        <w:t xml:space="preserve">https://arxiv.org/abs/2403.02572</w:t>
      </w:r>
    </w:p>
    <w:p>
      <w:pPr>
        <w:pStyle w:val="BodyText"/>
      </w:pPr>
      <w:hyperlink r:id="rId22">
        <w:r>
          <w:rPr>
            <w:rStyle w:val="Hyperlink"/>
          </w:rPr>
          <w:t xml:space="preserve">https://arxiv.org/abs/2403.02572</w:t>
        </w:r>
      </w:hyperlink>
    </w:p>
    <w:p>
      <w:pPr>
        <w:pStyle w:val="BodyText"/>
      </w:pPr>
      <w:hyperlink r:id="rId23">
        <w:r>
          <w:rPr>
            <w:rStyle w:val="Hyperlink"/>
          </w:rPr>
          <w:t xml:space="preserve">[4]</w:t>
        </w:r>
      </w:hyperlink>
      <w:r>
        <w:t xml:space="preserve"> </w:t>
      </w:r>
      <w:r>
        <w:t xml:space="preserve">https://docs.kalshi.com/getting_started/historical_data</w:t>
      </w:r>
    </w:p>
    <w:p>
      <w:pPr>
        <w:pStyle w:val="BodyText"/>
      </w:pPr>
      <w:hyperlink r:id="rId23">
        <w:r>
          <w:rPr>
            <w:rStyle w:val="Hyperlink"/>
          </w:rPr>
          <w:t xml:space="preserve">https://docs.kalshi.com/getting_started/historical_data</w:t>
        </w:r>
      </w:hyperlink>
    </w:p>
    <w:p>
      <w:pPr>
        <w:pStyle w:val="BodyText"/>
      </w:pPr>
      <w:hyperlink r:id="rId25">
        <w:r>
          <w:rPr>
            <w:rStyle w:val="Hyperlink"/>
          </w:rPr>
          <w:t xml:space="preserve">[5]</w:t>
        </w:r>
      </w:hyperlink>
      <w:r>
        <w:t xml:space="preserve"> </w:t>
      </w:r>
      <w:r>
        <w:t xml:space="preserve">https://api.elections.kalshi.com/trade-api/v2/series/KXHIGHNY</w:t>
      </w:r>
    </w:p>
    <w:p>
      <w:pPr>
        <w:pStyle w:val="BodyText"/>
      </w:pPr>
      <w:hyperlink r:id="rId25">
        <w:r>
          <w:rPr>
            <w:rStyle w:val="Hyperlink"/>
          </w:rPr>
          <w:t xml:space="preserve">https://api.elections.kalshi.com/trade-api/v2/series/KXHIGHNY</w:t>
        </w:r>
      </w:hyperlink>
    </w:p>
    <w:p>
      <w:pPr>
        <w:pStyle w:val="BodyText"/>
      </w:pPr>
      <w:hyperlink r:id="rId26">
        <w:r>
          <w:rPr>
            <w:rStyle w:val="Hyperlink"/>
          </w:rPr>
          <w:t xml:space="preserve">[6]</w:t>
        </w:r>
      </w:hyperlink>
      <w:r>
        <w:t xml:space="preserve"> </w:t>
      </w:r>
      <w:hyperlink r:id="rId26">
        <w:r>
          <w:rPr>
            <w:rStyle w:val="Hyperlink"/>
          </w:rPr>
          <w:t xml:space="preserve">[44]</w:t>
        </w:r>
      </w:hyperlink>
      <w:r>
        <w:t xml:space="preserve"> </w:t>
      </w:r>
      <w:r>
        <w:t xml:space="preserve">https://docs.kalshi.com/api-reference/orders/create-order</w:t>
      </w:r>
    </w:p>
    <w:p>
      <w:pPr>
        <w:pStyle w:val="BodyText"/>
      </w:pPr>
      <w:hyperlink r:id="rId26">
        <w:r>
          <w:rPr>
            <w:rStyle w:val="Hyperlink"/>
          </w:rPr>
          <w:t xml:space="preserve">https://docs.kalshi.com/api-reference/orders/create-order</w:t>
        </w:r>
      </w:hyperlink>
    </w:p>
    <w:p>
      <w:pPr>
        <w:pStyle w:val="BodyText"/>
      </w:pPr>
      <w:hyperlink r:id="rId27">
        <w:r>
          <w:rPr>
            <w:rStyle w:val="Hyperlink"/>
          </w:rPr>
          <w:t xml:space="preserve">[7]</w:t>
        </w:r>
      </w:hyperlink>
      <w:r>
        <w:t xml:space="preserve"> </w:t>
      </w:r>
      <w:hyperlink r:id="rId27">
        <w:r>
          <w:rPr>
            <w:rStyle w:val="Hyperlink"/>
          </w:rPr>
          <w:t xml:space="preserve">[14]</w:t>
        </w:r>
      </w:hyperlink>
      <w:r>
        <w:t xml:space="preserve"> </w:t>
      </w:r>
      <w:r>
        <w:t xml:space="preserve">https://docs.kalshi.com/api-reference/market/get-market-orderbook</w:t>
      </w:r>
    </w:p>
    <w:p>
      <w:pPr>
        <w:pStyle w:val="BodyText"/>
      </w:pPr>
      <w:hyperlink r:id="rId27">
        <w:r>
          <w:rPr>
            <w:rStyle w:val="Hyperlink"/>
          </w:rPr>
          <w:t xml:space="preserve">https://docs.kalshi.com/api-reference/market/get-market-orderbook</w:t>
        </w:r>
      </w:hyperlink>
    </w:p>
    <w:p>
      <w:pPr>
        <w:pStyle w:val="BodyText"/>
      </w:pPr>
      <w:hyperlink r:id="rId28">
        <w:r>
          <w:rPr>
            <w:rStyle w:val="Hyperlink"/>
          </w:rPr>
          <w:t xml:space="preserve">[8]</w:t>
        </w:r>
      </w:hyperlink>
      <w:r>
        <w:t xml:space="preserve"> </w:t>
      </w:r>
      <w:hyperlink r:id="rId28">
        <w:r>
          <w:rPr>
            <w:rStyle w:val="Hyperlink"/>
          </w:rPr>
          <w:t xml:space="preserve">[16]</w:t>
        </w:r>
      </w:hyperlink>
      <w:r>
        <w:t xml:space="preserve"> </w:t>
      </w:r>
      <w:hyperlink r:id="rId28">
        <w:r>
          <w:rPr>
            <w:rStyle w:val="Hyperlink"/>
          </w:rPr>
          <w:t xml:space="preserve">[45]</w:t>
        </w:r>
      </w:hyperlink>
      <w:r>
        <w:t xml:space="preserve"> </w:t>
      </w:r>
      <w:r>
        <w:t xml:space="preserve">Order Entry Messages</w:t>
      </w:r>
    </w:p>
    <w:p>
      <w:pPr>
        <w:pStyle w:val="BodyText"/>
      </w:pPr>
      <w:hyperlink r:id="rId28">
        <w:r>
          <w:rPr>
            <w:rStyle w:val="Hyperlink"/>
          </w:rPr>
          <w:t xml:space="preserve">https://docs.kalshi.com/fix/order-entry?utm_source=chatgpt.com</w:t>
        </w:r>
      </w:hyperlink>
    </w:p>
    <w:p>
      <w:pPr>
        <w:pStyle w:val="BodyText"/>
      </w:pPr>
      <w:hyperlink r:id="rId29">
        <w:r>
          <w:rPr>
            <w:rStyle w:val="Hyperlink"/>
          </w:rPr>
          <w:t xml:space="preserve">[9]</w:t>
        </w:r>
      </w:hyperlink>
      <w:r>
        <w:t xml:space="preserve"> </w:t>
      </w:r>
      <w:hyperlink r:id="rId29">
        <w:r>
          <w:rPr>
            <w:rStyle w:val="Hyperlink"/>
          </w:rPr>
          <w:t xml:space="preserve">[40]</w:t>
        </w:r>
      </w:hyperlink>
      <w:r>
        <w:t xml:space="preserve"> </w:t>
      </w:r>
      <w:hyperlink r:id="rId29">
        <w:r>
          <w:rPr>
            <w:rStyle w:val="Hyperlink"/>
          </w:rPr>
          <w:t xml:space="preserve">[41]</w:t>
        </w:r>
      </w:hyperlink>
      <w:r>
        <w:t xml:space="preserve"> </w:t>
      </w:r>
      <w:r>
        <w:t xml:space="preserve">https://kalshi.com/docs/kalshi-fee-schedule.pdf</w:t>
      </w:r>
    </w:p>
    <w:p>
      <w:pPr>
        <w:pStyle w:val="BodyText"/>
      </w:pPr>
      <w:hyperlink r:id="rId29">
        <w:r>
          <w:rPr>
            <w:rStyle w:val="Hyperlink"/>
          </w:rPr>
          <w:t xml:space="preserve">https://kalshi.com/docs/kalshi-fee-schedule.pdf</w:t>
        </w:r>
      </w:hyperlink>
    </w:p>
    <w:p>
      <w:pPr>
        <w:pStyle w:val="BodyText"/>
      </w:pPr>
      <w:hyperlink r:id="rId30">
        <w:r>
          <w:rPr>
            <w:rStyle w:val="Hyperlink"/>
          </w:rPr>
          <w:t xml:space="preserve">[10]</w:t>
        </w:r>
      </w:hyperlink>
      <w:r>
        <w:t xml:space="preserve"> </w:t>
      </w:r>
      <w:hyperlink r:id="rId30">
        <w:r>
          <w:rPr>
            <w:rStyle w:val="Hyperlink"/>
          </w:rPr>
          <w:t xml:space="preserve">[15]</w:t>
        </w:r>
      </w:hyperlink>
      <w:r>
        <w:t xml:space="preserve"> </w:t>
      </w:r>
      <w:hyperlink r:id="rId30">
        <w:r>
          <w:rPr>
            <w:rStyle w:val="Hyperlink"/>
          </w:rPr>
          <w:t xml:space="preserve">[26]</w:t>
        </w:r>
      </w:hyperlink>
      <w:r>
        <w:t xml:space="preserve"> </w:t>
      </w:r>
      <w:hyperlink r:id="rId30">
        <w:r>
          <w:rPr>
            <w:rStyle w:val="Hyperlink"/>
          </w:rPr>
          <w:t xml:space="preserve">[30]</w:t>
        </w:r>
      </w:hyperlink>
      <w:r>
        <w:t xml:space="preserve"> </w:t>
      </w:r>
      <w:r>
        <w:t xml:space="preserve">https://docs.kalshi.com/api-reference/orders/get-queue-positions-for-orders</w:t>
      </w:r>
    </w:p>
    <w:p>
      <w:pPr>
        <w:pStyle w:val="BodyText"/>
      </w:pPr>
      <w:hyperlink r:id="rId30">
        <w:r>
          <w:rPr>
            <w:rStyle w:val="Hyperlink"/>
          </w:rPr>
          <w:t xml:space="preserve">https://docs.kalshi.com/api-reference/orders/get-queue-positions-for-orders</w:t>
        </w:r>
      </w:hyperlink>
    </w:p>
    <w:p>
      <w:pPr>
        <w:pStyle w:val="BodyText"/>
      </w:pPr>
      <w:hyperlink r:id="rId31">
        <w:r>
          <w:rPr>
            <w:rStyle w:val="Hyperlink"/>
          </w:rPr>
          <w:t xml:space="preserve">[11]</w:t>
        </w:r>
      </w:hyperlink>
      <w:r>
        <w:t xml:space="preserve"> </w:t>
      </w:r>
      <w:r>
        <w:t xml:space="preserve">https://api.elections.kalshi.com/trade-api/v2/markets?series_ticker=KXHIGHNY&amp;status=open</w:t>
      </w:r>
    </w:p>
    <w:p>
      <w:pPr>
        <w:pStyle w:val="BodyText"/>
      </w:pPr>
      <w:hyperlink r:id="rId31">
        <w:r>
          <w:rPr>
            <w:rStyle w:val="Hyperlink"/>
          </w:rPr>
          <w:t xml:space="preserve">https://api.elections.kalshi.com/trade-api/v2/markets?series_ticker=KXHIGHNY&amp;status=open</w:t>
        </w:r>
      </w:hyperlink>
    </w:p>
    <w:p>
      <w:pPr>
        <w:pStyle w:val="BodyText"/>
      </w:pPr>
      <w:hyperlink r:id="rId32">
        <w:r>
          <w:rPr>
            <w:rStyle w:val="Hyperlink"/>
          </w:rPr>
          <w:t xml:space="preserve">[12]</w:t>
        </w:r>
      </w:hyperlink>
      <w:r>
        <w:t xml:space="preserve"> </w:t>
      </w:r>
      <w:r>
        <w:t xml:space="preserve">https://docs.kalshi.com/getting_started/fixed_point_migration</w:t>
      </w:r>
    </w:p>
    <w:p>
      <w:pPr>
        <w:pStyle w:val="BodyText"/>
      </w:pPr>
      <w:hyperlink r:id="rId32">
        <w:r>
          <w:rPr>
            <w:rStyle w:val="Hyperlink"/>
          </w:rPr>
          <w:t xml:space="preserve">https://docs.kalshi.com/getting_started/fixed_point_migration</w:t>
        </w:r>
      </w:hyperlink>
    </w:p>
    <w:p>
      <w:pPr>
        <w:pStyle w:val="BodyText"/>
      </w:pPr>
      <w:hyperlink r:id="rId33">
        <w:r>
          <w:rPr>
            <w:rStyle w:val="Hyperlink"/>
          </w:rPr>
          <w:t xml:space="preserve">[17]</w:t>
        </w:r>
      </w:hyperlink>
      <w:r>
        <w:t xml:space="preserve"> </w:t>
      </w:r>
      <w:hyperlink r:id="rId33">
        <w:r>
          <w:rPr>
            <w:rStyle w:val="Hyperlink"/>
          </w:rPr>
          <w:t xml:space="preserve">[35]</w:t>
        </w:r>
      </w:hyperlink>
      <w:r>
        <w:t xml:space="preserve"> </w:t>
      </w:r>
      <w:r>
        <w:t xml:space="preserve">https://docs.kalshi.com/getting_started/rate_limits</w:t>
      </w:r>
    </w:p>
    <w:p>
      <w:pPr>
        <w:pStyle w:val="BodyText"/>
      </w:pPr>
      <w:hyperlink r:id="rId33">
        <w:r>
          <w:rPr>
            <w:rStyle w:val="Hyperlink"/>
          </w:rPr>
          <w:t xml:space="preserve">https://docs.kalshi.com/getting_started/rate_limits</w:t>
        </w:r>
      </w:hyperlink>
    </w:p>
    <w:p>
      <w:pPr>
        <w:pStyle w:val="BodyText"/>
      </w:pPr>
      <w:hyperlink r:id="rId34">
        <w:r>
          <w:rPr>
            <w:rStyle w:val="Hyperlink"/>
          </w:rPr>
          <w:t xml:space="preserve">[18]</w:t>
        </w:r>
      </w:hyperlink>
      <w:r>
        <w:t xml:space="preserve"> </w:t>
      </w:r>
      <w:r>
        <w:t xml:space="preserve">https://docs.kalshi.com/getting_started/market_lifecycle</w:t>
      </w:r>
    </w:p>
    <w:p>
      <w:pPr>
        <w:pStyle w:val="BodyText"/>
      </w:pPr>
      <w:hyperlink r:id="rId34">
        <w:r>
          <w:rPr>
            <w:rStyle w:val="Hyperlink"/>
          </w:rPr>
          <w:t xml:space="preserve">https://docs.kalshi.com/getting_started/market_lifecycle</w:t>
        </w:r>
      </w:hyperlink>
    </w:p>
    <w:p>
      <w:pPr>
        <w:pStyle w:val="BodyText"/>
      </w:pPr>
      <w:hyperlink r:id="rId36">
        <w:r>
          <w:rPr>
            <w:rStyle w:val="Hyperlink"/>
          </w:rPr>
          <w:t xml:space="preserve">[19]</w:t>
        </w:r>
      </w:hyperlink>
      <w:r>
        <w:t xml:space="preserve"> </w:t>
      </w:r>
      <w:r>
        <w:t xml:space="preserve">https://docs.kalshi.com/websockets/orderbook-updates</w:t>
      </w:r>
    </w:p>
    <w:p>
      <w:pPr>
        <w:pStyle w:val="BodyText"/>
      </w:pPr>
      <w:hyperlink r:id="rId36">
        <w:r>
          <w:rPr>
            <w:rStyle w:val="Hyperlink"/>
          </w:rPr>
          <w:t xml:space="preserve">https://docs.kalshi.com/websockets/orderbook-updates</w:t>
        </w:r>
      </w:hyperlink>
    </w:p>
    <w:p>
      <w:pPr>
        <w:pStyle w:val="BodyText"/>
      </w:pPr>
      <w:hyperlink r:id="rId37">
        <w:r>
          <w:rPr>
            <w:rStyle w:val="Hyperlink"/>
          </w:rPr>
          <w:t xml:space="preserve">[20]</w:t>
        </w:r>
      </w:hyperlink>
      <w:r>
        <w:t xml:space="preserve"> </w:t>
      </w:r>
      <w:r>
        <w:t xml:space="preserve">https://docs.kalshi.com/api-reference/market/get-trades</w:t>
      </w:r>
    </w:p>
    <w:p>
      <w:pPr>
        <w:pStyle w:val="BodyText"/>
      </w:pPr>
      <w:hyperlink r:id="rId37">
        <w:r>
          <w:rPr>
            <w:rStyle w:val="Hyperlink"/>
          </w:rPr>
          <w:t xml:space="preserve">https://docs.kalshi.com/api-reference/market/get-trades</w:t>
        </w:r>
      </w:hyperlink>
    </w:p>
    <w:p>
      <w:pPr>
        <w:pStyle w:val="BodyText"/>
      </w:pPr>
      <w:hyperlink r:id="rId38">
        <w:r>
          <w:rPr>
            <w:rStyle w:val="Hyperlink"/>
          </w:rPr>
          <w:t xml:space="preserve">[21]</w:t>
        </w:r>
      </w:hyperlink>
      <w:r>
        <w:t xml:space="preserve"> </w:t>
      </w:r>
      <w:r>
        <w:t xml:space="preserve">https://docs.kalshi.com/api-reference/exchange/get-user-data-timestamp</w:t>
      </w:r>
    </w:p>
    <w:p>
      <w:pPr>
        <w:pStyle w:val="BodyText"/>
      </w:pPr>
      <w:hyperlink r:id="rId38">
        <w:r>
          <w:rPr>
            <w:rStyle w:val="Hyperlink"/>
          </w:rPr>
          <w:t xml:space="preserve">https://docs.kalshi.com/api-reference/exchange/get-user-data-timestamp</w:t>
        </w:r>
      </w:hyperlink>
    </w:p>
    <w:p>
      <w:pPr>
        <w:pStyle w:val="BodyText"/>
      </w:pPr>
      <w:hyperlink r:id="rId39">
        <w:r>
          <w:rPr>
            <w:rStyle w:val="Hyperlink"/>
          </w:rPr>
          <w:t xml:space="preserve">[22]</w:t>
        </w:r>
      </w:hyperlink>
      <w:r>
        <w:t xml:space="preserve"> </w:t>
      </w:r>
      <w:r>
        <w:t xml:space="preserve">https://docs.kalshi.com/getting_started/rfqs</w:t>
      </w:r>
    </w:p>
    <w:p>
      <w:pPr>
        <w:pStyle w:val="BodyText"/>
      </w:pPr>
      <w:hyperlink r:id="rId39">
        <w:r>
          <w:rPr>
            <w:rStyle w:val="Hyperlink"/>
          </w:rPr>
          <w:t xml:space="preserve">https://docs.kalshi.com/getting_started/rfqs</w:t>
        </w:r>
      </w:hyperlink>
    </w:p>
    <w:p>
      <w:pPr>
        <w:pStyle w:val="BodyText"/>
      </w:pPr>
      <w:hyperlink r:id="rId40">
        <w:r>
          <w:rPr>
            <w:rStyle w:val="Hyperlink"/>
          </w:rPr>
          <w:t xml:space="preserve">[23]</w:t>
        </w:r>
      </w:hyperlink>
      <w:r>
        <w:t xml:space="preserve"> </w:t>
      </w:r>
      <w:hyperlink r:id="rId40">
        <w:r>
          <w:rPr>
            <w:rStyle w:val="Hyperlink"/>
          </w:rPr>
          <w:t xml:space="preserve">[25]</w:t>
        </w:r>
      </w:hyperlink>
      <w:r>
        <w:t xml:space="preserve"> </w:t>
      </w:r>
      <w:r>
        <w:t xml:space="preserve">https://arxiv.org/pdf/1312.0563</w:t>
      </w:r>
    </w:p>
    <w:p>
      <w:pPr>
        <w:pStyle w:val="BodyText"/>
      </w:pPr>
      <w:hyperlink r:id="rId40">
        <w:r>
          <w:rPr>
            <w:rStyle w:val="Hyperlink"/>
          </w:rPr>
          <w:t xml:space="preserve">https://arxiv.org/pdf/1312.0563</w:t>
        </w:r>
      </w:hyperlink>
    </w:p>
    <w:p>
      <w:pPr>
        <w:pStyle w:val="BodyText"/>
      </w:pPr>
      <w:hyperlink r:id="rId43">
        <w:r>
          <w:rPr>
            <w:rStyle w:val="Hyperlink"/>
          </w:rPr>
          <w:t xml:space="preserve">[27]</w:t>
        </w:r>
      </w:hyperlink>
      <w:r>
        <w:t xml:space="preserve"> </w:t>
      </w:r>
      <w:hyperlink r:id="rId43">
        <w:r>
          <w:rPr>
            <w:rStyle w:val="Hyperlink"/>
          </w:rPr>
          <w:t xml:space="preserve">[28]</w:t>
        </w:r>
      </w:hyperlink>
      <w:r>
        <w:t xml:space="preserve"> </w:t>
      </w:r>
      <w:hyperlink r:id="rId43">
        <w:r>
          <w:rPr>
            <w:rStyle w:val="Hyperlink"/>
          </w:rPr>
          <w:t xml:space="preserve">[33]</w:t>
        </w:r>
      </w:hyperlink>
      <w:r>
        <w:t xml:space="preserve"> </w:t>
      </w:r>
      <w:r>
        <w:t xml:space="preserve">https://www.smallake.kr/wp-content/uploads/2016/05/SSRN-id1712822.pdf</w:t>
      </w:r>
    </w:p>
    <w:p>
      <w:pPr>
        <w:pStyle w:val="BodyText"/>
      </w:pPr>
      <w:hyperlink r:id="rId43">
        <w:r>
          <w:rPr>
            <w:rStyle w:val="Hyperlink"/>
          </w:rPr>
          <w:t xml:space="preserve">https://www.smallake.kr/wp-content/uploads/2016/05/SSRN-id1712822.pdf</w:t>
        </w:r>
      </w:hyperlink>
    </w:p>
    <w:p>
      <w:pPr>
        <w:pStyle w:val="BodyText"/>
      </w:pPr>
      <w:hyperlink r:id="rId45">
        <w:r>
          <w:rPr>
            <w:rStyle w:val="Hyperlink"/>
          </w:rPr>
          <w:t xml:space="preserve">[29]</w:t>
        </w:r>
      </w:hyperlink>
      <w:r>
        <w:t xml:space="preserve"> </w:t>
      </w:r>
      <w:hyperlink r:id="rId45">
        <w:r>
          <w:rPr>
            <w:rStyle w:val="Hyperlink"/>
          </w:rPr>
          <w:t xml:space="preserve">[43]</w:t>
        </w:r>
      </w:hyperlink>
      <w:r>
        <w:t xml:space="preserve"> </w:t>
      </w:r>
      <w:r>
        <w:t xml:space="preserve">https://docs.kalshi.com/getting_started/quick_start_websockets</w:t>
      </w:r>
    </w:p>
    <w:p>
      <w:pPr>
        <w:pStyle w:val="BodyText"/>
      </w:pPr>
      <w:hyperlink r:id="rId45">
        <w:r>
          <w:rPr>
            <w:rStyle w:val="Hyperlink"/>
          </w:rPr>
          <w:t xml:space="preserve">https://docs.kalshi.com/getting_started/quick_start_websockets</w:t>
        </w:r>
      </w:hyperlink>
    </w:p>
    <w:p>
      <w:pPr>
        <w:pStyle w:val="BodyText"/>
      </w:pPr>
      <w:hyperlink r:id="rId46">
        <w:r>
          <w:rPr>
            <w:rStyle w:val="Hyperlink"/>
          </w:rPr>
          <w:t xml:space="preserve">[31]</w:t>
        </w:r>
      </w:hyperlink>
      <w:r>
        <w:t xml:space="preserve"> </w:t>
      </w:r>
      <w:hyperlink r:id="rId46">
        <w:r>
          <w:rPr>
            <w:rStyle w:val="Hyperlink"/>
          </w:rPr>
          <w:t xml:space="preserve">[38]</w:t>
        </w:r>
      </w:hyperlink>
      <w:r>
        <w:t xml:space="preserve"> </w:t>
      </w:r>
      <w:hyperlink r:id="rId46">
        <w:r>
          <w:rPr>
            <w:rStyle w:val="Hyperlink"/>
          </w:rPr>
          <w:t xml:space="preserve">[46]</w:t>
        </w:r>
      </w:hyperlink>
      <w:r>
        <w:t xml:space="preserve"> </w:t>
      </w:r>
      <w:r>
        <w:t xml:space="preserve">https://docs.kalshi.com/api-reference/orders/get-order-queue-position</w:t>
      </w:r>
    </w:p>
    <w:p>
      <w:pPr>
        <w:pStyle w:val="BodyText"/>
      </w:pPr>
      <w:hyperlink r:id="rId46">
        <w:r>
          <w:rPr>
            <w:rStyle w:val="Hyperlink"/>
          </w:rPr>
          <w:t xml:space="preserve">https://docs.kalshi.com/api-reference/orders/get-order-queue-position</w:t>
        </w:r>
      </w:hyperlink>
    </w:p>
    <w:p>
      <w:pPr>
        <w:pStyle w:val="BodyText"/>
      </w:pPr>
      <w:hyperlink r:id="rId47">
        <w:r>
          <w:rPr>
            <w:rStyle w:val="Hyperlink"/>
          </w:rPr>
          <w:t xml:space="preserve">[32]</w:t>
        </w:r>
      </w:hyperlink>
      <w:r>
        <w:t xml:space="preserve"> </w:t>
      </w:r>
      <w:r>
        <w:t xml:space="preserve">https://business.columbia.edu/sites/default/files-efs/citation_file_upload/deep-lob-2021.pdf</w:t>
      </w:r>
    </w:p>
    <w:p>
      <w:pPr>
        <w:pStyle w:val="BodyText"/>
      </w:pPr>
      <w:hyperlink r:id="rId47">
        <w:r>
          <w:rPr>
            <w:rStyle w:val="Hyperlink"/>
          </w:rPr>
          <w:t xml:space="preserve">https://business.columbia.edu/sites/default/files-efs/citation_file_upload/deep-lob-2021.pdf</w:t>
        </w:r>
      </w:hyperlink>
    </w:p>
    <w:p>
      <w:pPr>
        <w:pStyle w:val="BodyText"/>
      </w:pPr>
      <w:hyperlink r:id="rId49">
        <w:r>
          <w:rPr>
            <w:rStyle w:val="Hyperlink"/>
          </w:rPr>
          <w:t xml:space="preserve">[36]</w:t>
        </w:r>
      </w:hyperlink>
      <w:r>
        <w:t xml:space="preserve"> </w:t>
      </w:r>
      <w:hyperlink r:id="rId49">
        <w:r>
          <w:rPr>
            <w:rStyle w:val="Hyperlink"/>
          </w:rPr>
          <w:t xml:space="preserve">[42]</w:t>
        </w:r>
      </w:hyperlink>
      <w:r>
        <w:t xml:space="preserve"> </w:t>
      </w:r>
      <w:r>
        <w:t xml:space="preserve">https://moallemi.com/ciamac/papers/queue-value-2016.pdf</w:t>
      </w:r>
    </w:p>
    <w:p>
      <w:pPr>
        <w:pStyle w:val="BodyText"/>
      </w:pPr>
      <w:hyperlink r:id="rId49">
        <w:r>
          <w:rPr>
            <w:rStyle w:val="Hyperlink"/>
          </w:rPr>
          <w:t xml:space="preserve">https://moallemi.com/ciamac/papers/queue-value-2016.pdf</w:t>
        </w:r>
      </w:hyperlink>
    </w:p>
    <w:p>
      <w:pPr>
        <w:pStyle w:val="BodyText"/>
      </w:pPr>
      <w:hyperlink r:id="rId51">
        <w:r>
          <w:rPr>
            <w:rStyle w:val="Hyperlink"/>
          </w:rPr>
          <w:t xml:space="preserve">[39]</w:t>
        </w:r>
      </w:hyperlink>
      <w:r>
        <w:t xml:space="preserve"> </w:t>
      </w:r>
      <w:r>
        <w:t xml:space="preserve">https://docs.kalshi.com/api-reference/orders/decrease-order</w:t>
      </w:r>
    </w:p>
    <w:p>
      <w:pPr>
        <w:pStyle w:val="BodyText"/>
      </w:pPr>
      <w:hyperlink r:id="rId51">
        <w:r>
          <w:rPr>
            <w:rStyle w:val="Hyperlink"/>
          </w:rPr>
          <w:t xml:space="preserve">https://docs.kalshi.com/api-reference/orders/decrease-order</w:t>
        </w:r>
      </w:hyperlink>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s://api.elections.kalshi.com/trade-api/v2/markets?series_ticker=KXHIGHNY&amp;status=open" TargetMode="External" /><Relationship Type="http://schemas.openxmlformats.org/officeDocument/2006/relationships/hyperlink" Id="rId25" Target="https://api.elections.kalshi.com/trade-api/v2/series/KXHIGHNY" TargetMode="External" /><Relationship Type="http://schemas.openxmlformats.org/officeDocument/2006/relationships/hyperlink" Id="rId22" Target="https://arxiv.org/abs/2403.02572" TargetMode="External" /><Relationship Type="http://schemas.openxmlformats.org/officeDocument/2006/relationships/hyperlink" Id="rId40" Target="https://arxiv.org/pdf/1312.0563" TargetMode="External" /><Relationship Type="http://schemas.openxmlformats.org/officeDocument/2006/relationships/hyperlink" Id="rId47" Target="https://business.columbia.edu/sites/default/files-efs/citation_file_upload/deep-lob-2021.pdf" TargetMode="External" /><Relationship Type="http://schemas.openxmlformats.org/officeDocument/2006/relationships/hyperlink" Id="rId38" Target="https://docs.kalshi.com/api-reference/exchange/get-user-data-timestamp" TargetMode="External" /><Relationship Type="http://schemas.openxmlformats.org/officeDocument/2006/relationships/hyperlink" Id="rId27" Target="https://docs.kalshi.com/api-reference/market/get-market-orderbook" TargetMode="External" /><Relationship Type="http://schemas.openxmlformats.org/officeDocument/2006/relationships/hyperlink" Id="rId37" Target="https://docs.kalshi.com/api-reference/market/get-trades" TargetMode="External" /><Relationship Type="http://schemas.openxmlformats.org/officeDocument/2006/relationships/hyperlink" Id="rId26" Target="https://docs.kalshi.com/api-reference/orders/create-order" TargetMode="External" /><Relationship Type="http://schemas.openxmlformats.org/officeDocument/2006/relationships/hyperlink" Id="rId51" Target="https://docs.kalshi.com/api-reference/orders/decrease-order" TargetMode="External" /><Relationship Type="http://schemas.openxmlformats.org/officeDocument/2006/relationships/hyperlink" Id="rId46" Target="https://docs.kalshi.com/api-reference/orders/get-order-queue-position" TargetMode="External" /><Relationship Type="http://schemas.openxmlformats.org/officeDocument/2006/relationships/hyperlink" Id="rId30" Target="https://docs.kalshi.com/api-reference/orders/get-queue-positions-for-orders" TargetMode="External" /><Relationship Type="http://schemas.openxmlformats.org/officeDocument/2006/relationships/hyperlink" Id="rId28" Target="https://docs.kalshi.com/fix/order-entry?utm_source=chatgpt.com" TargetMode="External" /><Relationship Type="http://schemas.openxmlformats.org/officeDocument/2006/relationships/hyperlink" Id="rId32" Target="https://docs.kalshi.com/getting_started/fixed_point_migration" TargetMode="External" /><Relationship Type="http://schemas.openxmlformats.org/officeDocument/2006/relationships/hyperlink" Id="rId23" Target="https://docs.kalshi.com/getting_started/historical_data" TargetMode="External" /><Relationship Type="http://schemas.openxmlformats.org/officeDocument/2006/relationships/hyperlink" Id="rId34" Target="https://docs.kalshi.com/getting_started/market_lifecycle" TargetMode="External" /><Relationship Type="http://schemas.openxmlformats.org/officeDocument/2006/relationships/hyperlink" Id="rId45" Target="https://docs.kalshi.com/getting_started/quick_start_websockets" TargetMode="External" /><Relationship Type="http://schemas.openxmlformats.org/officeDocument/2006/relationships/hyperlink" Id="rId33" Target="https://docs.kalshi.com/getting_started/rate_limits" TargetMode="External" /><Relationship Type="http://schemas.openxmlformats.org/officeDocument/2006/relationships/hyperlink" Id="rId39" Target="https://docs.kalshi.com/getting_started/rfqs" TargetMode="External" /><Relationship Type="http://schemas.openxmlformats.org/officeDocument/2006/relationships/hyperlink" Id="rId36" Target="https://docs.kalshi.com/websockets/orderbook-updates" TargetMode="External" /><Relationship Type="http://schemas.openxmlformats.org/officeDocument/2006/relationships/hyperlink" Id="rId29" Target="https://kalshi.com/docs/kalshi-fee-schedule.pdf" TargetMode="External" /><Relationship Type="http://schemas.openxmlformats.org/officeDocument/2006/relationships/hyperlink" Id="rId49" Target="https://moallemi.com/ciamac/papers/queue-value-2016.pdf" TargetMode="External" /><Relationship Type="http://schemas.openxmlformats.org/officeDocument/2006/relationships/hyperlink" Id="rId21" Target="https://www.cftc.gov/sites/default/files/filings/orgrules/25/07/rules07012525155.pdf" TargetMode="External" /><Relationship Type="http://schemas.openxmlformats.org/officeDocument/2006/relationships/hyperlink" Id="rId43" Target="https://www.smallake.kr/wp-content/uploads/2016/05/SSRN-id1712822.pdf" TargetMode="External" /></Relationships>
</file>

<file path=word/_rels/footnotes.xml.rels><?xml version="1.0" encoding="UTF-8"?><Relationships xmlns="http://schemas.openxmlformats.org/package/2006/relationships"><Relationship Type="http://schemas.openxmlformats.org/officeDocument/2006/relationships/hyperlink" Id="rId31" Target="https://api.elections.kalshi.com/trade-api/v2/markets?series_ticker=KXHIGHNY&amp;status=open" TargetMode="External" /><Relationship Type="http://schemas.openxmlformats.org/officeDocument/2006/relationships/hyperlink" Id="rId25" Target="https://api.elections.kalshi.com/trade-api/v2/series/KXHIGHNY" TargetMode="External" /><Relationship Type="http://schemas.openxmlformats.org/officeDocument/2006/relationships/hyperlink" Id="rId22" Target="https://arxiv.org/abs/2403.02572" TargetMode="External" /><Relationship Type="http://schemas.openxmlformats.org/officeDocument/2006/relationships/hyperlink" Id="rId40" Target="https://arxiv.org/pdf/1312.0563" TargetMode="External" /><Relationship Type="http://schemas.openxmlformats.org/officeDocument/2006/relationships/hyperlink" Id="rId47" Target="https://business.columbia.edu/sites/default/files-efs/citation_file_upload/deep-lob-2021.pdf" TargetMode="External" /><Relationship Type="http://schemas.openxmlformats.org/officeDocument/2006/relationships/hyperlink" Id="rId38" Target="https://docs.kalshi.com/api-reference/exchange/get-user-data-timestamp" TargetMode="External" /><Relationship Type="http://schemas.openxmlformats.org/officeDocument/2006/relationships/hyperlink" Id="rId27" Target="https://docs.kalshi.com/api-reference/market/get-market-orderbook" TargetMode="External" /><Relationship Type="http://schemas.openxmlformats.org/officeDocument/2006/relationships/hyperlink" Id="rId37" Target="https://docs.kalshi.com/api-reference/market/get-trades" TargetMode="External" /><Relationship Type="http://schemas.openxmlformats.org/officeDocument/2006/relationships/hyperlink" Id="rId26" Target="https://docs.kalshi.com/api-reference/orders/create-order" TargetMode="External" /><Relationship Type="http://schemas.openxmlformats.org/officeDocument/2006/relationships/hyperlink" Id="rId51" Target="https://docs.kalshi.com/api-reference/orders/decrease-order" TargetMode="External" /><Relationship Type="http://schemas.openxmlformats.org/officeDocument/2006/relationships/hyperlink" Id="rId46" Target="https://docs.kalshi.com/api-reference/orders/get-order-queue-position" TargetMode="External" /><Relationship Type="http://schemas.openxmlformats.org/officeDocument/2006/relationships/hyperlink" Id="rId30" Target="https://docs.kalshi.com/api-reference/orders/get-queue-positions-for-orders" TargetMode="External" /><Relationship Type="http://schemas.openxmlformats.org/officeDocument/2006/relationships/hyperlink" Id="rId28" Target="https://docs.kalshi.com/fix/order-entry?utm_source=chatgpt.com" TargetMode="External" /><Relationship Type="http://schemas.openxmlformats.org/officeDocument/2006/relationships/hyperlink" Id="rId32" Target="https://docs.kalshi.com/getting_started/fixed_point_migration" TargetMode="External" /><Relationship Type="http://schemas.openxmlformats.org/officeDocument/2006/relationships/hyperlink" Id="rId23" Target="https://docs.kalshi.com/getting_started/historical_data" TargetMode="External" /><Relationship Type="http://schemas.openxmlformats.org/officeDocument/2006/relationships/hyperlink" Id="rId34" Target="https://docs.kalshi.com/getting_started/market_lifecycle" TargetMode="External" /><Relationship Type="http://schemas.openxmlformats.org/officeDocument/2006/relationships/hyperlink" Id="rId45" Target="https://docs.kalshi.com/getting_started/quick_start_websockets" TargetMode="External" /><Relationship Type="http://schemas.openxmlformats.org/officeDocument/2006/relationships/hyperlink" Id="rId33" Target="https://docs.kalshi.com/getting_started/rate_limits" TargetMode="External" /><Relationship Type="http://schemas.openxmlformats.org/officeDocument/2006/relationships/hyperlink" Id="rId39" Target="https://docs.kalshi.com/getting_started/rfqs" TargetMode="External" /><Relationship Type="http://schemas.openxmlformats.org/officeDocument/2006/relationships/hyperlink" Id="rId36" Target="https://docs.kalshi.com/websockets/orderbook-updates" TargetMode="External" /><Relationship Type="http://schemas.openxmlformats.org/officeDocument/2006/relationships/hyperlink" Id="rId29" Target="https://kalshi.com/docs/kalshi-fee-schedule.pdf" TargetMode="External" /><Relationship Type="http://schemas.openxmlformats.org/officeDocument/2006/relationships/hyperlink" Id="rId49" Target="https://moallemi.com/ciamac/papers/queue-value-2016.pdf" TargetMode="External" /><Relationship Type="http://schemas.openxmlformats.org/officeDocument/2006/relationships/hyperlink" Id="rId21" Target="https://www.cftc.gov/sites/default/files/filings/orgrules/25/07/rules07012525155.pdf" TargetMode="External" /><Relationship Type="http://schemas.openxmlformats.org/officeDocument/2006/relationships/hyperlink" Id="rId43" Target="https://www.smallake.kr/wp-content/uploads/2016/05/SSRN-id1712822.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2026-04-16T17:00:32Z</dcterms:created>
  <dcterms:modified xsi:type="dcterms:W3CDTF">2026-04-16T17:00:32Z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