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b8b862a240f3098fb2244cd56fac11a3a413df6"/>
    <w:p>
      <w:pPr>
        <w:pStyle w:val="Heading1"/>
      </w:pPr>
      <w:r>
        <w:t xml:space="preserve">Designing a Station-Hour Adaptive Policy Engine for Breadth and Risk Control</w:t>
      </w:r>
    </w:p>
    <w:bookmarkStart w:id="26" w:name="executive-summary"/>
    <w:p>
      <w:pPr>
        <w:pStyle w:val="Heading2"/>
      </w:pPr>
      <w:r>
        <w:t xml:space="preserve">Executive summary</w:t>
      </w:r>
    </w:p>
    <w:p>
      <w:pPr>
        <w:pStyle w:val="FirstParagraph"/>
      </w:pPr>
      <w:r>
        <w:t xml:space="preserve">A station-hour adaptive policy engine should treat freshness and approval as a</w:t>
      </w:r>
      <w:r>
        <w:t xml:space="preserve"> </w:t>
      </w:r>
      <w:r>
        <w:rPr>
          <w:b/>
          <w:bCs/>
        </w:rPr>
        <w:t xml:space="preserve">regime-conditioned control problem</w:t>
      </w:r>
      <w:r>
        <w:t xml:space="preserve">, not a single global thresholding rule. Evidence from Lyft</w:t>
      </w:r>
      <w:hyperlink r:id="rId21">
        <w:r>
          <w:rPr>
            <w:rStyle w:val="Hyperlink"/>
          </w:rPr>
          <w:t xml:space="preserve">[1]</w:t>
        </w:r>
      </w:hyperlink>
      <w:r>
        <w:t xml:space="preserve"> </w:t>
      </w:r>
      <w:r>
        <w:t xml:space="preserve">and Uber</w:t>
      </w:r>
      <w:hyperlink r:id="rId22">
        <w:r>
          <w:rPr>
            <w:rStyle w:val="Hyperlink"/>
          </w:rPr>
          <w:t xml:space="preserve">[2]</w:t>
        </w:r>
      </w:hyperlink>
      <w:r>
        <w:t xml:space="preserve"> </w:t>
      </w:r>
      <w:r>
        <w:t xml:space="preserve">shows that marketplace balance is intensely local in space and time, and that seemingly good myopic decisions can create downstream imbalance elsewhere in the network. A policy that is optimal in a thick, calm-weather station-hour can be too conservative in a thin regime and too permissive during a shock regime.</w:t>
      </w:r>
      <w:r>
        <w:t xml:space="preserve"> </w:t>
      </w:r>
      <w:hyperlink r:id="rId23">
        <w:r>
          <w:rPr>
            <w:rStyle w:val="Hyperlink"/>
          </w:rPr>
          <w:t xml:space="preserve">[3]</w:t>
        </w:r>
      </w:hyperlink>
    </w:p>
    <w:p>
      <w:pPr>
        <w:pStyle w:val="BodyText"/>
      </w:pPr>
      <w:r>
        <w:t xml:space="preserve">The most robust design is a</w:t>
      </w:r>
      <w:r>
        <w:t xml:space="preserve"> </w:t>
      </w:r>
      <w:r>
        <w:rPr>
          <w:b/>
          <w:bCs/>
        </w:rPr>
        <w:t xml:space="preserve">layered system</w:t>
      </w:r>
      <w:r>
        <w:t xml:space="preserve">: probabilistic forecasting models for demand, supply, staleness, and cutoff hazard; a constrained optimizer that selects regime-specific freshness thresholds and approval gates; and an online gateway that enforces hard safety rules, logs propensities, and supports rollback. The main methodological trap is not false approvals, which are usually observable, but</w:t>
      </w:r>
      <w:r>
        <w:t xml:space="preserve"> </w:t>
      </w:r>
      <w:r>
        <w:rPr>
          <w:b/>
          <w:bCs/>
        </w:rPr>
        <w:t xml:space="preserve">false denials</w:t>
      </w:r>
      <w:r>
        <w:t xml:space="preserve">, because denials create selective labels and hide counterfactual outcomes. That means the engine must carry explicit exploration, quasi-random natural experiments, or both if it is expected to learn rather than just formalize legacy rules.</w:t>
      </w:r>
      <w:r>
        <w:t xml:space="preserve"> </w:t>
      </w:r>
      <w:hyperlink r:id="rId24">
        <w:r>
          <w:rPr>
            <w:rStyle w:val="Hyperlink"/>
          </w:rPr>
          <w:t xml:space="preserve">[4]</w:t>
        </w:r>
      </w:hyperlink>
    </w:p>
    <w:p>
      <w:pPr>
        <w:pStyle w:val="BodyText"/>
      </w:pPr>
      <w:r>
        <w:t xml:space="preserve">The recommended minimum viable path is to start with</w:t>
      </w:r>
      <w:r>
        <w:t xml:space="preserve"> </w:t>
      </w:r>
      <w:r>
        <w:rPr>
          <w:b/>
          <w:bCs/>
        </w:rPr>
        <w:t xml:space="preserve">hierarchical probabilistic forecasts, monotone tree-based approval models, survival models for time-to-stale and time-to-cutoff, and discrete constrained optimization over a safe action set</w:t>
      </w:r>
      <w:r>
        <w:t xml:space="preserve">. Validate this stack in replay simulation and switchback experiments first; only then graduate to safe contextual bandits or offline-to-online policy learning. That ordering is consistent with the original contextual-bandit and off-policy evaluation literature, and with marketplace experimentation practice in large two-sided platforms.</w:t>
      </w:r>
      <w:r>
        <w:t xml:space="preserve"> </w:t>
      </w:r>
      <w:hyperlink r:id="rId25">
        <w:r>
          <w:rPr>
            <w:rStyle w:val="Hyperlink"/>
          </w:rPr>
          <w:t xml:space="preserve">[5]</w:t>
        </w:r>
      </w:hyperlink>
    </w:p>
    <w:bookmarkEnd w:id="26"/>
    <w:bookmarkStart w:id="29" w:name="problem-definition-and-objectives"/>
    <w:p>
      <w:pPr>
        <w:pStyle w:val="Heading2"/>
      </w:pPr>
      <w:r>
        <w:t xml:space="preserve">Problem definition and objectives</w:t>
      </w:r>
    </w:p>
    <w:p>
      <w:pPr>
        <w:pStyle w:val="FirstParagraph"/>
      </w:pPr>
      <w:r>
        <w:t xml:space="preserve">Let a</w:t>
      </w:r>
      <w:r>
        <w:t xml:space="preserve"> </w:t>
      </w:r>
      <w:r>
        <w:rPr>
          <w:b/>
          <w:bCs/>
        </w:rPr>
        <w:t xml:space="preserve">station</w:t>
      </w:r>
      <w:r>
        <w:t xml:space="preserve"> </w:t>
      </w:r>
      <w:r>
        <w:t xml:space="preserve">be the smallest operational geographic unit where policy may differ, and let a regime be</w:t>
      </w:r>
    </w:p>
    <w:p>
      <w:pPr>
        <w:pStyle w:val="BodyText"/>
      </w:pPr>
      <m:oMathPara>
        <m:oMathParaPr>
          <m:jc m:val="center"/>
        </m:oMathParaPr>
        <m:oMath>
          <m:sSub>
            <m:e>
              <m:r>
                <m:t>r</m:t>
              </m:r>
            </m:e>
            <m:sub>
              <m:r>
                <m:t>t</m:t>
              </m:r>
            </m:sub>
          </m:sSub>
          <m:r>
            <m:rPr>
              <m:sty m:val="p"/>
            </m:rPr>
            <m:t>=</m:t>
          </m:r>
          <m:d>
            <m:dPr>
              <m:begChr m:val="("/>
              <m:sepChr m:val=""/>
              <m:endChr m:val=")"/>
              <m:grow/>
            </m:dPr>
            <m:e>
              <m:sSub>
                <m:e>
                  <m:r>
                    <m:rPr>
                      <m:nor/>
                      <m:sty m:val="p"/>
                    </m:rPr>
                    <m:t>station</m:t>
                  </m:r>
                </m:e>
                <m:sub>
                  <m:r>
                    <m:t>t</m:t>
                  </m:r>
                </m:sub>
              </m:sSub>
              <m:r>
                <m:rPr>
                  <m:sty m:val="p"/>
                </m:rPr>
                <m:t>,</m:t>
              </m:r>
              <m:r>
                <m:t> </m:t>
              </m:r>
              <m:sSub>
                <m:e>
                  <m:r>
                    <m:rPr>
                      <m:nor/>
                      <m:sty m:val="p"/>
                    </m:rPr>
                    <m:t>hour-of-week</m:t>
                  </m:r>
                </m:e>
                <m:sub>
                  <m:r>
                    <m:t>t</m:t>
                  </m:r>
                </m:sub>
              </m:sSub>
              <m:r>
                <m:rPr>
                  <m:sty m:val="p"/>
                </m:rPr>
                <m:t>,</m:t>
              </m:r>
              <m:r>
                <m:t> </m:t>
              </m:r>
              <m:sSub>
                <m:e>
                  <m:r>
                    <m:rPr>
                      <m:nor/>
                      <m:sty m:val="p"/>
                    </m:rPr>
                    <m:t>weather-pattern</m:t>
                  </m:r>
                </m:e>
                <m:sub>
                  <m:r>
                    <m:t>t</m:t>
                  </m:r>
                </m:sub>
              </m:sSub>
              <m:r>
                <m:rPr>
                  <m:sty m:val="p"/>
                </m:rPr>
                <m:t>,</m:t>
              </m:r>
              <m:r>
                <m:t> </m:t>
              </m:r>
              <m:sSub>
                <m:e>
                  <m:r>
                    <m:rPr>
                      <m:nor/>
                      <m:sty m:val="p"/>
                    </m:rPr>
                    <m:t>state</m:t>
                  </m:r>
                </m:e>
                <m:sub>
                  <m:r>
                    <m:t>t</m:t>
                  </m:r>
                </m:sub>
              </m:sSub>
            </m:e>
          </m:d>
          <m:r>
            <m:rPr>
              <m:sty m:val="p"/>
            </m:rPr>
            <m:t>.</m:t>
          </m:r>
        </m:oMath>
      </m:oMathPara>
    </w:p>
    <w:p>
      <w:pPr>
        <w:pStyle w:val="FirstParagraph"/>
      </w:pPr>
      <w:r>
        <w:t xml:space="preserve">At each decision time</w:t>
      </w:r>
      <w:r>
        <w:t xml:space="preserve"> </w:t>
      </w:r>
      <m:oMath>
        <m:r>
          <m:t>t</m:t>
        </m:r>
      </m:oMath>
      <w:r>
        <w:t xml:space="preserve">, the policy chooses an action</w:t>
      </w:r>
    </w:p>
    <w:p>
      <w:pPr>
        <w:pStyle w:val="BodyText"/>
      </w:pPr>
      <m:oMathPara>
        <m:oMathParaPr>
          <m:jc m:val="center"/>
        </m:oMathParaPr>
        <m:oMath>
          <m:sSub>
            <m:e>
              <m:r>
                <m:t>a</m:t>
              </m:r>
            </m:e>
            <m:sub>
              <m:r>
                <m:t>t</m:t>
              </m:r>
            </m:sub>
          </m:sSub>
          <m:r>
            <m:rPr>
              <m:sty m:val="p"/>
            </m:rPr>
            <m:t>=</m:t>
          </m:r>
          <m:d>
            <m:dPr>
              <m:begChr m:val="("/>
              <m:sepChr m:val=""/>
              <m:endChr m:val=")"/>
              <m:grow/>
            </m:dPr>
            <m:e>
              <m:sSub>
                <m:e>
                  <m:r>
                    <m:t>τ</m:t>
                  </m:r>
                </m:e>
                <m:sub>
                  <m:r>
                    <m:t>f</m:t>
                  </m:r>
                </m:sub>
              </m:sSub>
              <m:r>
                <m:rPr>
                  <m:sty m:val="p"/>
                </m:rPr>
                <m:t>,</m:t>
              </m:r>
              <m:r>
                <m:t> </m:t>
              </m:r>
              <m:sSub>
                <m:e>
                  <m:r>
                    <m:t>τ</m:t>
                  </m:r>
                </m:e>
                <m:sub>
                  <m:r>
                    <m:t>a</m:t>
                  </m:r>
                </m:sub>
              </m:sSub>
              <m:r>
                <m:rPr>
                  <m:sty m:val="p"/>
                </m:rPr>
                <m:t>,</m:t>
              </m:r>
              <m:r>
                <m:t> </m:t>
              </m:r>
              <m:r>
                <m:t>ϵ</m:t>
              </m:r>
            </m:e>
          </m:d>
          <m:r>
            <m:rPr>
              <m:sty m:val="p"/>
            </m:rPr>
            <m:t>,</m:t>
          </m:r>
        </m:oMath>
      </m:oMathPara>
    </w:p>
    <w:p>
      <w:pPr>
        <w:pStyle w:val="FirstParagraph"/>
      </w:pPr>
      <w:r>
        <w:t xml:space="preserve">where</w:t>
      </w:r>
      <w:r>
        <w:t xml:space="preserve"> </w:t>
      </w:r>
      <m:oMath>
        <m:sSub>
          <m:e>
            <m:r>
              <m:t>τ</m:t>
            </m:r>
          </m:e>
          <m:sub>
            <m:r>
              <m:t>f</m:t>
            </m:r>
          </m:sub>
        </m:sSub>
      </m:oMath>
      <w:r>
        <w:t xml:space="preserve"> </w:t>
      </w:r>
      <w:r>
        <w:t xml:space="preserve">is a freshness threshold,</w:t>
      </w:r>
      <w:r>
        <w:t xml:space="preserve"> </w:t>
      </w:r>
      <m:oMath>
        <m:sSub>
          <m:e>
            <m:r>
              <m:t>τ</m:t>
            </m:r>
          </m:e>
          <m:sub>
            <m:r>
              <m:t>a</m:t>
            </m:r>
          </m:sub>
        </m:sSub>
      </m:oMath>
      <w:r>
        <w:t xml:space="preserve"> </w:t>
      </w:r>
      <w:r>
        <w:t xml:space="preserve">is an approval gate, and</w:t>
      </w:r>
      <w:r>
        <w:t xml:space="preserve"> </w:t>
      </w:r>
      <m:oMath>
        <m:r>
          <m:t>ϵ</m:t>
        </m:r>
      </m:oMath>
      <w:r>
        <w:t xml:space="preserve"> </w:t>
      </w:r>
      <w:r>
        <w:t xml:space="preserve">is an exploration rate or exploration mode. The goal is to maximize</w:t>
      </w:r>
      <w:r>
        <w:t xml:space="preserve"> </w:t>
      </w:r>
      <w:r>
        <w:rPr>
          <w:b/>
          <w:bCs/>
        </w:rPr>
        <w:t xml:space="preserve">independence-adjusted market-side breadth</w:t>
      </w:r>
      <w:r>
        <w:t xml:space="preserve"> </w:t>
      </w:r>
      <w:r>
        <w:t xml:space="preserve">while constraining concentration, cutoff risk, approval error, and latency. This framing is appropriate because marketplace “health” depends on how supply and demand are distributed across space and time, not merely on aggregate counts, and because current matching or gating choices can alter future balance.</w:t>
      </w:r>
      <w:r>
        <w:t xml:space="preserve"> </w:t>
      </w:r>
      <w:hyperlink r:id="rId23">
        <w:r>
          <w:rPr>
            <w:rStyle w:val="Hyperlink"/>
          </w:rPr>
          <w:t xml:space="preserve">[3]</w:t>
        </w:r>
      </w:hyperlink>
    </w:p>
    <w:p>
      <w:pPr>
        <w:pStyle w:val="BodyText"/>
      </w:pPr>
      <w:r>
        <w:t xml:space="preserve">A practical objective is:</w:t>
      </w:r>
    </w:p>
    <w:p>
      <w:pPr>
        <w:pStyle w:val="BodyText"/>
      </w:pPr>
      <m:oMathPara>
        <m:oMathParaPr>
          <m:jc m:val="center"/>
        </m:oMathParaPr>
        <m:oMath>
          <m:limLow>
            <m:e>
              <m:r>
                <m:rPr>
                  <m:sty m:val="p"/>
                </m:rPr>
                <m:t>max</m:t>
              </m:r>
            </m:e>
            <m:lim>
              <m:r>
                <m:t>π</m:t>
              </m:r>
            </m:lim>
          </m:limLow>
          <m:r>
            <m:t> </m:t>
          </m:r>
          <m:r>
            <m:rPr>
              <m:sty m:val="p"/>
              <m:scr m:val="double-struck"/>
            </m:rPr>
            <m:t>E</m:t>
          </m:r>
          <m:r>
            <m:t>​</m:t>
          </m:r>
          <m:d>
            <m:dPr>
              <m:begChr m:val="["/>
              <m:sepChr m:val=""/>
              <m:endChr m:val="]"/>
              <m:grow/>
            </m:dPr>
            <m:e>
              <m:sSub>
                <m:e>
                  <m:r>
                    <m:t>B</m:t>
                  </m:r>
                </m:e>
                <m:sub>
                  <m:r>
                    <m:rPr>
                      <m:nor/>
                      <m:sty m:val="p"/>
                    </m:rPr>
                    <m:t>ind</m:t>
                  </m:r>
                </m:sub>
              </m:sSub>
              <m:r>
                <m:rPr>
                  <m:sty m:val="p"/>
                </m:rPr>
                <m:t>−</m:t>
              </m:r>
              <m:sSub>
                <m:e>
                  <m:r>
                    <m:t>λ</m:t>
                  </m:r>
                </m:e>
                <m:sub>
                  <m:r>
                    <m:t>C</m:t>
                  </m:r>
                </m:sub>
              </m:sSub>
              <m:r>
                <m:t>C</m:t>
              </m:r>
              <m:r>
                <m:rPr>
                  <m:sty m:val="p"/>
                </m:rPr>
                <m:t>−</m:t>
              </m:r>
              <m:sSub>
                <m:e>
                  <m:r>
                    <m:t>λ</m:t>
                  </m:r>
                </m:e>
                <m:sub>
                  <m:r>
                    <m:t>Q</m:t>
                  </m:r>
                </m:sub>
              </m:sSub>
              <m:r>
                <m:t>Q</m:t>
              </m:r>
              <m:r>
                <m:rPr>
                  <m:sty m:val="p"/>
                </m:rPr>
                <m:t>−</m:t>
              </m:r>
              <m:sSub>
                <m:e>
                  <m:r>
                    <m:t>λ</m:t>
                  </m:r>
                </m:e>
                <m:sub>
                  <m:r>
                    <m:t>F</m:t>
                  </m:r>
                  <m:r>
                    <m:t>A</m:t>
                  </m:r>
                </m:sub>
              </m:sSub>
              <m:r>
                <m:t>F</m:t>
              </m:r>
              <m:r>
                <m:t>A</m:t>
              </m:r>
              <m:r>
                <m:rPr>
                  <m:sty m:val="p"/>
                </m:rPr>
                <m:t>−</m:t>
              </m:r>
              <m:sSub>
                <m:e>
                  <m:r>
                    <m:t>λ</m:t>
                  </m:r>
                </m:e>
                <m:sub>
                  <m:r>
                    <m:t>F</m:t>
                  </m:r>
                  <m:r>
                    <m:t>D</m:t>
                  </m:r>
                </m:sub>
              </m:sSub>
              <m:r>
                <m:t>F</m:t>
              </m:r>
              <m:r>
                <m:t>D</m:t>
              </m:r>
            </m:e>
          </m:d>
        </m:oMath>
      </m:oMathPara>
    </w:p>
    <w:p>
      <w:pPr>
        <w:pStyle w:val="FirstParagraph"/>
      </w:pPr>
      <w:r>
        <w:t xml:space="preserve">subject to</w:t>
      </w:r>
    </w:p>
    <w:p>
      <w:pPr>
        <w:pStyle w:val="BodyText"/>
      </w:pPr>
      <m:oMathPara>
        <m:oMathParaPr>
          <m:jc m:val="center"/>
        </m:oMathParaPr>
        <m:oMath>
          <m:r>
            <m:rPr>
              <m:sty m:val="p"/>
            </m:rPr>
            <m:t>Pr</m:t>
          </m:r>
          <m:d>
            <m:dPr>
              <m:begChr m:val="("/>
              <m:sepChr m:val=""/>
              <m:endChr m:val=")"/>
              <m:grow/>
            </m:dPr>
            <m:e>
              <m:r>
                <m:t>Q</m:t>
              </m:r>
              <m:r>
                <m:rPr>
                  <m:sty m:val="p"/>
                </m:rPr>
                <m:t>&gt;</m:t>
              </m:r>
              <m:sSub>
                <m:e>
                  <m:r>
                    <m:t>q</m:t>
                  </m:r>
                </m:e>
                <m:sub>
                  <m:r>
                    <m:rPr>
                      <m:sty m:val="p"/>
                    </m:rPr>
                    <m:t>max</m:t>
                  </m:r>
                </m:sub>
              </m:sSub>
              <m:r>
                <m:rPr>
                  <m:sty m:val="p"/>
                </m:rPr>
                <m:t>∣</m:t>
              </m:r>
              <m:sSub>
                <m:e>
                  <m:r>
                    <m:t>r</m:t>
                  </m:r>
                </m:e>
                <m:sub>
                  <m:r>
                    <m:t>t</m:t>
                  </m:r>
                </m:sub>
              </m:sSub>
            </m:e>
          </m:d>
          <m:r>
            <m:rPr>
              <m:sty m:val="p"/>
            </m:rPr>
            <m:t>≤</m:t>
          </m:r>
          <m:sSub>
            <m:e>
              <m:r>
                <m:t>ϵ</m:t>
              </m:r>
            </m:e>
            <m:sub>
              <m:r>
                <m:t>Q</m:t>
              </m:r>
            </m:sub>
          </m:sSub>
          <m:r>
            <m:rPr>
              <m:sty m:val="p"/>
            </m:rPr>
            <m:t>,</m:t>
          </m:r>
          <m:r>
            <m:t> </m:t>
          </m:r>
          <m:r>
            <m:t>C</m:t>
          </m:r>
          <m:r>
            <m:rPr>
              <m:sty m:val="p"/>
            </m:rPr>
            <m:t>≤</m:t>
          </m:r>
          <m:sSub>
            <m:e>
              <m:r>
                <m:t>C</m:t>
              </m:r>
            </m:e>
            <m:sub>
              <m:r>
                <m:rPr>
                  <m:sty m:val="p"/>
                </m:rPr>
                <m:t>max</m:t>
              </m:r>
            </m:sub>
          </m:sSub>
          <m:r>
            <m:rPr>
              <m:sty m:val="p"/>
            </m:rPr>
            <m:t>,</m:t>
          </m:r>
          <m:r>
            <m:t> </m:t>
          </m:r>
          <m:sSub>
            <m:e>
              <m:r>
                <m:rPr>
                  <m:nor/>
                  <m:sty m:val="p"/>
                </m:rPr>
                <m:t>Latency</m:t>
              </m:r>
            </m:e>
            <m:sub>
              <m:r>
                <m:t>p</m:t>
              </m:r>
              <m:r>
                <m:t>99</m:t>
              </m:r>
            </m:sub>
          </m:sSub>
          <m:r>
            <m:rPr>
              <m:sty m:val="p"/>
            </m:rPr>
            <m:t>≤</m:t>
          </m:r>
          <m:sSub>
            <m:e>
              <m:r>
                <m:t>L</m:t>
              </m:r>
            </m:e>
            <m:sub>
              <m:r>
                <m:rPr>
                  <m:sty m:val="p"/>
                </m:rPr>
                <m:t>max</m:t>
              </m:r>
            </m:sub>
          </m:sSub>
          <m:r>
            <m:rPr>
              <m:sty m:val="p"/>
            </m:rPr>
            <m:t>,</m:t>
          </m:r>
        </m:oMath>
      </m:oMathPara>
    </w:p>
    <w:p>
      <w:pPr>
        <w:pStyle w:val="FirstParagraph"/>
      </w:pPr>
      <w:r>
        <w:t xml:space="preserve">where</w:t>
      </w:r>
      <w:r>
        <w:t xml:space="preserve"> </w:t>
      </w:r>
      <m:oMath>
        <m:sSub>
          <m:e>
            <m:r>
              <m:t>B</m:t>
            </m:r>
          </m:e>
          <m:sub>
            <m:r>
              <m:rPr>
                <m:nor/>
                <m:sty m:val="p"/>
              </m:rPr>
              <m:t>ind</m:t>
            </m:r>
          </m:sub>
        </m:sSub>
      </m:oMath>
      <w:r>
        <w:t xml:space="preserve"> </w:t>
      </w:r>
      <w:r>
        <w:t xml:space="preserve">is independence-adjusted breadth,</w:t>
      </w:r>
      <w:r>
        <w:t xml:space="preserve"> </w:t>
      </w:r>
      <m:oMath>
        <m:r>
          <m:t>C</m:t>
        </m:r>
      </m:oMath>
      <w:r>
        <w:t xml:space="preserve"> </w:t>
      </w:r>
      <w:r>
        <w:t xml:space="preserve">is concentration,</w:t>
      </w:r>
      <w:r>
        <w:t xml:space="preserve"> </w:t>
      </w:r>
      <m:oMath>
        <m:r>
          <m:t>Q</m:t>
        </m:r>
      </m:oMath>
      <w:r>
        <w:t xml:space="preserve"> </w:t>
      </w:r>
      <w:r>
        <w:t xml:space="preserve">is cutoff loss, and</w:t>
      </w:r>
      <w:r>
        <w:t xml:space="preserve"> </w:t>
      </w:r>
      <m:oMath>
        <m:r>
          <m:t>F</m:t>
        </m:r>
        <m:r>
          <m:t>A</m:t>
        </m:r>
        <m:r>
          <m:rPr>
            <m:sty m:val="p"/>
          </m:rPr>
          <m:t>/</m:t>
        </m:r>
        <m:r>
          <m:t>F</m:t>
        </m:r>
        <m:r>
          <m:t>D</m:t>
        </m:r>
      </m:oMath>
      <w:r>
        <w:t xml:space="preserve"> </w:t>
      </w:r>
      <w:r>
        <w:t xml:space="preserve">are false approvals and false denials. In words:</w:t>
      </w:r>
      <w:r>
        <w:t xml:space="preserve"> </w:t>
      </w:r>
      <w:r>
        <w:rPr>
          <w:b/>
          <w:bCs/>
        </w:rPr>
        <w:t xml:space="preserve">expand the economically independent eligible set</w:t>
      </w:r>
      <w:r>
        <w:t xml:space="preserve">, but do not permit the station-hour to collapse into a concentrated, brittle, or stale state. Since the future environment can shift away from the historical environment used for training, the optimization layer should be explicitly robust to covariate and regime shift.</w:t>
      </w:r>
      <w:r>
        <w:t xml:space="preserve"> </w:t>
      </w:r>
      <w:hyperlink r:id="rId27">
        <w:r>
          <w:rPr>
            <w:rStyle w:val="Hyperlink"/>
          </w:rPr>
          <w:t xml:space="preserve">[6]</w:t>
        </w:r>
      </w:hyperlink>
    </w:p>
    <w:p>
      <w:pPr>
        <w:pStyle w:val="BodyText"/>
      </w:pPr>
      <w:r>
        <w:t xml:space="preserve">For concentration, it is useful to anchor to the Herfindahl–Hirschman Index definition used by the U.S. Department of Justice</w:t>
      </w:r>
      <w:hyperlink r:id="rId23">
        <w:r>
          <w:rPr>
            <w:rStyle w:val="Hyperlink"/>
          </w:rPr>
          <w:t xml:space="preserve">[7]</w:t>
        </w:r>
      </w:hyperlink>
      <w:r>
        <w:t xml:space="preserve">, while recognizing that the engine’s concentration unit should be the</w:t>
      </w:r>
      <w:r>
        <w:t xml:space="preserve"> </w:t>
      </w:r>
      <w:r>
        <w:rPr>
          <w:b/>
          <w:bCs/>
        </w:rPr>
        <w:t xml:space="preserve">true economic owner or parent supplier</w:t>
      </w:r>
      <w:r>
        <w:t xml:space="preserve">, not the raw asset row. For false denials, the core issue is selective labels: outcomes are observed mainly for approved units, so missing-denial labels must be estimated rather than naively treated as zero.</w:t>
      </w:r>
      <w:r>
        <w:t xml:space="preserve"> </w:t>
      </w:r>
      <w:hyperlink r:id="rId28">
        <w:r>
          <w:rPr>
            <w:rStyle w:val="Hyperlink"/>
          </w:rPr>
          <w:t xml:space="preserve">[8]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Proposed station-hour definition</w:t>
            </w:r>
          </w:p>
        </w:tc>
        <w:tc>
          <w:tcPr/>
          <w:p>
            <w:pPr>
              <w:pStyle w:val="Compact"/>
            </w:pPr>
            <w:r>
              <w:t xml:space="preserve">Why it matters</w:t>
            </w:r>
          </w:p>
        </w:tc>
        <w:tc>
          <w:tcPr/>
          <w:p>
            <w:pPr>
              <w:pStyle w:val="Compact"/>
            </w:pPr>
            <w:r>
              <w:t xml:space="preserve">Typical control form</w:t>
            </w:r>
          </w:p>
        </w:tc>
      </w:tr>
      <w:tr>
        <w:tc>
          <w:tcPr/>
          <w:p>
            <w:pPr>
              <w:pStyle w:val="Compact"/>
            </w:pPr>
            <w:r>
              <w:t xml:space="preserve">Freshness</w:t>
            </w:r>
          </w:p>
        </w:tc>
        <w:tc>
          <w:tcPr/>
          <w:p>
            <w:pPr>
              <w:pStyle w:val="Compact"/>
            </w:pPr>
            <w:r>
              <w:t xml:space="preserve">Age of underlying supply/demand state at decision time; also</w:t>
            </w:r>
            <w:r>
              <w:t xml:space="preserve"> </w:t>
            </w:r>
            <w:r>
              <w:rPr>
                <w:rStyle w:val="VerbatimChar"/>
              </w:rPr>
              <w:t xml:space="preserve">% age &lt;= τ_f</w:t>
            </w:r>
            <w:r>
              <w:t xml:space="preserve"> </w:t>
            </w:r>
            <w:r>
              <w:t xml:space="preserve">and stale-hit rate</w:t>
            </w:r>
          </w:p>
        </w:tc>
        <w:tc>
          <w:tcPr/>
          <w:p>
            <w:pPr>
              <w:pStyle w:val="Compact"/>
            </w:pPr>
            <w:r>
              <w:t xml:space="preserve">Prevents acting on obsolete state</w:t>
            </w:r>
          </w:p>
        </w:tc>
        <w:tc>
          <w:tcPr/>
          <w:p>
            <w:pPr>
              <w:pStyle w:val="Compact"/>
            </w:pPr>
            <w:r>
              <w:t xml:space="preserve">Hard threshold plus monitored stale-hit ceiling</w:t>
            </w:r>
          </w:p>
        </w:tc>
      </w:tr>
      <w:tr>
        <w:tc>
          <w:tcPr/>
          <w:p>
            <w:pPr>
              <w:pStyle w:val="Compact"/>
            </w:pPr>
            <w:r>
              <w:t xml:space="preserve">Independent market-side breadth</w:t>
            </w:r>
          </w:p>
        </w:tc>
        <w:tc>
          <w:tcPr/>
          <w:p>
            <w:pPr>
              <w:pStyle w:val="Compact"/>
            </w:pPr>
            <w:r>
              <w:rPr>
                <w:rStyle w:val="VerbatimChar"/>
              </w:rPr>
              <w:t xml:space="preserve">ENI = 1 / sum_i s_i^2</w:t>
            </w:r>
            <w:r>
              <w:t xml:space="preserve">, where</w:t>
            </w:r>
            <w:r>
              <w:t xml:space="preserve"> </w:t>
            </w:r>
            <w:r>
              <w:rPr>
                <w:rStyle w:val="VerbatimChar"/>
              </w:rPr>
              <w:t xml:space="preserve">s_i</w:t>
            </w:r>
            <w:r>
              <w:t xml:space="preserve"> </w:t>
            </w:r>
            <w:r>
              <w:t xml:space="preserve">is approved share by parent supplier/provider in the decision horizon</w:t>
            </w:r>
          </w:p>
        </w:tc>
        <w:tc>
          <w:tcPr/>
          <w:p>
            <w:pPr>
              <w:pStyle w:val="Compact"/>
            </w:pPr>
            <w:r>
              <w:t xml:space="preserve">Separates raw volume from true competitive variety</w:t>
            </w:r>
          </w:p>
        </w:tc>
        <w:tc>
          <w:tcPr/>
          <w:p>
            <w:pPr>
              <w:pStyle w:val="Compact"/>
            </w:pPr>
            <w:r>
              <w:t xml:space="preserve">Primary objective, demand-normalized</w:t>
            </w:r>
          </w:p>
        </w:tc>
      </w:tr>
      <w:tr>
        <w:tc>
          <w:tcPr/>
          <w:p>
            <w:pPr>
              <w:pStyle w:val="Compact"/>
            </w:pPr>
            <w:r>
              <w:t xml:space="preserve">Concentration</w:t>
            </w:r>
          </w:p>
        </w:tc>
        <w:tc>
          <w:tcPr/>
          <w:p>
            <w:pPr>
              <w:pStyle w:val="Compact"/>
            </w:pPr>
            <w:r>
              <w:rPr>
                <w:rStyle w:val="VerbatimChar"/>
              </w:rPr>
              <w:t xml:space="preserve">HHI = 10,000 * sum_i s_i^2</w:t>
            </w:r>
            <w:r>
              <w:t xml:space="preserve">, plus top-1/top-3 share</w:t>
            </w:r>
          </w:p>
        </w:tc>
        <w:tc>
          <w:tcPr/>
          <w:p>
            <w:pPr>
              <w:pStyle w:val="Compact"/>
            </w:pPr>
            <w:r>
              <w:t xml:space="preserve">Controls dominance and thin-tail dependence</w:t>
            </w:r>
          </w:p>
        </w:tc>
        <w:tc>
          <w:tcPr/>
          <w:p>
            <w:pPr>
              <w:pStyle w:val="Compact"/>
            </w:pPr>
            <w:r>
              <w:t xml:space="preserve">Hard ceiling and worst-regime monitoring</w:t>
            </w:r>
          </w:p>
        </w:tc>
      </w:tr>
      <w:tr>
        <w:tc>
          <w:tcPr/>
          <w:p>
            <w:pPr>
              <w:pStyle w:val="Compact"/>
            </w:pPr>
            <w:r>
              <w:t xml:space="preserve">Cutoff risk</w:t>
            </w:r>
          </w:p>
        </w:tc>
        <w:tc>
          <w:tcPr/>
          <w:p>
            <w:pPr>
              <w:pStyle w:val="Compact"/>
            </w:pPr>
            <w:r>
              <w:rPr>
                <w:rStyle w:val="VerbatimChar"/>
              </w:rPr>
              <w:t xml:space="preserve">Pr(ENI &lt; b_min or eligible_approved_supply = 0 within Δ)</w:t>
            </w:r>
            <w:r>
              <w:t xml:space="preserve">; also CVaR of shortfall</w:t>
            </w:r>
          </w:p>
        </w:tc>
        <w:tc>
          <w:tcPr/>
          <w:p>
            <w:pPr>
              <w:pStyle w:val="Compact"/>
            </w:pPr>
            <w:r>
              <w:t xml:space="preserve">Protects against brittle failure states</w:t>
            </w:r>
          </w:p>
        </w:tc>
        <w:tc>
          <w:tcPr/>
          <w:p>
            <w:pPr>
              <w:pStyle w:val="Compact"/>
            </w:pPr>
            <w:r>
              <w:t xml:space="preserve">Chance constraint and tail-risk limit</w:t>
            </w:r>
          </w:p>
        </w:tc>
      </w:tr>
      <w:tr>
        <w:tc>
          <w:tcPr/>
          <w:p>
            <w:pPr>
              <w:pStyle w:val="Compact"/>
            </w:pPr>
            <w:r>
              <w:t xml:space="preserve">False approvals</w:t>
            </w:r>
          </w:p>
        </w:tc>
        <w:tc>
          <w:tcPr/>
          <w:p>
            <w:pPr>
              <w:pStyle w:val="Compact"/>
            </w:pPr>
            <w:r>
              <w:t xml:space="preserve">Approved units that later stale, cancel, fail service, or create bad downstream outcomes</w:t>
            </w:r>
          </w:p>
        </w:tc>
        <w:tc>
          <w:tcPr/>
          <w:p>
            <w:pPr>
              <w:pStyle w:val="Compact"/>
            </w:pPr>
            <w:r>
              <w:t xml:space="preserve">Protects quality and trust</w:t>
            </w:r>
          </w:p>
        </w:tc>
        <w:tc>
          <w:tcPr/>
          <w:p>
            <w:pPr>
              <w:pStyle w:val="Compact"/>
            </w:pPr>
            <w:r>
              <w:t xml:space="preserve">Hard ceiling</w:t>
            </w:r>
          </w:p>
        </w:tc>
      </w:tr>
      <w:tr>
        <w:tc>
          <w:tcPr/>
          <w:p>
            <w:pPr>
              <w:pStyle w:val="Compact"/>
            </w:pPr>
            <w:r>
              <w:t xml:space="preserve">False denials</w:t>
            </w:r>
          </w:p>
        </w:tc>
        <w:tc>
          <w:tcPr/>
          <w:p>
            <w:pPr>
              <w:pStyle w:val="Compact"/>
            </w:pPr>
            <w:r>
              <w:t xml:space="preserve">Denied units that would have succeeded if approved</w:t>
            </w:r>
          </w:p>
        </w:tc>
        <w:tc>
          <w:tcPr/>
          <w:p>
            <w:pPr>
              <w:pStyle w:val="Compact"/>
            </w:pPr>
            <w:r>
              <w:t xml:space="preserve">Protects missed breadth and foregone liquidity</w:t>
            </w:r>
          </w:p>
        </w:tc>
        <w:tc>
          <w:tcPr/>
          <w:p>
            <w:pPr>
              <w:pStyle w:val="Compact"/>
            </w:pPr>
            <w:r>
              <w:t xml:space="preserve">Estimated from exploration/causal models</w:t>
            </w:r>
          </w:p>
        </w:tc>
      </w:tr>
      <w:tr>
        <w:tc>
          <w:tcPr/>
          <w:p>
            <w:pPr>
              <w:pStyle w:val="Compact"/>
            </w:pPr>
            <w:r>
              <w:t xml:space="preserve">Latency</w:t>
            </w:r>
          </w:p>
        </w:tc>
        <w:tc>
          <w:tcPr/>
          <w:p>
            <w:pPr>
              <w:pStyle w:val="Compact"/>
            </w:pPr>
            <w:r>
              <w:t xml:space="preserve">p50/p95/p99 end-to-end scoring time, plus feature freshness lag</w:t>
            </w:r>
          </w:p>
        </w:tc>
        <w:tc>
          <w:tcPr/>
          <w:p>
            <w:pPr>
              <w:pStyle w:val="Compact"/>
            </w:pPr>
            <w:r>
              <w:t xml:space="preserve">Keeps engine usable in production</w:t>
            </w:r>
          </w:p>
        </w:tc>
        <w:tc>
          <w:tcPr/>
          <w:p>
            <w:pPr>
              <w:pStyle w:val="Compact"/>
            </w:pPr>
            <w:r>
              <w:t xml:space="preserve">SLO with rollback trigger</w:t>
            </w:r>
          </w:p>
        </w:tc>
      </w:tr>
    </w:tbl>
    <w:p>
      <w:pPr>
        <w:pStyle w:val="BodyText"/>
      </w:pPr>
      <w:r>
        <w:t xml:space="preserve">Two reporting views matter as much as the averages. First, all KPIs should be</w:t>
      </w:r>
      <w:r>
        <w:t xml:space="preserve"> </w:t>
      </w:r>
      <w:r>
        <w:rPr>
          <w:b/>
          <w:bCs/>
        </w:rPr>
        <w:t xml:space="preserve">station-weighted and demand-weighted</w:t>
      </w:r>
      <w:r>
        <w:t xml:space="preserve">, so empty stations do not dominate. Second, they should be reported on</w:t>
      </w:r>
      <w:r>
        <w:t xml:space="preserve"> </w:t>
      </w:r>
      <w:r>
        <w:rPr>
          <w:b/>
          <w:bCs/>
        </w:rPr>
        <w:t xml:space="preserve">worst-regime slices</w:t>
      </w:r>
      <w:r>
        <w:t xml:space="preserve"> </w:t>
      </w:r>
      <w:r>
        <w:t xml:space="preserve">such as severe weather, late-night thin markets, and sparse stations, because that is where global thresholds usually fail first.</w:t>
      </w:r>
      <w:r>
        <w:t xml:space="preserve"> </w:t>
      </w:r>
      <w:hyperlink r:id="rId23">
        <w:r>
          <w:rPr>
            <w:rStyle w:val="Hyperlink"/>
          </w:rPr>
          <w:t xml:space="preserve">[9]</w:t>
        </w:r>
      </w:hyperlink>
    </w:p>
    <w:bookmarkEnd w:id="29"/>
    <w:bookmarkStart w:id="32" w:name="data-requirements-and-schema"/>
    <w:p>
      <w:pPr>
        <w:pStyle w:val="Heading2"/>
      </w:pPr>
      <w:r>
        <w:t xml:space="preserve">Data requirements and schema</w:t>
      </w:r>
    </w:p>
    <w:p>
      <w:pPr>
        <w:pStyle w:val="FirstParagraph"/>
      </w:pPr>
      <w:r>
        <w:t xml:space="preserve">The engine needs an</w:t>
      </w:r>
      <w:r>
        <w:t xml:space="preserve"> </w:t>
      </w:r>
      <w:r>
        <w:rPr>
          <w:b/>
          <w:bCs/>
        </w:rPr>
        <w:t xml:space="preserve">append-only, point-in-time event log</w:t>
      </w:r>
      <w:r>
        <w:t xml:space="preserve"> </w:t>
      </w:r>
      <w:r>
        <w:t xml:space="preserve">with event-time semantics, not a post-hoc warehouse table that has already leaked future information. In stream processing, event time and watermarks are what make hourly windows correspond to when events actually occurred rather than when they arrived; that is crucial if weather, supply heartbeats, and approvals can arrive late or out of order. The same features must be reproducible offline and online, which is exactly the role of an offline store plus online materialization in a feature store architecture. Weather should be joined from both current observations and short-horizon forecasts, using station-linked feeds from the National Weather Service</w:t>
      </w:r>
      <w:hyperlink r:id="rId25">
        <w:r>
          <w:rPr>
            <w:rStyle w:val="Hyperlink"/>
          </w:rPr>
          <w:t xml:space="preserve">[10]</w:t>
        </w:r>
      </w:hyperlink>
      <w:r>
        <w:t xml:space="preserve"> </w:t>
      </w:r>
      <w:r>
        <w:t xml:space="preserve">and hourly station observations such as METAR-style records.</w:t>
      </w:r>
      <w:r>
        <w:t xml:space="preserve"> </w:t>
      </w:r>
      <w:hyperlink r:id="rId30">
        <w:r>
          <w:rPr>
            <w:rStyle w:val="Hyperlink"/>
          </w:rPr>
          <w:t xml:space="preserve">[11]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group</w:t>
            </w:r>
          </w:p>
        </w:tc>
        <w:tc>
          <w:tcPr/>
          <w:p>
            <w:pPr>
              <w:pStyle w:val="Compact"/>
            </w:pPr>
            <w:r>
              <w:t xml:space="preserve">Example fields</w:t>
            </w:r>
          </w:p>
        </w:tc>
        <w:tc>
          <w:tcPr/>
          <w:p>
            <w:pPr>
              <w:pStyle w:val="Compact"/>
            </w:pPr>
            <w:r>
              <w:t xml:space="preserve">Notes for policy learning</w:t>
            </w:r>
          </w:p>
        </w:tc>
      </w:tr>
      <w:tr>
        <w:tc>
          <w:tcPr/>
          <w:p>
            <w:pPr>
              <w:pStyle w:val="Compact"/>
            </w:pPr>
            <w:r>
              <w:t xml:space="preserve">Entity keys</w:t>
            </w:r>
          </w:p>
        </w:tc>
        <w:tc>
          <w:tcPr/>
          <w:p>
            <w:pPr>
              <w:pStyle w:val="Compact"/>
            </w:pPr>
            <w:r>
              <w:rPr>
                <w:rStyle w:val="VerbatimChar"/>
              </w:rPr>
              <w:t xml:space="preserve">station_id</w:t>
            </w:r>
            <w:r>
              <w:t xml:space="preserve">,</w:t>
            </w:r>
            <w:r>
              <w:t xml:space="preserve"> </w:t>
            </w:r>
            <w:r>
              <w:rPr>
                <w:rStyle w:val="VerbatimChar"/>
              </w:rPr>
              <w:t xml:space="preserve">market_id</w:t>
            </w:r>
            <w:r>
              <w:t xml:space="preserve">,</w:t>
            </w:r>
            <w:r>
              <w:t xml:space="preserve"> </w:t>
            </w:r>
            <w:r>
              <w:rPr>
                <w:rStyle w:val="VerbatimChar"/>
              </w:rPr>
              <w:t xml:space="preserve">provider_id_hash</w:t>
            </w:r>
            <w:r>
              <w:t xml:space="preserve">,</w:t>
            </w:r>
            <w:r>
              <w:t xml:space="preserve"> </w:t>
            </w:r>
            <w:r>
              <w:rPr>
                <w:rStyle w:val="VerbatimChar"/>
              </w:rPr>
              <w:t xml:space="preserve">parent_provider_id</w:t>
            </w:r>
            <w:r>
              <w:t xml:space="preserve">,</w:t>
            </w:r>
            <w:r>
              <w:t xml:space="preserve"> </w:t>
            </w:r>
            <w:r>
              <w:rPr>
                <w:rStyle w:val="VerbatimChar"/>
              </w:rPr>
              <w:t xml:space="preserve">asset_id</w:t>
            </w:r>
            <w:r>
              <w:t xml:space="preserve">,</w:t>
            </w:r>
            <w:r>
              <w:t xml:space="preserve"> </w:t>
            </w:r>
            <w:r>
              <w:rPr>
                <w:rStyle w:val="VerbatimChar"/>
              </w:rPr>
              <w:t xml:space="preserve">request_id</w:t>
            </w:r>
            <w:r>
              <w:t xml:space="preserve">,</w:t>
            </w:r>
            <w:r>
              <w:t xml:space="preserve"> </w:t>
            </w:r>
            <w:r>
              <w:rPr>
                <w:rStyle w:val="VerbatimChar"/>
              </w:rPr>
              <w:t xml:space="preserve">offer_id</w:t>
            </w:r>
          </w:p>
        </w:tc>
        <w:tc>
          <w:tcPr/>
          <w:p>
            <w:pPr>
              <w:pStyle w:val="Compact"/>
            </w:pPr>
            <w:r>
              <w:rPr>
                <w:rStyle w:val="VerbatimChar"/>
              </w:rPr>
              <w:t xml:space="preserve">parent_provider_id</w:t>
            </w:r>
            <w:r>
              <w:t xml:space="preserve"> </w:t>
            </w:r>
            <w:r>
              <w:t xml:space="preserve">is required for concentration and independence-adjusted breadth</w:t>
            </w:r>
          </w:p>
        </w:tc>
      </w:tr>
      <w:tr>
        <w:tc>
          <w:tcPr/>
          <w:p>
            <w:pPr>
              <w:pStyle w:val="Compact"/>
            </w:pPr>
            <w:r>
              <w:t xml:space="preserve">Time keys</w:t>
            </w:r>
          </w:p>
        </w:tc>
        <w:tc>
          <w:tcPr/>
          <w:p>
            <w:pPr>
              <w:pStyle w:val="Compact"/>
            </w:pPr>
            <w:r>
              <w:rPr>
                <w:rStyle w:val="VerbatimChar"/>
              </w:rPr>
              <w:t xml:space="preserve">event_ts_utc</w:t>
            </w:r>
            <w:r>
              <w:t xml:space="preserve">,</w:t>
            </w:r>
            <w:r>
              <w:t xml:space="preserve"> </w:t>
            </w:r>
            <w:r>
              <w:rPr>
                <w:rStyle w:val="VerbatimChar"/>
              </w:rPr>
              <w:t xml:space="preserve">decision_ts_utc</w:t>
            </w:r>
            <w:r>
              <w:t xml:space="preserve">,</w:t>
            </w:r>
            <w:r>
              <w:t xml:space="preserve"> </w:t>
            </w:r>
            <w:r>
              <w:rPr>
                <w:rStyle w:val="VerbatimChar"/>
              </w:rPr>
              <w:t xml:space="preserve">hour_of_week</w:t>
            </w:r>
            <w:r>
              <w:t xml:space="preserve">,</w:t>
            </w:r>
            <w:r>
              <w:t xml:space="preserve"> </w:t>
            </w:r>
            <w:r>
              <w:rPr>
                <w:rStyle w:val="VerbatimChar"/>
              </w:rPr>
              <w:t xml:space="preserve">holiday_flag</w:t>
            </w:r>
            <w:r>
              <w:t xml:space="preserve">,</w:t>
            </w:r>
            <w:r>
              <w:t xml:space="preserve"> </w:t>
            </w:r>
            <w:r>
              <w:rPr>
                <w:rStyle w:val="VerbatimChar"/>
              </w:rPr>
              <w:t xml:space="preserve">watermark_ts</w:t>
            </w:r>
            <w:r>
              <w:t xml:space="preserve">,</w:t>
            </w:r>
            <w:r>
              <w:t xml:space="preserve"> </w:t>
            </w:r>
            <w:r>
              <w:rPr>
                <w:rStyle w:val="VerbatimChar"/>
              </w:rPr>
              <w:t xml:space="preserve">data_delay_ms</w:t>
            </w:r>
          </w:p>
        </w:tc>
        <w:tc>
          <w:tcPr/>
          <w:p>
            <w:pPr>
              <w:pStyle w:val="Compact"/>
            </w:pPr>
            <w:r>
              <w:t xml:space="preserve">Store both event time and processing time</w:t>
            </w:r>
          </w:p>
        </w:tc>
      </w:tr>
      <w:tr>
        <w:tc>
          <w:tcPr/>
          <w:p>
            <w:pPr>
              <w:pStyle w:val="Compact"/>
            </w:pPr>
            <w:r>
              <w:t xml:space="preserve">Weather observations</w:t>
            </w:r>
          </w:p>
        </w:tc>
        <w:tc>
          <w:tcPr/>
          <w:p>
            <w:pPr>
              <w:pStyle w:val="Compact"/>
            </w:pPr>
            <w:r>
              <w:rPr>
                <w:rStyle w:val="VerbatimChar"/>
              </w:rPr>
              <w:t xml:space="preserve">weather_source</w:t>
            </w:r>
            <w:r>
              <w:t xml:space="preserve">,</w:t>
            </w:r>
            <w:r>
              <w:t xml:space="preserve"> </w:t>
            </w:r>
            <w:r>
              <w:rPr>
                <w:rStyle w:val="VerbatimChar"/>
              </w:rPr>
              <w:t xml:space="preserve">temp_c</w:t>
            </w:r>
            <w:r>
              <w:t xml:space="preserve">,</w:t>
            </w:r>
            <w:r>
              <w:t xml:space="preserve"> </w:t>
            </w:r>
            <w:r>
              <w:rPr>
                <w:rStyle w:val="VerbatimChar"/>
              </w:rPr>
              <w:t xml:space="preserve">precip_mm_h</w:t>
            </w:r>
            <w:r>
              <w:t xml:space="preserve">,</w:t>
            </w:r>
            <w:r>
              <w:t xml:space="preserve"> </w:t>
            </w:r>
            <w:r>
              <w:rPr>
                <w:rStyle w:val="VerbatimChar"/>
              </w:rPr>
              <w:t xml:space="preserve">snow_cm_h</w:t>
            </w:r>
            <w:r>
              <w:t xml:space="preserve">,</w:t>
            </w:r>
            <w:r>
              <w:t xml:space="preserve"> </w:t>
            </w:r>
            <w:r>
              <w:rPr>
                <w:rStyle w:val="VerbatimChar"/>
              </w:rPr>
              <w:t xml:space="preserve">wind_mps</w:t>
            </w:r>
            <w:r>
              <w:t xml:space="preserve">,</w:t>
            </w:r>
            <w:r>
              <w:t xml:space="preserve"> </w:t>
            </w:r>
            <w:r>
              <w:rPr>
                <w:rStyle w:val="VerbatimChar"/>
              </w:rPr>
              <w:t xml:space="preserve">gust_mps</w:t>
            </w:r>
            <w:r>
              <w:t xml:space="preserve">,</w:t>
            </w:r>
            <w:r>
              <w:t xml:space="preserve"> </w:t>
            </w:r>
            <w:r>
              <w:rPr>
                <w:rStyle w:val="VerbatimChar"/>
              </w:rPr>
              <w:t xml:space="preserve">visibility_m</w:t>
            </w:r>
            <w:r>
              <w:t xml:space="preserve">,</w:t>
            </w:r>
            <w:r>
              <w:t xml:space="preserve"> </w:t>
            </w:r>
            <w:r>
              <w:rPr>
                <w:rStyle w:val="VerbatimChar"/>
              </w:rPr>
              <w:t xml:space="preserve">weather_code</w:t>
            </w:r>
            <w:r>
              <w:t xml:space="preserve">,</w:t>
            </w:r>
            <w:r>
              <w:t xml:space="preserve"> </w:t>
            </w:r>
            <w:r>
              <w:rPr>
                <w:rStyle w:val="VerbatimChar"/>
              </w:rPr>
              <w:t xml:space="preserve">metar_phenomena</w:t>
            </w:r>
          </w:p>
        </w:tc>
        <w:tc>
          <w:tcPr/>
          <w:p>
            <w:pPr>
              <w:pStyle w:val="Compact"/>
            </w:pPr>
            <w:r>
              <w:t xml:space="preserve">Use observed weather for current regime assignment</w:t>
            </w:r>
          </w:p>
        </w:tc>
      </w:tr>
      <w:tr>
        <w:tc>
          <w:tcPr/>
          <w:p>
            <w:pPr>
              <w:pStyle w:val="Compact"/>
            </w:pPr>
            <w:r>
              <w:t xml:space="preserve">Weather forecasts</w:t>
            </w:r>
          </w:p>
        </w:tc>
        <w:tc>
          <w:tcPr/>
          <w:p>
            <w:pPr>
              <w:pStyle w:val="Compact"/>
            </w:pPr>
            <w:r>
              <w:rPr>
                <w:rStyle w:val="VerbatimChar"/>
              </w:rPr>
              <w:t xml:space="preserve">forecast_precip_next_1h</w:t>
            </w:r>
            <w:r>
              <w:t xml:space="preserve">,</w:t>
            </w:r>
            <w:r>
              <w:t xml:space="preserve"> </w:t>
            </w:r>
            <w:r>
              <w:rPr>
                <w:rStyle w:val="VerbatimChar"/>
              </w:rPr>
              <w:t xml:space="preserve">forecast_snow_next_1h</w:t>
            </w:r>
            <w:r>
              <w:t xml:space="preserve">,</w:t>
            </w:r>
            <w:r>
              <w:t xml:space="preserve"> </w:t>
            </w:r>
            <w:r>
              <w:rPr>
                <w:rStyle w:val="VerbatimChar"/>
              </w:rPr>
              <w:t xml:space="preserve">forecast_wind_next_1h</w:t>
            </w:r>
            <w:r>
              <w:t xml:space="preserve">,</w:t>
            </w:r>
            <w:r>
              <w:t xml:space="preserve"> </w:t>
            </w:r>
            <w:r>
              <w:rPr>
                <w:rStyle w:val="VerbatimChar"/>
              </w:rPr>
              <w:t xml:space="preserve">alert_flag</w:t>
            </w:r>
            <w:r>
              <w:t xml:space="preserve">,</w:t>
            </w:r>
            <w:r>
              <w:t xml:space="preserve"> </w:t>
            </w:r>
            <w:r>
              <w:rPr>
                <w:rStyle w:val="VerbatimChar"/>
              </w:rPr>
              <w:t xml:space="preserve">forecast_confidence</w:t>
            </w:r>
          </w:p>
        </w:tc>
        <w:tc>
          <w:tcPr/>
          <w:p>
            <w:pPr>
              <w:pStyle w:val="Compact"/>
            </w:pPr>
            <w:r>
              <w:t xml:space="preserve">Needed because current gating changes future balance</w:t>
            </w:r>
          </w:p>
        </w:tc>
      </w:tr>
      <w:tr>
        <w:tc>
          <w:tcPr/>
          <w:p>
            <w:pPr>
              <w:pStyle w:val="Compact"/>
            </w:pPr>
            <w:r>
              <w:t xml:space="preserve">Regime features</w:t>
            </w:r>
          </w:p>
        </w:tc>
        <w:tc>
          <w:tcPr/>
          <w:p>
            <w:pPr>
              <w:pStyle w:val="Compact"/>
            </w:pPr>
            <w:r>
              <w:rPr>
                <w:rStyle w:val="VerbatimChar"/>
              </w:rPr>
              <w:t xml:space="preserve">weather_cluster_id</w:t>
            </w:r>
            <w:r>
              <w:t xml:space="preserve">,</w:t>
            </w:r>
            <w:r>
              <w:t xml:space="preserve"> </w:t>
            </w:r>
            <w:r>
              <w:rPr>
                <w:rStyle w:val="VerbatimChar"/>
              </w:rPr>
              <w:t xml:space="preserve">station_cluster_id</w:t>
            </w:r>
            <w:r>
              <w:t xml:space="preserve">,</w:t>
            </w:r>
            <w:r>
              <w:t xml:space="preserve"> </w:t>
            </w:r>
            <w:r>
              <w:rPr>
                <w:rStyle w:val="VerbatimChar"/>
              </w:rPr>
              <w:t xml:space="preserve">thin_market_flag</w:t>
            </w:r>
            <w:r>
              <w:t xml:space="preserve">,</w:t>
            </w:r>
            <w:r>
              <w:t xml:space="preserve"> </w:t>
            </w:r>
            <w:r>
              <w:rPr>
                <w:rStyle w:val="VerbatimChar"/>
              </w:rPr>
              <w:t xml:space="preserve">shock_flag</w:t>
            </w:r>
          </w:p>
        </w:tc>
        <w:tc>
          <w:tcPr/>
          <w:p>
            <w:pPr>
              <w:pStyle w:val="Compact"/>
            </w:pPr>
            <w:r>
              <w:t xml:space="preserve">Learned or rule-based regime compression for sparsity control</w:t>
            </w:r>
          </w:p>
        </w:tc>
      </w:tr>
      <w:tr>
        <w:tc>
          <w:tcPr/>
          <w:p>
            <w:pPr>
              <w:pStyle w:val="Compact"/>
            </w:pPr>
            <w:r>
              <w:t xml:space="preserve">Demand state</w:t>
            </w:r>
          </w:p>
        </w:tc>
        <w:tc>
          <w:tcPr/>
          <w:p>
            <w:pPr>
              <w:pStyle w:val="Compact"/>
            </w:pPr>
            <w:r>
              <w:rPr>
                <w:rStyle w:val="VerbatimChar"/>
              </w:rPr>
              <w:t xml:space="preserve">active_demand</w:t>
            </w:r>
            <w:r>
              <w:t xml:space="preserve">,</w:t>
            </w:r>
            <w:r>
              <w:t xml:space="preserve"> </w:t>
            </w:r>
            <w:r>
              <w:rPr>
                <w:rStyle w:val="VerbatimChar"/>
              </w:rPr>
              <w:t xml:space="preserve">arrivals_5m</w:t>
            </w:r>
            <w:r>
              <w:t xml:space="preserve">,</w:t>
            </w:r>
            <w:r>
              <w:t xml:space="preserve"> </w:t>
            </w:r>
            <w:r>
              <w:rPr>
                <w:rStyle w:val="VerbatimChar"/>
              </w:rPr>
              <w:t xml:space="preserve">arrivals_15m</w:t>
            </w:r>
            <w:r>
              <w:t xml:space="preserve">,</w:t>
            </w:r>
            <w:r>
              <w:t xml:space="preserve"> </w:t>
            </w:r>
            <w:r>
              <w:rPr>
                <w:rStyle w:val="VerbatimChar"/>
              </w:rPr>
              <w:t xml:space="preserve">fill_rate</w:t>
            </w:r>
            <w:r>
              <w:t xml:space="preserve">,</w:t>
            </w:r>
            <w:r>
              <w:t xml:space="preserve"> </w:t>
            </w:r>
            <w:r>
              <w:rPr>
                <w:rStyle w:val="VerbatimChar"/>
              </w:rPr>
              <w:t xml:space="preserve">queue_depth</w:t>
            </w:r>
            <w:r>
              <w:t xml:space="preserve">,</w:t>
            </w:r>
            <w:r>
              <w:t xml:space="preserve"> </w:t>
            </w:r>
            <w:r>
              <w:rPr>
                <w:rStyle w:val="VerbatimChar"/>
              </w:rPr>
              <w:t xml:space="preserve">expected_demand_quantiles</w:t>
            </w:r>
          </w:p>
        </w:tc>
        <w:tc>
          <w:tcPr/>
          <w:p>
            <w:pPr>
              <w:pStyle w:val="Compact"/>
            </w:pPr>
            <w:r>
              <w:t xml:space="preserve">Forecast target and contextual input</w:t>
            </w:r>
          </w:p>
        </w:tc>
      </w:tr>
      <w:tr>
        <w:tc>
          <w:tcPr/>
          <w:p>
            <w:pPr>
              <w:pStyle w:val="Compact"/>
            </w:pPr>
            <w:r>
              <w:t xml:space="preserve">Supply state</w:t>
            </w:r>
          </w:p>
        </w:tc>
        <w:tc>
          <w:tcPr/>
          <w:p>
            <w:pPr>
              <w:pStyle w:val="Compact"/>
            </w:pPr>
            <w:r>
              <w:rPr>
                <w:rStyle w:val="VerbatimChar"/>
              </w:rPr>
              <w:t xml:space="preserve">active_supply</w:t>
            </w:r>
            <w:r>
              <w:t xml:space="preserve">,</w:t>
            </w:r>
            <w:r>
              <w:t xml:space="preserve"> </w:t>
            </w:r>
            <w:r>
              <w:rPr>
                <w:rStyle w:val="VerbatimChar"/>
              </w:rPr>
              <w:t xml:space="preserve">idle_supply</w:t>
            </w:r>
            <w:r>
              <w:t xml:space="preserve">,</w:t>
            </w:r>
            <w:r>
              <w:t xml:space="preserve"> </w:t>
            </w:r>
            <w:r>
              <w:rPr>
                <w:rStyle w:val="VerbatimChar"/>
              </w:rPr>
              <w:t xml:space="preserve">utilization</w:t>
            </w:r>
            <w:r>
              <w:t xml:space="preserve">,</w:t>
            </w:r>
            <w:r>
              <w:t xml:space="preserve"> </w:t>
            </w:r>
            <w:r>
              <w:rPr>
                <w:rStyle w:val="VerbatimChar"/>
              </w:rPr>
              <w:t xml:space="preserve">eta_quantiles</w:t>
            </w:r>
            <w:r>
              <w:t xml:space="preserve">,</w:t>
            </w:r>
            <w:r>
              <w:t xml:space="preserve"> </w:t>
            </w:r>
            <w:r>
              <w:rPr>
                <w:rStyle w:val="VerbatimChar"/>
              </w:rPr>
              <w:t xml:space="preserve">supply_heartbeat_age</w:t>
            </w:r>
            <w:r>
              <w:t xml:space="preserve">,</w:t>
            </w:r>
            <w:r>
              <w:t xml:space="preserve"> </w:t>
            </w:r>
            <w:r>
              <w:rPr>
                <w:rStyle w:val="VerbatimChar"/>
              </w:rPr>
              <w:t xml:space="preserve">expected_supply_quantiles</w:t>
            </w:r>
          </w:p>
        </w:tc>
        <w:tc>
          <w:tcPr/>
          <w:p>
            <w:pPr>
              <w:pStyle w:val="Compact"/>
            </w:pPr>
            <w:r>
              <w:t xml:space="preserve">Core predictors for breadth and cutoff risk</w:t>
            </w:r>
          </w:p>
        </w:tc>
      </w:tr>
      <w:tr>
        <w:tc>
          <w:tcPr/>
          <w:p>
            <w:pPr>
              <w:pStyle w:val="Compact"/>
            </w:pPr>
            <w:r>
              <w:t xml:space="preserve">Approval features</w:t>
            </w:r>
          </w:p>
        </w:tc>
        <w:tc>
          <w:tcPr/>
          <w:p>
            <w:pPr>
              <w:pStyle w:val="Compact"/>
            </w:pPr>
            <w:r>
              <w:rPr>
                <w:rStyle w:val="VerbatimChar"/>
              </w:rPr>
              <w:t xml:space="preserve">freshness_age_s</w:t>
            </w:r>
            <w:r>
              <w:t xml:space="preserve">,</w:t>
            </w:r>
            <w:r>
              <w:t xml:space="preserve"> </w:t>
            </w:r>
            <w:r>
              <w:rPr>
                <w:rStyle w:val="VerbatimChar"/>
              </w:rPr>
              <w:t xml:space="preserve">approval_score_raw</w:t>
            </w:r>
            <w:r>
              <w:t xml:space="preserve">,</w:t>
            </w:r>
            <w:r>
              <w:t xml:space="preserve"> </w:t>
            </w:r>
            <w:r>
              <w:rPr>
                <w:rStyle w:val="VerbatimChar"/>
              </w:rPr>
              <w:t xml:space="preserve">staleness_score</w:t>
            </w:r>
            <w:r>
              <w:t xml:space="preserve">,</w:t>
            </w:r>
            <w:r>
              <w:t xml:space="preserve"> </w:t>
            </w:r>
            <w:r>
              <w:rPr>
                <w:rStyle w:val="VerbatimChar"/>
              </w:rPr>
              <w:t xml:space="preserve">cutoff_hazard</w:t>
            </w:r>
            <w:r>
              <w:t xml:space="preserve">,</w:t>
            </w:r>
            <w:r>
              <w:t xml:space="preserve"> </w:t>
            </w:r>
            <w:r>
              <w:rPr>
                <w:rStyle w:val="VerbatimChar"/>
              </w:rPr>
              <w:t xml:space="preserve">concentration_delta_pred</w:t>
            </w:r>
            <w:r>
              <w:t xml:space="preserve">,</w:t>
            </w:r>
            <w:r>
              <w:t xml:space="preserve"> </w:t>
            </w:r>
            <w:r>
              <w:rPr>
                <w:rStyle w:val="VerbatimChar"/>
              </w:rPr>
              <w:t xml:space="preserve">breadth_delta_pred</w:t>
            </w:r>
          </w:p>
        </w:tc>
        <w:tc>
          <w:tcPr/>
          <w:p>
            <w:pPr>
              <w:pStyle w:val="Compact"/>
            </w:pPr>
            <w:r>
              <w:t xml:space="preserve">Model outputs before thresholding</w:t>
            </w:r>
          </w:p>
        </w:tc>
      </w:tr>
      <w:tr>
        <w:tc>
          <w:tcPr/>
          <w:p>
            <w:pPr>
              <w:pStyle w:val="Compact"/>
            </w:pPr>
            <w:r>
              <w:t xml:space="preserve">Policy action</w:t>
            </w:r>
          </w:p>
        </w:tc>
        <w:tc>
          <w:tcPr/>
          <w:p>
            <w:pPr>
              <w:pStyle w:val="Compact"/>
            </w:pPr>
            <w:r>
              <w:rPr>
                <w:rStyle w:val="VerbatimChar"/>
              </w:rPr>
              <w:t xml:space="preserve">tau_f_chosen</w:t>
            </w:r>
            <w:r>
              <w:t xml:space="preserve">,</w:t>
            </w:r>
            <w:r>
              <w:t xml:space="preserve"> </w:t>
            </w:r>
            <w:r>
              <w:rPr>
                <w:rStyle w:val="VerbatimChar"/>
              </w:rPr>
              <w:t xml:space="preserve">tau_a_chosen</w:t>
            </w:r>
            <w:r>
              <w:t xml:space="preserve">,</w:t>
            </w:r>
            <w:r>
              <w:t xml:space="preserve"> </w:t>
            </w:r>
            <w:r>
              <w:rPr>
                <w:rStyle w:val="VerbatimChar"/>
              </w:rPr>
              <w:t xml:space="preserve">action_id</w:t>
            </w:r>
            <w:r>
              <w:t xml:space="preserve">,</w:t>
            </w:r>
            <w:r>
              <w:t xml:space="preserve"> </w:t>
            </w:r>
            <w:r>
              <w:rPr>
                <w:rStyle w:val="VerbatimChar"/>
              </w:rPr>
              <w:t xml:space="preserve">policy_version</w:t>
            </w:r>
            <w:r>
              <w:t xml:space="preserve">,</w:t>
            </w:r>
            <w:r>
              <w:t xml:space="preserve"> </w:t>
            </w:r>
            <w:r>
              <w:rPr>
                <w:rStyle w:val="VerbatimChar"/>
              </w:rPr>
              <w:t xml:space="preserve">override_flag</w:t>
            </w:r>
            <w:r>
              <w:t xml:space="preserve">,</w:t>
            </w:r>
            <w:r>
              <w:t xml:space="preserve"> </w:t>
            </w:r>
            <w:r>
              <w:rPr>
                <w:rStyle w:val="VerbatimChar"/>
              </w:rPr>
              <w:t xml:space="preserve">override_reason</w:t>
            </w:r>
          </w:p>
        </w:tc>
        <w:tc>
          <w:tcPr/>
          <w:p>
            <w:pPr>
              <w:pStyle w:val="Compact"/>
            </w:pPr>
            <w:r>
              <w:t xml:space="preserve">Needed for replay and governance</w:t>
            </w:r>
          </w:p>
        </w:tc>
      </w:tr>
      <w:tr>
        <w:tc>
          <w:tcPr/>
          <w:p>
            <w:pPr>
              <w:pStyle w:val="Compact"/>
            </w:pPr>
            <w:r>
              <w:t xml:space="preserve">Exploration logging</w:t>
            </w:r>
          </w:p>
        </w:tc>
        <w:tc>
          <w:tcPr/>
          <w:p>
            <w:pPr>
              <w:pStyle w:val="Compact"/>
            </w:pPr>
            <w:r>
              <w:rPr>
                <w:rStyle w:val="VerbatimChar"/>
              </w:rPr>
              <w:t xml:space="preserve">propensity</w:t>
            </w:r>
            <w:r>
              <w:t xml:space="preserve">,</w:t>
            </w:r>
            <w:r>
              <w:t xml:space="preserve"> </w:t>
            </w:r>
            <w:r>
              <w:rPr>
                <w:rStyle w:val="VerbatimChar"/>
              </w:rPr>
              <w:t xml:space="preserve">exploration_flag</w:t>
            </w:r>
            <w:r>
              <w:t xml:space="preserve">,</w:t>
            </w:r>
            <w:r>
              <w:t xml:space="preserve"> </w:t>
            </w:r>
            <w:r>
              <w:rPr>
                <w:rStyle w:val="VerbatimChar"/>
              </w:rPr>
              <w:t xml:space="preserve">candidate_action_set</w:t>
            </w:r>
            <w:r>
              <w:t xml:space="preserve">,</w:t>
            </w:r>
            <w:r>
              <w:t xml:space="preserve"> </w:t>
            </w:r>
            <w:r>
              <w:rPr>
                <w:rStyle w:val="VerbatimChar"/>
              </w:rPr>
              <w:t xml:space="preserve">shadow_action</w:t>
            </w:r>
          </w:p>
        </w:tc>
        <w:tc>
          <w:tcPr/>
          <w:p>
            <w:pPr>
              <w:pStyle w:val="Compact"/>
            </w:pPr>
            <w:r>
              <w:t xml:space="preserve">Mandatory for off-policy evaluation</w:t>
            </w:r>
          </w:p>
        </w:tc>
      </w:tr>
      <w:tr>
        <w:tc>
          <w:tcPr/>
          <w:p>
            <w:pPr>
              <w:pStyle w:val="Compact"/>
            </w:pPr>
            <w:r>
              <w:t xml:space="preserve">Outcomes</w:t>
            </w:r>
          </w:p>
        </w:tc>
        <w:tc>
          <w:tcPr/>
          <w:p>
            <w:pPr>
              <w:pStyle w:val="Compact"/>
            </w:pPr>
            <w:r>
              <w:rPr>
                <w:rStyle w:val="VerbatimChar"/>
              </w:rPr>
              <w:t xml:space="preserve">approved</w:t>
            </w:r>
            <w:r>
              <w:t xml:space="preserve">,</w:t>
            </w:r>
            <w:r>
              <w:t xml:space="preserve"> </w:t>
            </w:r>
            <w:r>
              <w:rPr>
                <w:rStyle w:val="VerbatimChar"/>
              </w:rPr>
              <w:t xml:space="preserve">exposed</w:t>
            </w:r>
            <w:r>
              <w:t xml:space="preserve">,</w:t>
            </w:r>
            <w:r>
              <w:t xml:space="preserve"> </w:t>
            </w:r>
            <w:r>
              <w:rPr>
                <w:rStyle w:val="VerbatimChar"/>
              </w:rPr>
              <w:t xml:space="preserve">accepted</w:t>
            </w:r>
            <w:r>
              <w:t xml:space="preserve">,</w:t>
            </w:r>
            <w:r>
              <w:t xml:space="preserve"> </w:t>
            </w:r>
            <w:r>
              <w:rPr>
                <w:rStyle w:val="VerbatimChar"/>
              </w:rPr>
              <w:t xml:space="preserve">matched</w:t>
            </w:r>
            <w:r>
              <w:t xml:space="preserve">,</w:t>
            </w:r>
            <w:r>
              <w:t xml:space="preserve"> </w:t>
            </w:r>
            <w:r>
              <w:rPr>
                <w:rStyle w:val="VerbatimChar"/>
              </w:rPr>
              <w:t xml:space="preserve">cancelled</w:t>
            </w:r>
            <w:r>
              <w:t xml:space="preserve">,</w:t>
            </w:r>
            <w:r>
              <w:t xml:space="preserve"> </w:t>
            </w:r>
            <w:r>
              <w:rPr>
                <w:rStyle w:val="VerbatimChar"/>
              </w:rPr>
              <w:t xml:space="preserve">stale_event</w:t>
            </w:r>
            <w:r>
              <w:t xml:space="preserve">,</w:t>
            </w:r>
            <w:r>
              <w:t xml:space="preserve"> </w:t>
            </w:r>
            <w:r>
              <w:rPr>
                <w:rStyle w:val="VerbatimChar"/>
              </w:rPr>
              <w:t xml:space="preserve">cutoff_event</w:t>
            </w:r>
            <w:r>
              <w:t xml:space="preserve">,</w:t>
            </w:r>
            <w:r>
              <w:t xml:space="preserve"> </w:t>
            </w:r>
            <w:r>
              <w:rPr>
                <w:rStyle w:val="VerbatimChar"/>
              </w:rPr>
              <w:t xml:space="preserve">time_to_cutoff</w:t>
            </w:r>
            <w:r>
              <w:t xml:space="preserve">,</w:t>
            </w:r>
            <w:r>
              <w:t xml:space="preserve"> </w:t>
            </w:r>
            <w:r>
              <w:rPr>
                <w:rStyle w:val="VerbatimChar"/>
              </w:rPr>
              <w:t xml:space="preserve">quality_outcome</w:t>
            </w:r>
          </w:p>
        </w:tc>
        <w:tc>
          <w:tcPr/>
          <w:p>
            <w:pPr>
              <w:pStyle w:val="Compact"/>
            </w:pPr>
            <w:r>
              <w:t xml:space="preserve">Use multiple horizons: immediate, short-run, end-of-hour</w:t>
            </w:r>
          </w:p>
        </w:tc>
      </w:tr>
      <w:tr>
        <w:tc>
          <w:tcPr/>
          <w:p>
            <w:pPr>
              <w:pStyle w:val="Compact"/>
            </w:pPr>
            <w:r>
              <w:t xml:space="preserve">Systems metrics</w:t>
            </w:r>
          </w:p>
        </w:tc>
        <w:tc>
          <w:tcPr/>
          <w:p>
            <w:pPr>
              <w:pStyle w:val="Compact"/>
            </w:pPr>
            <w:r>
              <w:rPr>
                <w:rStyle w:val="VerbatimChar"/>
              </w:rPr>
              <w:t xml:space="preserve">decision_latency_ms</w:t>
            </w:r>
            <w:r>
              <w:t xml:space="preserve">,</w:t>
            </w:r>
            <w:r>
              <w:t xml:space="preserve"> </w:t>
            </w:r>
            <w:r>
              <w:rPr>
                <w:rStyle w:val="VerbatimChar"/>
              </w:rPr>
              <w:t xml:space="preserve">feature_lookup_ms</w:t>
            </w:r>
            <w:r>
              <w:t xml:space="preserve">,</w:t>
            </w:r>
            <w:r>
              <w:t xml:space="preserve"> </w:t>
            </w:r>
            <w:r>
              <w:rPr>
                <w:rStyle w:val="VerbatimChar"/>
              </w:rPr>
              <w:t xml:space="preserve">join_miss_flag</w:t>
            </w:r>
            <w:r>
              <w:t xml:space="preserve">,</w:t>
            </w:r>
            <w:r>
              <w:t xml:space="preserve"> </w:t>
            </w:r>
            <w:r>
              <w:rPr>
                <w:rStyle w:val="VerbatimChar"/>
              </w:rPr>
              <w:t xml:space="preserve">late_event_flag</w:t>
            </w:r>
          </w:p>
        </w:tc>
        <w:tc>
          <w:tcPr/>
          <w:p>
            <w:pPr>
              <w:pStyle w:val="Compact"/>
            </w:pPr>
            <w:r>
              <w:t xml:space="preserve">Needed for production SLOs and rollback</w:t>
            </w:r>
          </w:p>
        </w:tc>
      </w:tr>
    </w:tbl>
    <w:p>
      <w:pPr>
        <w:pStyle w:val="BodyText"/>
      </w:pPr>
      <w:r>
        <w:t xml:space="preserve">Source basis for the schema above: hourly and forecast weather from official weather APIs and hourly station observations, event-time processing and watermarks for correct windowing, and offline/online feature parity through a feature store.</w:t>
      </w:r>
      <w:r>
        <w:t xml:space="preserve"> </w:t>
      </w:r>
      <w:hyperlink r:id="rId31">
        <w:r>
          <w:rPr>
            <w:rStyle w:val="Hyperlink"/>
          </w:rPr>
          <w:t xml:space="preserve">[12]</w:t>
        </w:r>
      </w:hyperlink>
    </w:p>
    <w:p>
      <w:pPr>
        <w:pStyle w:val="BodyText"/>
      </w:pPr>
      <w:r>
        <w:t xml:space="preserve">The highest-value extra table is a</w:t>
      </w:r>
      <w:r>
        <w:t xml:space="preserve"> </w:t>
      </w:r>
      <w:r>
        <w:rPr>
          <w:b/>
          <w:bCs/>
        </w:rPr>
        <w:t xml:space="preserve">policy-intervention table</w:t>
      </w:r>
      <w:r>
        <w:t xml:space="preserve"> </w:t>
      </w:r>
      <w:r>
        <w:t xml:space="preserve">that captures every decision with its action propensities, candidate set, and shadow recommendation. Without this table, offline policy evaluation becomes fragile. That matters because false denials are not directly observed on denied cases; the engine must therefore create counterfactual information through randomized exploration near the threshold, switchback-style treatment variation, or quasi-random operational variation.</w:t>
      </w:r>
      <w:r>
        <w:t xml:space="preserve"> </w:t>
      </w:r>
      <w:hyperlink r:id="rId24">
        <w:r>
          <w:rPr>
            <w:rStyle w:val="Hyperlink"/>
          </w:rPr>
          <w:t xml:space="preserve">[13]</w:t>
        </w:r>
      </w:hyperlink>
    </w:p>
    <w:bookmarkEnd w:id="32"/>
    <w:bookmarkStart w:id="36" w:name="candidate-models-and-policy-optimization"/>
    <w:p>
      <w:pPr>
        <w:pStyle w:val="Heading2"/>
      </w:pPr>
      <w:r>
        <w:t xml:space="preserve">Candidate models and policy optimization</w:t>
      </w:r>
    </w:p>
    <w:p>
      <w:pPr>
        <w:pStyle w:val="FirstParagraph"/>
      </w:pPr>
      <w:r>
        <w:t xml:space="preserve">This should be a</w:t>
      </w:r>
      <w:r>
        <w:t xml:space="preserve"> </w:t>
      </w:r>
      <w:r>
        <w:rPr>
          <w:b/>
          <w:bCs/>
        </w:rPr>
        <w:t xml:space="preserve">modular model stack</w:t>
      </w:r>
      <w:r>
        <w:t xml:space="preserve">, not one mega-model. The stack should separately model market state, failure timing, causal lift, and policy selection. Original work in probabilistic forecasting, survival modeling, causal inference, and contextual bandits gives a good decomposition: reconciled hierarchical forecasts for coherent rollups; DeepAR-style related-series models for probabilistic tails; AFT or random survival forests for time-to-stale and time-to-cutoff; Bayesian structural time series and causal forests/generalized random forests for policy effect estimation; and contextual bandits with doubly robust or distributionally robust evaluation for eventual online adaptation.</w:t>
      </w:r>
      <w:r>
        <w:t xml:space="preserve"> </w:t>
      </w:r>
      <w:hyperlink r:id="rId33">
        <w:r>
          <w:rPr>
            <w:rStyle w:val="Hyperlink"/>
          </w:rPr>
          <w:t xml:space="preserve">[14]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family</w:t>
            </w:r>
          </w:p>
        </w:tc>
        <w:tc>
          <w:tcPr/>
          <w:p>
            <w:pPr>
              <w:pStyle w:val="Compact"/>
            </w:pPr>
            <w:r>
              <w:t xml:space="preserve">Best use in this engine</w:t>
            </w:r>
          </w:p>
        </w:tc>
        <w:tc>
          <w:tcPr/>
          <w:p>
            <w:pPr>
              <w:pStyle w:val="Compact"/>
            </w:pPr>
            <w:r>
              <w:t xml:space="preserve">Strengths</w:t>
            </w:r>
          </w:p>
        </w:tc>
        <w:tc>
          <w:tcPr/>
          <w:p>
            <w:pPr>
              <w:pStyle w:val="Compact"/>
            </w:pPr>
            <w:r>
              <w:t xml:space="preserve">Weaknesses</w:t>
            </w:r>
          </w:p>
        </w:tc>
        <w:tc>
          <w:tcPr/>
          <w:p>
            <w:pPr>
              <w:pStyle w:val="Compact"/>
            </w:pPr>
            <w:r>
              <w:t xml:space="preserve">Recommended role</w:t>
            </w:r>
          </w:p>
        </w:tc>
      </w:tr>
      <w:tr>
        <w:tc>
          <w:tcPr/>
          <w:p>
            <w:pPr>
              <w:pStyle w:val="Compact"/>
            </w:pPr>
            <w:r>
              <w:t xml:space="preserve">Reconciled hierarchical time-series forecasting</w:t>
            </w:r>
          </w:p>
        </w:tc>
        <w:tc>
          <w:tcPr/>
          <w:p>
            <w:pPr>
              <w:pStyle w:val="Compact"/>
            </w:pPr>
            <w:r>
              <w:t xml:space="preserve">Demand and supply totals across station/market hierarchies</w:t>
            </w:r>
          </w:p>
        </w:tc>
        <w:tc>
          <w:tcPr/>
          <w:p>
            <w:pPr>
              <w:pStyle w:val="Compact"/>
            </w:pPr>
            <w:r>
              <w:t xml:space="preserve">Coherent forecasts across levels; interpretable; strong benchmark</w:t>
            </w:r>
          </w:p>
        </w:tc>
        <w:tc>
          <w:tcPr/>
          <w:p>
            <w:pPr>
              <w:pStyle w:val="Compact"/>
            </w:pPr>
            <w:r>
              <w:t xml:space="preserve">Can miss nonlinear cross-features and sharp shocks</w:t>
            </w:r>
          </w:p>
        </w:tc>
        <w:tc>
          <w:tcPr/>
          <w:p>
            <w:pPr>
              <w:pStyle w:val="Compact"/>
            </w:pPr>
            <w:r>
              <w:t xml:space="preserve">Baseline and guardrail model</w:t>
            </w:r>
          </w:p>
        </w:tc>
      </w:tr>
      <w:tr>
        <w:tc>
          <w:tcPr/>
          <w:p>
            <w:pPr>
              <w:pStyle w:val="Compact"/>
            </w:pPr>
            <w:r>
              <w:t xml:space="preserve">Deep probabilistic forecasting</w:t>
            </w:r>
          </w:p>
        </w:tc>
        <w:tc>
          <w:tcPr/>
          <w:p>
            <w:pPr>
              <w:pStyle w:val="Compact"/>
            </w:pPr>
            <w:r>
              <w:t xml:space="preserve">Related station-hour series with tail estimation</w:t>
            </w:r>
          </w:p>
        </w:tc>
        <w:tc>
          <w:tcPr/>
          <w:p>
            <w:pPr>
              <w:pStyle w:val="Compact"/>
            </w:pPr>
            <w:r>
              <w:t xml:space="preserve">Learns across many related series; gives quantiles for risk constraints</w:t>
            </w:r>
          </w:p>
        </w:tc>
        <w:tc>
          <w:tcPr/>
          <w:p>
            <w:pPr>
              <w:pStyle w:val="Compact"/>
            </w:pPr>
            <w:r>
              <w:t xml:space="preserve">Less transparent; needs more data and monitoring</w:t>
            </w:r>
          </w:p>
        </w:tc>
        <w:tc>
          <w:tcPr/>
          <w:p>
            <w:pPr>
              <w:pStyle w:val="Compact"/>
            </w:pPr>
            <w:r>
              <w:t xml:space="preserve">Main probabilistic demand/supply forecaster</w:t>
            </w:r>
          </w:p>
        </w:tc>
      </w:tr>
      <w:tr>
        <w:tc>
          <w:tcPr/>
          <w:p>
            <w:pPr>
              <w:pStyle w:val="Compact"/>
            </w:pPr>
            <w:r>
              <w:t xml:space="preserve">Hierarchical Bayesian/state-space models</w:t>
            </w:r>
          </w:p>
        </w:tc>
        <w:tc>
          <w:tcPr/>
          <w:p>
            <w:pPr>
              <w:pStyle w:val="Compact"/>
            </w:pPr>
            <w:r>
              <w:t xml:space="preserve">Sparse stations and cold-start regimes</w:t>
            </w:r>
          </w:p>
        </w:tc>
        <w:tc>
          <w:tcPr/>
          <w:p>
            <w:pPr>
              <w:pStyle w:val="Compact"/>
            </w:pPr>
            <w:r>
              <w:t xml:space="preserve">Partial pooling; explicit uncertainty; good with regime sparsity</w:t>
            </w:r>
          </w:p>
        </w:tc>
        <w:tc>
          <w:tcPr/>
          <w:p>
            <w:pPr>
              <w:pStyle w:val="Compact"/>
            </w:pPr>
            <w:r>
              <w:t xml:space="preserve">Slower iteration; heavier modeling effort</w:t>
            </w:r>
          </w:p>
        </w:tc>
        <w:tc>
          <w:tcPr/>
          <w:p>
            <w:pPr>
              <w:pStyle w:val="Compact"/>
            </w:pPr>
            <w:r>
              <w:t xml:space="preserve">Backoff model for low-data regimes</w:t>
            </w:r>
          </w:p>
        </w:tc>
      </w:tr>
      <w:tr>
        <w:tc>
          <w:tcPr/>
          <w:p>
            <w:pPr>
              <w:pStyle w:val="Compact"/>
            </w:pPr>
            <w:r>
              <w:t xml:space="preserve">Survival models such as Cox, AFT, RSF</w:t>
            </w:r>
          </w:p>
        </w:tc>
        <w:tc>
          <w:tcPr/>
          <w:p>
            <w:pPr>
              <w:pStyle w:val="Compact"/>
            </w:pPr>
            <w:r>
              <w:t xml:space="preserve">Time-to-stale, time-to-cancel, time-to-cutoff</w:t>
            </w:r>
          </w:p>
        </w:tc>
        <w:tc>
          <w:tcPr/>
          <w:p>
            <w:pPr>
              <w:pStyle w:val="Compact"/>
            </w:pPr>
            <w:r>
              <w:t xml:space="preserve">Native treatment of censoring and hazard</w:t>
            </w:r>
          </w:p>
        </w:tc>
        <w:tc>
          <w:tcPr/>
          <w:p>
            <w:pPr>
              <w:pStyle w:val="Compact"/>
            </w:pPr>
            <w:r>
              <w:t xml:space="preserve">Need careful calibration; feature leakage risk if built poorly</w:t>
            </w:r>
          </w:p>
        </w:tc>
        <w:tc>
          <w:tcPr/>
          <w:p>
            <w:pPr>
              <w:pStyle w:val="Compact"/>
            </w:pPr>
            <w:r>
              <w:t xml:space="preserve">Primary freshness/cutoff risk layer</w:t>
            </w:r>
          </w:p>
        </w:tc>
      </w:tr>
      <w:tr>
        <w:tc>
          <w:tcPr/>
          <w:p>
            <w:pPr>
              <w:pStyle w:val="Compact"/>
            </w:pPr>
            <w:r>
              <w:t xml:space="preserve">Causal models such as BSTS, causal forests, GRF</w:t>
            </w:r>
          </w:p>
        </w:tc>
        <w:tc>
          <w:tcPr/>
          <w:p>
            <w:pPr>
              <w:pStyle w:val="Compact"/>
            </w:pPr>
            <w:r>
              <w:t xml:space="preserve">Estimating the effect of threshold changes</w:t>
            </w:r>
          </w:p>
        </w:tc>
        <w:tc>
          <w:tcPr/>
          <w:p>
            <w:pPr>
              <w:pStyle w:val="Compact"/>
            </w:pPr>
            <w:r>
              <w:t xml:space="preserve">Handles heterogeneous effects; useful for counterfactual ranking</w:t>
            </w:r>
          </w:p>
        </w:tc>
        <w:tc>
          <w:tcPr/>
          <w:p>
            <w:pPr>
              <w:pStyle w:val="Compact"/>
            </w:pPr>
            <w:r>
              <w:t xml:space="preserve">Needs identification discipline; sensitive to interference</w:t>
            </w:r>
          </w:p>
        </w:tc>
        <w:tc>
          <w:tcPr/>
          <w:p>
            <w:pPr>
              <w:pStyle w:val="Compact"/>
            </w:pPr>
            <w:r>
              <w:t xml:space="preserve">Offline threshold ranking and experiment readout</w:t>
            </w:r>
          </w:p>
        </w:tc>
      </w:tr>
      <w:tr>
        <w:tc>
          <w:tcPr/>
          <w:p>
            <w:pPr>
              <w:pStyle w:val="Compact"/>
            </w:pPr>
            <w:r>
              <w:t xml:space="preserve">Contextual bandits with constraints</w:t>
            </w:r>
          </w:p>
        </w:tc>
        <w:tc>
          <w:tcPr/>
          <w:p>
            <w:pPr>
              <w:pStyle w:val="Compact"/>
            </w:pPr>
            <w:r>
              <w:t xml:space="preserve">Online adaptation of thresholds by regime</w:t>
            </w:r>
          </w:p>
        </w:tc>
        <w:tc>
          <w:tcPr/>
          <w:p>
            <w:pPr>
              <w:pStyle w:val="Compact"/>
            </w:pPr>
            <w:r>
              <w:t xml:space="preserve">Learns sequentially; can optimize policies directly</w:t>
            </w:r>
          </w:p>
        </w:tc>
        <w:tc>
          <w:tcPr/>
          <w:p>
            <w:pPr>
              <w:pStyle w:val="Compact"/>
            </w:pPr>
            <w:r>
              <w:t xml:space="preserve">Demands reliable propensities, exploration, and safety handling</w:t>
            </w:r>
          </w:p>
        </w:tc>
        <w:tc>
          <w:tcPr/>
          <w:p>
            <w:pPr>
              <w:pStyle w:val="Compact"/>
            </w:pPr>
            <w:r>
              <w:t xml:space="preserve">Later-stage online optimizer, not day-one model</w:t>
            </w:r>
          </w:p>
        </w:tc>
      </w:tr>
    </w:tbl>
    <w:p>
      <w:pPr>
        <w:pStyle w:val="BodyText"/>
      </w:pPr>
      <w:r>
        <w:t xml:space="preserve">A practical scoring layer is often a</w:t>
      </w:r>
      <w:r>
        <w:t xml:space="preserve"> </w:t>
      </w:r>
      <w:r>
        <w:rPr>
          <w:b/>
          <w:bCs/>
        </w:rPr>
        <w:t xml:space="preserve">monotone boosted tree</w:t>
      </w:r>
      <w:r>
        <w:t xml:space="preserve"> </w:t>
      </w:r>
      <w:r>
        <w:t xml:space="preserve">even when the final policy is not tree-based. XGBoost and LightGBM remain strong tabular workhorses, and XGBoost’s monotonic constraints are especially useful when domain logic must hold mechanistically; for example, higher predicted cutoff hazard should never make a gate looser, all else equal.</w:t>
      </w:r>
      <w:r>
        <w:t xml:space="preserve"> </w:t>
      </w:r>
      <w:hyperlink r:id="rId34">
        <w:r>
          <w:rPr>
            <w:rStyle w:val="Hyperlink"/>
          </w:rPr>
          <w:t xml:space="preserve">[15]</w:t>
        </w:r>
      </w:hyperlink>
    </w:p>
    <w:p>
      <w:pPr>
        <w:pStyle w:val="BodyText"/>
      </w:pPr>
      <w:r>
        <w:t xml:space="preserve">The optimization layer should then sit</w:t>
      </w:r>
      <w:r>
        <w:t xml:space="preserve"> </w:t>
      </w:r>
      <w:r>
        <w:rPr>
          <w:b/>
          <w:bCs/>
        </w:rPr>
        <w:t xml:space="preserve">on top of model outputs</w:t>
      </w:r>
      <w:r>
        <w:t xml:space="preserve">, not inside them. For each regime and candidate action</w:t>
      </w:r>
      <w:r>
        <w:t xml:space="preserve"> </w:t>
      </w:r>
      <m:oMath>
        <m:r>
          <m:t>a</m:t>
        </m:r>
      </m:oMath>
      <w:r>
        <w:t xml:space="preserve">, estimate expected breadth gain, concentration delta, cutoff tail loss, and approval error. Then solve either a discrete constrained optimization problem or a Lagrangian relaxation:</w:t>
      </w:r>
    </w:p>
    <w:p>
      <w:pPr>
        <w:pStyle w:val="BodyText"/>
      </w:pPr>
      <m:oMathPara>
        <m:oMathParaPr>
          <m:jc m:val="center"/>
        </m:oMathParaPr>
        <m:oMath>
          <m:sSup>
            <m:e>
              <m:r>
                <m:t>a</m:t>
              </m:r>
            </m:e>
            <m:sup>
              <m:r>
                <m:rPr>
                  <m:sty m:val="p"/>
                </m:rPr>
                <m:t>*</m:t>
              </m:r>
            </m:sup>
          </m:sSup>
          <m:d>
            <m:dPr>
              <m:begChr m:val="("/>
              <m:sepChr m:val=""/>
              <m:endChr m:val=")"/>
              <m:grow/>
            </m:dPr>
            <m:e>
              <m:r>
                <m:t>r</m:t>
              </m:r>
            </m:e>
          </m:d>
          <m:r>
            <m:rPr>
              <m:sty m:val="p"/>
            </m:rPr>
            <m:t>=</m:t>
          </m:r>
          <m:r>
            <m:rPr>
              <m:sty m:val="p"/>
            </m:rPr>
            <m:t>arg</m:t>
          </m:r>
          <m:limLow>
            <m:e>
              <m:r>
                <m:rPr>
                  <m:sty m:val="p"/>
                </m:rPr>
                <m:t>max</m:t>
              </m:r>
            </m:e>
            <m:lim>
              <m:r>
                <m:t>a</m:t>
              </m:r>
              <m:r>
                <m:rPr>
                  <m:sty m:val="p"/>
                </m:rPr>
                <m:t>∈</m:t>
              </m:r>
              <m:r>
                <m:t>A</m:t>
              </m:r>
            </m:lim>
          </m:limLow>
          <m:r>
            <m:t> </m:t>
          </m:r>
          <m:acc>
            <m:accPr>
              <m:chr m:val="̂"/>
            </m:accPr>
            <m:e>
              <m:r>
                <m:t>Δ</m:t>
              </m:r>
              <m:r>
                <m:t>B</m:t>
              </m:r>
            </m:e>
          </m:acc>
          <m:d>
            <m:dPr>
              <m:begChr m:val="("/>
              <m:sepChr m:val=""/>
              <m:endChr m:val=")"/>
              <m:grow/>
            </m:dPr>
            <m:e>
              <m:r>
                <m:t>r</m:t>
              </m:r>
              <m:r>
                <m:rPr>
                  <m:sty m:val="p"/>
                </m:rPr>
                <m:t>,</m:t>
              </m:r>
              <m:r>
                <m:t>a</m:t>
              </m:r>
            </m:e>
          </m:d>
          <m:r>
            <m:rPr>
              <m:sty m:val="p"/>
            </m:rPr>
            <m:t>−</m:t>
          </m:r>
          <m:sSub>
            <m:e>
              <m:r>
                <m:t>λ</m:t>
              </m:r>
            </m:e>
            <m:sub>
              <m:r>
                <m:t>C</m:t>
              </m:r>
            </m:sub>
          </m:sSub>
          <m:acc>
            <m:accPr>
              <m:chr m:val="̂"/>
            </m:accPr>
            <m:e>
              <m:r>
                <m:t>Δ</m:t>
              </m:r>
              <m:r>
                <m:t>C</m:t>
              </m:r>
            </m:e>
          </m:acc>
          <m:d>
            <m:dPr>
              <m:begChr m:val="("/>
              <m:sepChr m:val=""/>
              <m:endChr m:val=")"/>
              <m:grow/>
            </m:dPr>
            <m:e>
              <m:r>
                <m:t>r</m:t>
              </m:r>
              <m:r>
                <m:rPr>
                  <m:sty m:val="p"/>
                </m:rPr>
                <m:t>,</m:t>
              </m:r>
              <m:r>
                <m:t>a</m:t>
              </m:r>
            </m:e>
          </m:d>
          <m:r>
            <m:rPr>
              <m:sty m:val="p"/>
            </m:rPr>
            <m:t>−</m:t>
          </m:r>
          <m:sSub>
            <m:e>
              <m:r>
                <m:t>λ</m:t>
              </m:r>
            </m:e>
            <m:sub>
              <m:r>
                <m:t>Q</m:t>
              </m:r>
            </m:sub>
          </m:sSub>
          <m:sSub>
            <m:e>
              <m:r>
                <m:rPr>
                  <m:nor/>
                  <m:sty m:val="p"/>
                </m:rPr>
                <m:t>CVaR</m:t>
              </m:r>
            </m:e>
            <m:sub>
              <m:r>
                <m:t>α</m:t>
              </m:r>
            </m:sub>
          </m:sSub>
          <m:d>
            <m:dPr>
              <m:begChr m:val="("/>
              <m:sepChr m:val=""/>
              <m:endChr m:val=")"/>
              <m:grow/>
            </m:dPr>
            <m:e>
              <m:acc>
                <m:accPr>
                  <m:chr m:val="̂"/>
                </m:accPr>
                <m:e>
                  <m:r>
                    <m:t>Q</m:t>
                  </m:r>
                </m:e>
              </m:acc>
              <m:d>
                <m:dPr>
                  <m:begChr m:val="("/>
                  <m:sepChr m:val=""/>
                  <m:endChr m:val=")"/>
                  <m:grow/>
                </m:dPr>
                <m:e>
                  <m:r>
                    <m:t>r</m:t>
                  </m:r>
                  <m:r>
                    <m:rPr>
                      <m:sty m:val="p"/>
                    </m:rPr>
                    <m:t>,</m:t>
                  </m:r>
                  <m:r>
                    <m:t>a</m:t>
                  </m:r>
                </m:e>
              </m:d>
            </m:e>
          </m:d>
          <m:r>
            <m:rPr>
              <m:sty m:val="p"/>
            </m:rPr>
            <m:t>−</m:t>
          </m:r>
          <m:sSub>
            <m:e>
              <m:r>
                <m:t>λ</m:t>
              </m:r>
            </m:e>
            <m:sub>
              <m:r>
                <m:t>F</m:t>
              </m:r>
              <m:r>
                <m:t>A</m:t>
              </m:r>
            </m:sub>
          </m:sSub>
          <m:acc>
            <m:accPr>
              <m:chr m:val="̂"/>
            </m:accPr>
            <m:e>
              <m:r>
                <m:t>F</m:t>
              </m:r>
              <m:r>
                <m:t>A</m:t>
              </m:r>
            </m:e>
          </m:acc>
          <m:d>
            <m:dPr>
              <m:begChr m:val="("/>
              <m:sepChr m:val=""/>
              <m:endChr m:val=")"/>
              <m:grow/>
            </m:dPr>
            <m:e>
              <m:r>
                <m:t>r</m:t>
              </m:r>
              <m:r>
                <m:rPr>
                  <m:sty m:val="p"/>
                </m:rPr>
                <m:t>,</m:t>
              </m:r>
              <m:r>
                <m:t>a</m:t>
              </m:r>
            </m:e>
          </m:d>
          <m:r>
            <m:rPr>
              <m:sty m:val="p"/>
            </m:rPr>
            <m:t>−</m:t>
          </m:r>
          <m:sSub>
            <m:e>
              <m:r>
                <m:t>λ</m:t>
              </m:r>
            </m:e>
            <m:sub>
              <m:r>
                <m:t>F</m:t>
              </m:r>
              <m:r>
                <m:t>D</m:t>
              </m:r>
            </m:sub>
          </m:sSub>
          <m:acc>
            <m:accPr>
              <m:chr m:val="̂"/>
            </m:accPr>
            <m:e>
              <m:r>
                <m:t>F</m:t>
              </m:r>
              <m:r>
                <m:t>D</m:t>
              </m:r>
            </m:e>
          </m:acc>
          <m:d>
            <m:dPr>
              <m:begChr m:val="("/>
              <m:sepChr m:val=""/>
              <m:endChr m:val=")"/>
              <m:grow/>
            </m:dPr>
            <m:e>
              <m:r>
                <m:t>r</m:t>
              </m:r>
              <m:r>
                <m:rPr>
                  <m:sty m:val="p"/>
                </m:rPr>
                <m:t>,</m:t>
              </m:r>
              <m:r>
                <m:t>a</m:t>
              </m:r>
            </m:e>
          </m:d>
          <m:r>
            <m:rPr>
              <m:sty m:val="p"/>
            </m:rPr>
            <m:t>.</m:t>
          </m:r>
        </m:oMath>
      </m:oMathPara>
    </w:p>
    <w:p>
      <w:pPr>
        <w:pStyle w:val="FirstParagraph"/>
      </w:pPr>
      <w:r>
        <w:t xml:space="preserve">If online adaptation is desired, a primal-dual constrained bandit is the most natural extension, because the literature now supports contextual bandits with linear constraints and risk-aware variants. Distributionally robust policy learning is also valuable because weather and shock regimes change the context distribution seen at deployment.</w:t>
      </w:r>
      <w:r>
        <w:t xml:space="preserve"> </w:t>
      </w:r>
      <w:hyperlink r:id="rId35">
        <w:r>
          <w:rPr>
            <w:rStyle w:val="Hyperlink"/>
          </w:rPr>
          <w:t xml:space="preserve">[16]</w:t>
        </w:r>
      </w:hyperlink>
    </w:p>
    <w:p>
      <w:pPr>
        <w:pStyle w:val="BodyText"/>
      </w:pPr>
      <w:r>
        <w:t xml:space="preserve">The safest action space is not fully continuous at first. Use a</w:t>
      </w:r>
      <w:r>
        <w:t xml:space="preserve"> </w:t>
      </w:r>
      <w:r>
        <w:rPr>
          <w:b/>
          <w:bCs/>
        </w:rPr>
        <w:t xml:space="preserve">small discrete lattice</w:t>
      </w:r>
      <w:r>
        <w:t xml:space="preserve"> </w:t>
      </w:r>
      <w:r>
        <w:t xml:space="preserve">of threshold pairs, possibly with a few reserve or fallback modes. Discrete actions make replay estimation, experimentation, governance, and rollback materially easier.</w:t>
      </w:r>
    </w:p>
    <w:p>
      <w:pPr>
        <w:pStyle w:val="SourceCode"/>
      </w:pPr>
      <w:r>
        <w:rPr>
          <w:rStyle w:val="VerbatimChar"/>
        </w:rPr>
        <w:t xml:space="preserve">xychart-beta</w:t>
      </w:r>
      <w:r>
        <w:br/>
      </w:r>
      <w:r>
        <w:rPr>
          <w:rStyle w:val="VerbatimChar"/>
        </w:rPr>
        <w:t xml:space="preserve">    title "Illustrative frontier under freshness leniency"</w:t>
      </w:r>
      <w:r>
        <w:br/>
      </w:r>
      <w:r>
        <w:rPr>
          <w:rStyle w:val="VerbatimChar"/>
        </w:rPr>
        <w:t xml:space="preserve">    x-axis [1, 2, 3, 4, 5]</w:t>
      </w:r>
      <w:r>
        <w:br/>
      </w:r>
      <w:r>
        <w:rPr>
          <w:rStyle w:val="VerbatimChar"/>
        </w:rPr>
        <w:t xml:space="preserve">    y-axis "Relative index" 0 --&gt; 100</w:t>
      </w:r>
      <w:r>
        <w:br/>
      </w:r>
      <w:r>
        <w:rPr>
          <w:rStyle w:val="VerbatimChar"/>
        </w:rPr>
        <w:t xml:space="preserve">    line "Breadth" [35, 52, 68, 80, 86]</w:t>
      </w:r>
      <w:r>
        <w:br/>
      </w:r>
      <w:r>
        <w:rPr>
          <w:rStyle w:val="VerbatimChar"/>
        </w:rPr>
        <w:t xml:space="preserve">    line "Concentration" [72, 60, 48, 44, 46]</w:t>
      </w:r>
      <w:r>
        <w:br/>
      </w:r>
      <w:r>
        <w:rPr>
          <w:rStyle w:val="VerbatimChar"/>
        </w:rPr>
        <w:t xml:space="preserve">    line "Cutoff risk" [78, 54, 31, 19, 16]</w:t>
      </w:r>
    </w:p>
    <w:p>
      <w:pPr>
        <w:pStyle w:val="SourceCode"/>
      </w:pPr>
      <w:r>
        <w:rPr>
          <w:rStyle w:val="VerbatimChar"/>
        </w:rPr>
        <w:t xml:space="preserve">xychart-beta</w:t>
      </w:r>
      <w:r>
        <w:br/>
      </w:r>
      <w:r>
        <w:rPr>
          <w:rStyle w:val="VerbatimChar"/>
        </w:rPr>
        <w:t xml:space="preserve">    title "Illustrative frontier under approval leniency"</w:t>
      </w:r>
      <w:r>
        <w:br/>
      </w:r>
      <w:r>
        <w:rPr>
          <w:rStyle w:val="VerbatimChar"/>
        </w:rPr>
        <w:t xml:space="preserve">    x-axis [1, 2, 3, 4, 5]</w:t>
      </w:r>
      <w:r>
        <w:br/>
      </w:r>
      <w:r>
        <w:rPr>
          <w:rStyle w:val="VerbatimChar"/>
        </w:rPr>
        <w:t xml:space="preserve">    y-axis "Relative index" 0 --&gt; 100</w:t>
      </w:r>
      <w:r>
        <w:br/>
      </w:r>
      <w:r>
        <w:rPr>
          <w:rStyle w:val="VerbatimChar"/>
        </w:rPr>
        <w:t xml:space="preserve">    line "Breadth" [42, 58, 70, 79, 84]</w:t>
      </w:r>
      <w:r>
        <w:br/>
      </w:r>
      <w:r>
        <w:rPr>
          <w:rStyle w:val="VerbatimChar"/>
        </w:rPr>
        <w:t xml:space="preserve">    line "Concentration" [38, 42, 49, 60, 73]</w:t>
      </w:r>
      <w:r>
        <w:br/>
      </w:r>
      <w:r>
        <w:rPr>
          <w:rStyle w:val="VerbatimChar"/>
        </w:rPr>
        <w:t xml:space="preserve">    line "Cutoff risk" [63, 45, 31, 22, 18]</w:t>
      </w:r>
    </w:p>
    <w:p>
      <w:pPr>
        <w:pStyle w:val="FirstParagraph"/>
      </w:pPr>
      <w:r>
        <w:t xml:space="preserve">These curves are</w:t>
      </w:r>
      <w:r>
        <w:t xml:space="preserve"> </w:t>
      </w:r>
      <w:r>
        <w:rPr>
          <w:b/>
          <w:bCs/>
        </w:rPr>
        <w:t xml:space="preserve">illustrative, not empirical</w:t>
      </w:r>
      <w:r>
        <w:t xml:space="preserve">. They show the design point: freshness leniency often improves breadth and lowers cutoff risk, but approval leniency can eventually raise concentration if the incremental approved mass comes mainly from already-dominant providers. The sign and shape of these curves should therefore be estimated per regime, not assumed globally.</w:t>
      </w:r>
    </w:p>
    <w:bookmarkEnd w:id="36"/>
    <w:bookmarkStart w:id="39" w:name="simulation-design-and-evaluation-plan"/>
    <w:p>
      <w:pPr>
        <w:pStyle w:val="Heading2"/>
      </w:pPr>
      <w:r>
        <w:t xml:space="preserve">Simulation design and evaluation plan</w:t>
      </w:r>
    </w:p>
    <w:p>
      <w:pPr>
        <w:pStyle w:val="FirstParagraph"/>
      </w:pPr>
      <w:r>
        <w:t xml:space="preserve">The offline testbed should be a</w:t>
      </w:r>
      <w:r>
        <w:t xml:space="preserve"> </w:t>
      </w:r>
      <w:r>
        <w:rPr>
          <w:b/>
          <w:bCs/>
        </w:rPr>
        <w:t xml:space="preserve">discrete-event replay simulator</w:t>
      </w:r>
      <w:r>
        <w:t xml:space="preserve"> </w:t>
      </w:r>
      <w:r>
        <w:t xml:space="preserve">that reuses production decision logic whenever possible. Marketplace experimentation practice shows why: system-wide interventions create interference, and user-level A/B testing can be badly biased in two-sided markets. A good simulator should be directionally accurate, fast across many markets, and close enough to production code that model and policy changes do not fork into separate realities.</w:t>
      </w:r>
      <w:r>
        <w:t xml:space="preserve"> </w:t>
      </w:r>
      <w:hyperlink r:id="rId37">
        <w:r>
          <w:rPr>
            <w:rStyle w:val="Hyperlink"/>
          </w:rPr>
          <w:t xml:space="preserve">[17]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Offline estimator</w:t>
            </w:r>
          </w:p>
        </w:tc>
        <w:tc>
          <w:tcPr/>
          <w:p>
            <w:pPr>
              <w:pStyle w:val="Compact"/>
            </w:pPr>
            <w:r>
              <w:t xml:space="preserve">Online readout</w:t>
            </w:r>
          </w:p>
        </w:tc>
        <w:tc>
          <w:tcPr/>
          <w:p>
            <w:pPr>
              <w:pStyle w:val="Compact"/>
            </w:pPr>
            <w:r>
              <w:t xml:space="preserve">Worst-regime view</w:t>
            </w:r>
          </w:p>
        </w:tc>
      </w:tr>
      <w:tr>
        <w:tc>
          <w:tcPr/>
          <w:p>
            <w:pPr>
              <w:pStyle w:val="Compact"/>
            </w:pPr>
            <w:r>
              <w:t xml:space="preserve">Independent breadth lift</w:t>
            </w:r>
          </w:p>
        </w:tc>
        <w:tc>
          <w:tcPr/>
          <w:p>
            <w:pPr>
              <w:pStyle w:val="Compact"/>
            </w:pPr>
            <w:r>
              <w:t xml:space="preserve">Replay plus doubly robust uplift estimate</w:t>
            </w:r>
          </w:p>
        </w:tc>
        <w:tc>
          <w:tcPr/>
          <w:p>
            <w:pPr>
              <w:pStyle w:val="Compact"/>
            </w:pPr>
            <w:r>
              <w:t xml:space="preserve">Switchback delta by station-time block</w:t>
            </w:r>
          </w:p>
        </w:tc>
        <w:tc>
          <w:tcPr/>
          <w:p>
            <w:pPr>
              <w:pStyle w:val="Compact"/>
            </w:pPr>
            <w:r>
              <w:t xml:space="preserve">Severe weather, late-night thin markets</w:t>
            </w:r>
          </w:p>
        </w:tc>
      </w:tr>
      <w:tr>
        <w:tc>
          <w:tcPr/>
          <w:p>
            <w:pPr>
              <w:pStyle w:val="Compact"/>
            </w:pPr>
            <w:r>
              <w:t xml:space="preserve">Concentration change</w:t>
            </w:r>
          </w:p>
        </w:tc>
        <w:tc>
          <w:tcPr/>
          <w:p>
            <w:pPr>
              <w:pStyle w:val="Compact"/>
            </w:pPr>
            <w:r>
              <w:t xml:space="preserve">Exact simulated HHI/top-k share</w:t>
            </w:r>
          </w:p>
        </w:tc>
        <w:tc>
          <w:tcPr/>
          <w:p>
            <w:pPr>
              <w:pStyle w:val="Compact"/>
            </w:pPr>
            <w:r>
              <w:t xml:space="preserve">Clustered experiment estimate</w:t>
            </w:r>
          </w:p>
        </w:tc>
        <w:tc>
          <w:tcPr/>
          <w:p>
            <w:pPr>
              <w:pStyle w:val="Compact"/>
            </w:pPr>
            <w:r>
              <w:t xml:space="preserve">Worst decile of stations by baseline thinness</w:t>
            </w:r>
          </w:p>
        </w:tc>
      </w:tr>
      <w:tr>
        <w:tc>
          <w:tcPr/>
          <w:p>
            <w:pPr>
              <w:pStyle w:val="Compact"/>
            </w:pPr>
            <w:r>
              <w:t xml:space="preserve">Cutoff risk</w:t>
            </w:r>
          </w:p>
        </w:tc>
        <w:tc>
          <w:tcPr/>
          <w:p>
            <w:pPr>
              <w:pStyle w:val="Compact"/>
            </w:pPr>
            <w:r>
              <w:t xml:space="preserve">Monte Carlo from predictive distribution; CVaR</w:t>
            </w:r>
          </w:p>
        </w:tc>
        <w:tc>
          <w:tcPr/>
          <w:p>
            <w:pPr>
              <w:pStyle w:val="Compact"/>
            </w:pPr>
            <w:r>
              <w:t xml:space="preserve">Observed shortfall frequency</w:t>
            </w:r>
          </w:p>
        </w:tc>
        <w:tc>
          <w:tcPr/>
          <w:p>
            <w:pPr>
              <w:pStyle w:val="Compact"/>
            </w:pPr>
            <w:r>
              <w:t xml:space="preserve">p90/p99 and worst 5% weather regimes</w:t>
            </w:r>
          </w:p>
        </w:tc>
      </w:tr>
      <w:tr>
        <w:tc>
          <w:tcPr/>
          <w:p>
            <w:pPr>
              <w:pStyle w:val="Compact"/>
            </w:pPr>
            <w:r>
              <w:t xml:space="preserve">False approvals</w:t>
            </w:r>
          </w:p>
        </w:tc>
        <w:tc>
          <w:tcPr/>
          <w:p>
            <w:pPr>
              <w:pStyle w:val="Compact"/>
            </w:pPr>
            <w:r>
              <w:t xml:space="preserve">Observed failure/stale outcomes on approved units</w:t>
            </w:r>
          </w:p>
        </w:tc>
        <w:tc>
          <w:tcPr/>
          <w:p>
            <w:pPr>
              <w:pStyle w:val="Compact"/>
            </w:pPr>
            <w:r>
              <w:t xml:space="preserve">Production monitoring</w:t>
            </w:r>
          </w:p>
        </w:tc>
        <w:tc>
          <w:tcPr/>
          <w:p>
            <w:pPr>
              <w:pStyle w:val="Compact"/>
            </w:pPr>
            <w:r>
              <w:t xml:space="preserve">By action bucket and weather regime</w:t>
            </w:r>
          </w:p>
        </w:tc>
      </w:tr>
      <w:tr>
        <w:tc>
          <w:tcPr/>
          <w:p>
            <w:pPr>
              <w:pStyle w:val="Compact"/>
            </w:pPr>
            <w:r>
              <w:t xml:space="preserve">False denials</w:t>
            </w:r>
          </w:p>
        </w:tc>
        <w:tc>
          <w:tcPr/>
          <w:p>
            <w:pPr>
              <w:pStyle w:val="Compact"/>
            </w:pPr>
            <w:r>
              <w:t xml:space="preserve">Exploration-based causal estimate</w:t>
            </w:r>
          </w:p>
        </w:tc>
        <w:tc>
          <w:tcPr/>
          <w:p>
            <w:pPr>
              <w:pStyle w:val="Compact"/>
            </w:pPr>
            <w:r>
              <w:t xml:space="preserve">Holdout or switchback estimate</w:t>
            </w:r>
          </w:p>
        </w:tc>
        <w:tc>
          <w:tcPr/>
          <w:p>
            <w:pPr>
              <w:pStyle w:val="Compact"/>
            </w:pPr>
            <w:r>
              <w:t xml:space="preserve">By near-threshold cohort</w:t>
            </w:r>
          </w:p>
        </w:tc>
      </w:tr>
      <w:tr>
        <w:tc>
          <w:tcPr/>
          <w:p>
            <w:pPr>
              <w:pStyle w:val="Compact"/>
            </w:pPr>
            <w:r>
              <w:t xml:space="preserve">Calibration</w:t>
            </w:r>
          </w:p>
        </w:tc>
        <w:tc>
          <w:tcPr/>
          <w:p>
            <w:pPr>
              <w:pStyle w:val="Compact"/>
            </w:pPr>
            <w:r>
              <w:t xml:space="preserve">Brier/reliability for classifiers; C-index for survival</w:t>
            </w:r>
          </w:p>
        </w:tc>
        <w:tc>
          <w:tcPr/>
          <w:p>
            <w:pPr>
              <w:pStyle w:val="Compact"/>
            </w:pPr>
            <w:r>
              <w:t xml:space="preserve">Rolling calibration dashboard</w:t>
            </w:r>
          </w:p>
        </w:tc>
        <w:tc>
          <w:tcPr/>
          <w:p>
            <w:pPr>
              <w:pStyle w:val="Compact"/>
            </w:pPr>
            <w:r>
              <w:t xml:space="preserve">By station cluster and weather cluster</w:t>
            </w:r>
          </w:p>
        </w:tc>
      </w:tr>
      <w:tr>
        <w:tc>
          <w:tcPr/>
          <w:p>
            <w:pPr>
              <w:pStyle w:val="Compact"/>
            </w:pPr>
            <w:r>
              <w:t xml:space="preserve">Latency</w:t>
            </w:r>
          </w:p>
        </w:tc>
        <w:tc>
          <w:tcPr/>
          <w:p>
            <w:pPr>
              <w:pStyle w:val="Compact"/>
            </w:pPr>
            <w:r>
              <w:t xml:space="preserve">Load test plus shadow replay</w:t>
            </w:r>
          </w:p>
        </w:tc>
        <w:tc>
          <w:tcPr/>
          <w:p>
            <w:pPr>
              <w:pStyle w:val="Compact"/>
            </w:pPr>
            <w:r>
              <w:t xml:space="preserve">p95/p99 production SLOs</w:t>
            </w:r>
          </w:p>
        </w:tc>
        <w:tc>
          <w:tcPr/>
          <w:p>
            <w:pPr>
              <w:pStyle w:val="Compact"/>
            </w:pPr>
            <w:r>
              <w:t xml:space="preserve">During data delay and failover events</w:t>
            </w:r>
          </w:p>
        </w:tc>
      </w:tr>
    </w:tbl>
    <w:p>
      <w:pPr>
        <w:pStyle w:val="BodyText"/>
      </w:pPr>
      <w:r>
        <w:t xml:space="preserve">The counterfactual toolkit should combine three methods. First, use</w:t>
      </w:r>
      <w:r>
        <w:t xml:space="preserve"> </w:t>
      </w:r>
      <w:r>
        <w:rPr>
          <w:b/>
          <w:bCs/>
        </w:rPr>
        <w:t xml:space="preserve">logged propensities and doubly robust estimators</w:t>
      </w:r>
      <w:r>
        <w:t xml:space="preserve"> </w:t>
      </w:r>
      <w:r>
        <w:t xml:space="preserve">for action-level offline policy evaluation. Second, use</w:t>
      </w:r>
      <w:r>
        <w:t xml:space="preserve"> </w:t>
      </w:r>
      <w:r>
        <w:rPr>
          <w:b/>
          <w:bCs/>
        </w:rPr>
        <w:t xml:space="preserve">counterfactual risk minimization</w:t>
      </w:r>
      <w:r>
        <w:t xml:space="preserve"> </w:t>
      </w:r>
      <w:r>
        <w:t xml:space="preserve">for training compact policy classes from logged feedback. Third, when the intervention is station- or market-level and explicit randomization is unavailable, use</w:t>
      </w:r>
      <w:r>
        <w:t xml:space="preserve"> </w:t>
      </w:r>
      <w:r>
        <w:rPr>
          <w:b/>
          <w:bCs/>
        </w:rPr>
        <w:t xml:space="preserve">Bayesian structural time series</w:t>
      </w:r>
      <w:r>
        <w:t xml:space="preserve"> </w:t>
      </w:r>
      <w:r>
        <w:t xml:space="preserve">or related causal time-series methods to estimate market-level impact. This combination is stronger than any one method alone.</w:t>
      </w:r>
      <w:r>
        <w:t xml:space="preserve"> </w:t>
      </w:r>
      <w:hyperlink r:id="rId25">
        <w:r>
          <w:rPr>
            <w:rStyle w:val="Hyperlink"/>
          </w:rPr>
          <w:t xml:space="preserve">[18]</w:t>
        </w:r>
      </w:hyperlink>
    </w:p>
    <w:p>
      <w:pPr>
        <w:pStyle w:val="BodyText"/>
      </w:pPr>
      <w:r>
        <w:t xml:space="preserve">For online experiments, the default design should be</w:t>
      </w:r>
      <w:r>
        <w:t xml:space="preserve"> </w:t>
      </w:r>
      <w:r>
        <w:rPr>
          <w:b/>
          <w:bCs/>
        </w:rPr>
        <w:t xml:space="preserve">switchback tests or region-time cluster randomization</w:t>
      </w:r>
      <w:r>
        <w:t xml:space="preserve">, not user-level randomization. Use weather-stratified blocking and explicit washout logic if the policy has memory. For highly coupled adjacent stations, randomize at a super-station or district level. The experiment scorecard should always include both average treatment effects and</w:t>
      </w:r>
      <w:r>
        <w:t xml:space="preserve"> </w:t>
      </w:r>
      <w:r>
        <w:rPr>
          <w:b/>
          <w:bCs/>
        </w:rPr>
        <w:t xml:space="preserve">interference-aware worst-regime effects</w:t>
      </w:r>
      <w:r>
        <w:t xml:space="preserve">.</w:t>
      </w:r>
      <w:r>
        <w:t xml:space="preserve"> </w:t>
      </w:r>
      <w:hyperlink r:id="rId38">
        <w:r>
          <w:rPr>
            <w:rStyle w:val="Hyperlink"/>
          </w:rPr>
          <w:t xml:space="preserve">[19]</w:t>
        </w:r>
      </w:hyperlink>
    </w:p>
    <w:p>
      <w:pPr>
        <w:pStyle w:val="BodyText"/>
      </w:pPr>
      <w:r>
        <w:t xml:space="preserve">Stress tests should cover at least five failure classes: severe weather spikes, thin-station sparsity, delayed or missing event streams, supply behavior changes induced by the policy itself, and covariate shift relative to training data. Because current weather plus near-term forecast alter both the regime and the future path of the market, stress tests should include forecast error and not just realized weather. Distributionally robust policy evaluation is especially valuable for this step.</w:t>
      </w:r>
      <w:r>
        <w:t xml:space="preserve"> </w:t>
      </w:r>
      <w:hyperlink r:id="rId31">
        <w:r>
          <w:rPr>
            <w:rStyle w:val="Hyperlink"/>
          </w:rPr>
          <w:t xml:space="preserve">[20]</w:t>
        </w:r>
      </w:hyperlink>
    </w:p>
    <w:bookmarkEnd w:id="39"/>
    <w:bookmarkStart w:id="41" w:name="implementation-architecture-and-controls"/>
    <w:p>
      <w:pPr>
        <w:pStyle w:val="Heading2"/>
      </w:pPr>
      <w:r>
        <w:t xml:space="preserve">Implementation architecture and controls</w:t>
      </w:r>
    </w:p>
    <w:p>
      <w:pPr>
        <w:pStyle w:val="FirstParagraph"/>
      </w:pPr>
      <w:r>
        <w:t xml:space="preserve">The architecture should keep</w:t>
      </w:r>
      <w:r>
        <w:t xml:space="preserve"> </w:t>
      </w:r>
      <w:r>
        <w:rPr>
          <w:b/>
          <w:bCs/>
        </w:rPr>
        <w:t xml:space="preserve">offline richness</w:t>
      </w:r>
      <w:r>
        <w:t xml:space="preserve"> </w:t>
      </w:r>
      <w:r>
        <w:t xml:space="preserve">and</w:t>
      </w:r>
      <w:r>
        <w:t xml:space="preserve"> </w:t>
      </w:r>
      <w:r>
        <w:rPr>
          <w:b/>
          <w:bCs/>
        </w:rPr>
        <w:t xml:space="preserve">online determinism</w:t>
      </w:r>
      <w:r>
        <w:t xml:space="preserve"> </w:t>
      </w:r>
      <w:r>
        <w:t xml:space="preserve">separate. With no severe compute constraint assumed, offline training can be heavy: ensembles, hierarchical models, simulation, counterfactual evaluation, and Monte Carlo tail-risk estimation are all feasible. The online path should still be simple: fetch point-in-time features, resolve regime, score a fixed set of safe actions, choose the constrained optimum, and log everything needed for later evaluation. Exactly-once delivery and event-time correctness matter because a policy engine built on duplicated or late events will learn the wrong thresholds.</w:t>
      </w:r>
      <w:r>
        <w:t xml:space="preserve"> </w:t>
      </w:r>
      <w:hyperlink r:id="rId40">
        <w:r>
          <w:rPr>
            <w:rStyle w:val="Hyperlink"/>
          </w:rPr>
          <w:t xml:space="preserve">[21]</w:t>
        </w:r>
      </w:hyperlink>
    </w:p>
    <w:p>
      <w:pPr>
        <w:pStyle w:val="SourceCode"/>
      </w:pPr>
      <w:r>
        <w:rPr>
          <w:rStyle w:val="VerbatimChar"/>
        </w:rPr>
        <w:t xml:space="preserve">flowchart LR</w:t>
      </w:r>
      <w:r>
        <w:br/>
      </w:r>
      <w:r>
        <w:rPr>
          <w:rStyle w:val="VerbatimChar"/>
        </w:rPr>
        <w:t xml:space="preserve">    A[Marketplace events and weather feeds] --&gt; B[Kafka topics]</w:t>
      </w:r>
      <w:r>
        <w:br/>
      </w:r>
      <w:r>
        <w:rPr>
          <w:rStyle w:val="VerbatimChar"/>
        </w:rPr>
        <w:t xml:space="preserve">    B --&gt; C[Flink event-time feature pipeline]</w:t>
      </w:r>
      <w:r>
        <w:br/>
      </w:r>
      <w:r>
        <w:rPr>
          <w:rStyle w:val="VerbatimChar"/>
        </w:rPr>
        <w:t xml:space="preserve">    C --&gt; D[Offline warehouse]</w:t>
      </w:r>
      <w:r>
        <w:br/>
      </w:r>
      <w:r>
        <w:rPr>
          <w:rStyle w:val="VerbatimChar"/>
        </w:rPr>
        <w:t xml:space="preserve">    C --&gt; E[Online feature store]</w:t>
      </w:r>
      <w:r>
        <w:br/>
      </w:r>
      <w:r>
        <w:rPr>
          <w:rStyle w:val="VerbatimChar"/>
        </w:rPr>
        <w:t xml:space="preserve">    D --&gt; F[Model training and simulator]</w:t>
      </w:r>
      <w:r>
        <w:br/>
      </w:r>
      <w:r>
        <w:rPr>
          <w:rStyle w:val="VerbatimChar"/>
        </w:rPr>
        <w:t xml:space="preserve">    F --&gt; G[Policy optimizer]</w:t>
      </w:r>
      <w:r>
        <w:br/>
      </w:r>
      <w:r>
        <w:rPr>
          <w:rStyle w:val="VerbatimChar"/>
        </w:rPr>
        <w:t xml:space="preserve">    G --&gt; H[Versioned policy artifacts]</w:t>
      </w:r>
      <w:r>
        <w:br/>
      </w:r>
      <w:r>
        <w:rPr>
          <w:rStyle w:val="VerbatimChar"/>
        </w:rPr>
        <w:t xml:space="preserve">    E --&gt; I[Online decision service]</w:t>
      </w:r>
      <w:r>
        <w:br/>
      </w:r>
      <w:r>
        <w:rPr>
          <w:rStyle w:val="VerbatimChar"/>
        </w:rPr>
        <w:t xml:space="preserve">    H --&gt; I</w:t>
      </w:r>
      <w:r>
        <w:br/>
      </w:r>
      <w:r>
        <w:rPr>
          <w:rStyle w:val="VerbatimChar"/>
        </w:rPr>
        <w:t xml:space="preserve">    I --&gt; J[Approval and freshness action]</w:t>
      </w:r>
      <w:r>
        <w:br/>
      </w:r>
      <w:r>
        <w:rPr>
          <w:rStyle w:val="VerbatimChar"/>
        </w:rPr>
        <w:t xml:space="preserve">    J --&gt; K[Propensity and outcome logging]</w:t>
      </w:r>
      <w:r>
        <w:br/>
      </w:r>
      <w:r>
        <w:rPr>
          <w:rStyle w:val="VerbatimChar"/>
        </w:rPr>
        <w:t xml:space="preserve">    K --&gt; B</w:t>
      </w:r>
      <w:r>
        <w:br/>
      </w:r>
      <w:r>
        <w:rPr>
          <w:rStyle w:val="VerbatimChar"/>
        </w:rPr>
        <w:t xml:space="preserve">    H --&gt; L[Monitoring and governance]</w:t>
      </w:r>
      <w:r>
        <w:br/>
      </w:r>
      <w:r>
        <w:rPr>
          <w:rStyle w:val="VerbatimChar"/>
        </w:rPr>
        <w:t xml:space="preserve">    I --&gt; L</w:t>
      </w:r>
    </w:p>
    <w:p>
      <w:pPr>
        <w:pStyle w:val="FirstParagraph"/>
      </w:pPr>
      <w:r>
        <w:t xml:space="preserve">A good implementation uses stream processing for stateful minute/hour windows and late-data handling, a feature store for offline/online consistency, and a model registry for versioning, aliases, lineage, and rollback. The registry is not merely an MLOps convenience; it is the governance boundary between “candidate,” “approved,” and “reverted” policy artifacts.</w:t>
      </w:r>
      <w:r>
        <w:t xml:space="preserve"> </w:t>
      </w:r>
      <w:hyperlink r:id="rId22">
        <w:r>
          <w:rPr>
            <w:rStyle w:val="Hyperlink"/>
          </w:rPr>
          <w:t xml:space="preserve">[22]</w:t>
        </w:r>
      </w:hyperlink>
    </w:p>
    <w:p>
      <w:pPr>
        <w:pStyle w:val="SourceCode"/>
      </w:pPr>
      <w:r>
        <w:rPr>
          <w:rStyle w:val="VerbatimChar"/>
        </w:rPr>
        <w:t xml:space="preserve">flowchart TD</w:t>
      </w:r>
      <w:r>
        <w:br/>
      </w:r>
      <w:r>
        <w:rPr>
          <w:rStyle w:val="VerbatimChar"/>
        </w:rPr>
        <w:t xml:space="preserve">    A[Decision request] --&gt; B[Resolve station-hour-weather regime]</w:t>
      </w:r>
      <w:r>
        <w:br/>
      </w:r>
      <w:r>
        <w:rPr>
          <w:rStyle w:val="VerbatimChar"/>
        </w:rPr>
        <w:t xml:space="preserve">    B --&gt; C[Fetch point-in-time features]</w:t>
      </w:r>
      <w:r>
        <w:br/>
      </w:r>
      <w:r>
        <w:rPr>
          <w:rStyle w:val="VerbatimChar"/>
        </w:rPr>
        <w:t xml:space="preserve">    C --&gt; D[Score staleness, breadth gain, concentration delta, cutoff hazard]</w:t>
      </w:r>
      <w:r>
        <w:br/>
      </w:r>
      <w:r>
        <w:rPr>
          <w:rStyle w:val="VerbatimChar"/>
        </w:rPr>
        <w:t xml:space="preserve">    D --&gt; E[Apply hard safety rules]</w:t>
      </w:r>
      <w:r>
        <w:br/>
      </w:r>
      <w:r>
        <w:rPr>
          <w:rStyle w:val="VerbatimChar"/>
        </w:rPr>
        <w:t xml:space="preserve">    E --&gt; F[Enumerate safe action set]</w:t>
      </w:r>
      <w:r>
        <w:br/>
      </w:r>
      <w:r>
        <w:rPr>
          <w:rStyle w:val="VerbatimChar"/>
        </w:rPr>
        <w:t xml:space="preserve">    F --&gt; G[Choose constrained optimum or exploration action]</w:t>
      </w:r>
      <w:r>
        <w:br/>
      </w:r>
      <w:r>
        <w:rPr>
          <w:rStyle w:val="VerbatimChar"/>
        </w:rPr>
        <w:t xml:space="preserve">    G --&gt; H[Approve, deny, or defer]</w:t>
      </w:r>
      <w:r>
        <w:br/>
      </w:r>
      <w:r>
        <w:rPr>
          <w:rStyle w:val="VerbatimChar"/>
        </w:rPr>
        <w:t xml:space="preserve">    H --&gt; I[Log action, propensity, shadow action, and outcomes]</w:t>
      </w:r>
      <w:r>
        <w:br/>
      </w:r>
      <w:r>
        <w:rPr>
          <w:rStyle w:val="VerbatimChar"/>
        </w:rPr>
        <w:t xml:space="preserve">    E --&gt; J[Fallback to global safe policy]</w:t>
      </w:r>
      <w:r>
        <w:br/>
      </w:r>
      <w:r>
        <w:rPr>
          <w:rStyle w:val="VerbatimChar"/>
        </w:rPr>
        <w:t xml:space="preserve">    J --&gt; H</w:t>
      </w:r>
    </w:p>
    <w:p>
      <w:pPr>
        <w:pStyle w:val="FirstParagraph"/>
      </w:pPr>
      <w:r>
        <w:t xml:space="preserve">Parameter tuning should follow a strict hierarchy. First, tune base models for calibration and ranking. Second, tune the optimizer on replay with explicit constraints. Third, tune exploration only after the first two are stable. Safety constraints should include a maximum HHI, minimum independence-adjusted breadth, maximum cutoff hazard, maximum stale-hit rate, severe-weather override logic, and an automatic fallback when data delay or model confidence breaches thresholds. For explainability, store per-decision feature attributions and cohort-level summaries; SHAP is a reasonable default, and monotone constraints are a good way to encode nonnegotiable directional logic directly into the model.</w:t>
      </w:r>
      <w:r>
        <w:t xml:space="preserve"> </w:t>
      </w:r>
      <w:hyperlink r:id="rId21">
        <w:r>
          <w:rPr>
            <w:rStyle w:val="Hyperlink"/>
          </w:rPr>
          <w:t xml:space="preserve">[23]</w:t>
        </w:r>
      </w:hyperlink>
    </w:p>
    <w:p>
      <w:pPr>
        <w:pStyle w:val="BodyText"/>
      </w:pPr>
      <w:r>
        <w:t xml:space="preserve">Monitoring should happen on three layers.</w:t>
      </w:r>
      <w:r>
        <w:t xml:space="preserve"> </w:t>
      </w:r>
      <w:r>
        <w:rPr>
          <w:b/>
          <w:bCs/>
        </w:rPr>
        <w:t xml:space="preserve">Data quality</w:t>
      </w:r>
      <w:r>
        <w:t xml:space="preserve">: late events, null rates, weather join misses, and duplicate messages.</w:t>
      </w:r>
      <w:r>
        <w:t xml:space="preserve"> </w:t>
      </w:r>
      <w:r>
        <w:rPr>
          <w:b/>
          <w:bCs/>
        </w:rPr>
        <w:t xml:space="preserve">Model quality</w:t>
      </w:r>
      <w:r>
        <w:t xml:space="preserve">: calibration, quantile coverage, survival discrimination, drift by regime.</w:t>
      </w:r>
      <w:r>
        <w:t xml:space="preserve"> </w:t>
      </w:r>
      <w:r>
        <w:rPr>
          <w:b/>
          <w:bCs/>
        </w:rPr>
        <w:t xml:space="preserve">Policy quality</w:t>
      </w:r>
      <w:r>
        <w:t xml:space="preserve">: breadth, HHI, cutoff risk, false approvals, estimated false denials, and latency. Rollback should trigger on policy-quality guardrails or data-quality violations, not only on model metrics.</w:t>
      </w:r>
    </w:p>
    <w:bookmarkEnd w:id="41"/>
    <w:bookmarkStart w:id="43" w:name="X285527640e6e8072d53d367e9616eba31f3005c"/>
    <w:p>
      <w:pPr>
        <w:pStyle w:val="Heading2"/>
      </w:pPr>
      <w:r>
        <w:t xml:space="preserve">Deployment roadmap and open research risks</w:t>
      </w:r>
    </w:p>
    <w:p>
      <w:pPr>
        <w:pStyle w:val="FirstParagraph"/>
      </w:pPr>
      <w:r>
        <w:t xml:space="preserve">A sensible rollout has five phases. First, instrument logging and create the policy-intervention table with propensities, shadow actions, and point-in-time joins. Second, build baseline forecasts, survival models, and replay simulation with no online control. Third, launch shadow mode and compare recommended versus incumbent actions under real traffic. Fourth, run constrained switchback experiments in low-risk station groups and fair-weather regimes. Fifth, after the off-policy and online estimates agree within tolerance, expand to constrained online learning. This sequence mirrors how mature marketplace teams use simulation, experimentation, and governed deployment.</w:t>
      </w:r>
      <w:r>
        <w:t xml:space="preserve"> </w:t>
      </w:r>
      <w:hyperlink r:id="rId37">
        <w:r>
          <w:rPr>
            <w:rStyle w:val="Hyperlink"/>
          </w:rPr>
          <w:t xml:space="preserve">[24]</w:t>
        </w:r>
      </w:hyperlink>
    </w:p>
    <w:p>
      <w:pPr>
        <w:pStyle w:val="BodyText"/>
      </w:pPr>
      <w:r>
        <w:t xml:space="preserve">The KPI pack for rollout should be short and stable: station-weighted independence-adjusted breadth; HHI and top-k share; cutoff risk at p50/p90/p99 and worst 5% regimes; false approval rate; exploration-based false denial estimate; calibration error; and p95/p99 latency. If business outcome metrics are added, they should be secondary to these control metrics in early phases, because a policy that raises short-run throughput by increasing concentration or hidden denial error is not production-ready.</w:t>
      </w:r>
      <w:r>
        <w:t xml:space="preserve"> </w:t>
      </w:r>
      <w:hyperlink r:id="rId28">
        <w:r>
          <w:rPr>
            <w:rStyle w:val="Hyperlink"/>
          </w:rPr>
          <w:t xml:space="preserve">[25]</w:t>
        </w:r>
      </w:hyperlink>
    </w:p>
    <w:p>
      <w:pPr>
        <w:pStyle w:val="BodyText"/>
      </w:pPr>
      <w:r>
        <w:t xml:space="preserve">The main open research risks are substantial.</w:t>
      </w:r>
      <w:r>
        <w:t xml:space="preserve"> </w:t>
      </w:r>
      <w:r>
        <w:rPr>
          <w:b/>
          <w:bCs/>
        </w:rPr>
        <w:t xml:space="preserve">Selective labels</w:t>
      </w:r>
      <w:r>
        <w:t xml:space="preserve"> </w:t>
      </w:r>
      <w:r>
        <w:t xml:space="preserve">remain the hardest issue, because the engine cannot directly observe what denied units would have done.</w:t>
      </w:r>
      <w:r>
        <w:t xml:space="preserve"> </w:t>
      </w:r>
      <w:r>
        <w:rPr>
          <w:b/>
          <w:bCs/>
        </w:rPr>
        <w:t xml:space="preserve">Interference</w:t>
      </w:r>
      <w:r>
        <w:t xml:space="preserve"> </w:t>
      </w:r>
      <w:r>
        <w:t xml:space="preserve">is next: marketplace policies change the environment that later observations come from, so naive causal interpretation is unreliable.</w:t>
      </w:r>
      <w:r>
        <w:t xml:space="preserve"> </w:t>
      </w:r>
      <w:r>
        <w:rPr>
          <w:b/>
          <w:bCs/>
        </w:rPr>
        <w:t xml:space="preserve">Nonstationarity</w:t>
      </w:r>
      <w:r>
        <w:t xml:space="preserve"> </w:t>
      </w:r>
      <w:r>
        <w:t xml:space="preserve">is persistent, especially under weather shocks and strategic supplier response.</w:t>
      </w:r>
      <w:r>
        <w:t xml:space="preserve"> </w:t>
      </w:r>
      <w:r>
        <w:rPr>
          <w:b/>
          <w:bCs/>
        </w:rPr>
        <w:t xml:space="preserve">Regime design</w:t>
      </w:r>
      <w:r>
        <w:t xml:space="preserve"> </w:t>
      </w:r>
      <w:r>
        <w:t xml:space="preserve">is also nontrivial: too coarse and the policy is blunt; too fine and it becomes sparse and unstable. Finally, there is</w:t>
      </w:r>
      <w:r>
        <w:t xml:space="preserve"> </w:t>
      </w:r>
      <w:r>
        <w:rPr>
          <w:b/>
          <w:bCs/>
        </w:rPr>
        <w:t xml:space="preserve">objective misspecification</w:t>
      </w:r>
      <w:r>
        <w:t xml:space="preserve"> </w:t>
      </w:r>
      <w:r>
        <w:t xml:space="preserve">risk: if breadth is measured on the wrong independence unit, the engine can look diverse while actually becoming more dependent on a small number of economic owners. The best practical response is not theoretical purity but disciplined exploration, robust evaluation, conservative constraints, and explicit fallback paths.</w:t>
      </w:r>
      <w:r>
        <w:t xml:space="preserve"> </w:t>
      </w:r>
      <w:hyperlink r:id="rId42">
        <w:r>
          <w:rPr>
            <w:rStyle w:val="Hyperlink"/>
          </w:rPr>
          <w:t xml:space="preserve">[26]</w:t>
        </w:r>
      </w:hyperlink>
    </w:p>
    <w:p>
      <w:pPr>
        <w:pStyle w:val="BodyText"/>
      </w:pPr>
      <w:r>
        <w:t xml:space="preserve">The strongest overall recommendation is therefore straightforward: build the engine as a</w:t>
      </w:r>
      <w:r>
        <w:t xml:space="preserve"> </w:t>
      </w:r>
      <w:r>
        <w:rPr>
          <w:b/>
          <w:bCs/>
        </w:rPr>
        <w:t xml:space="preserve">constrained, regime-aware control system with explicit counterfactual logging</w:t>
      </w:r>
      <w:r>
        <w:t xml:space="preserve">, not as a pure prediction service. That design is the best match to the actual structure of the problem: local heterogeneity, delayed outcomes, hidden denial labels, and market-wide interference.</w:t>
      </w:r>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[23]</w:t>
        </w:r>
      </w:hyperlink>
      <w:r>
        <w:t xml:space="preserve"> </w:t>
      </w:r>
      <w:r>
        <w:t xml:space="preserve">https://xgboost.readthedocs.io/en/latest/tutorials/monotonic.html</w:t>
      </w:r>
    </w:p>
    <w:p>
      <w:pPr>
        <w:pStyle w:val="BodyText"/>
      </w:pPr>
      <w:hyperlink r:id="rId21">
        <w:r>
          <w:rPr>
            <w:rStyle w:val="Hyperlink"/>
          </w:rPr>
          <w:t xml:space="preserve">https://xgboost.readthedocs.io/en/latest/tutorials/monotonic.html</w:t>
        </w:r>
      </w:hyperlink>
    </w:p>
    <w:p>
      <w:pPr>
        <w:pStyle w:val="BodyText"/>
      </w:pPr>
      <w:hyperlink r:id="rId22">
        <w:r>
          <w:rPr>
            <w:rStyle w:val="Hyperlink"/>
          </w:rPr>
          <w:t xml:space="preserve">[2]</w:t>
        </w:r>
      </w:hyperlink>
      <w:r>
        <w:t xml:space="preserve"> </w:t>
      </w:r>
      <w:hyperlink r:id="rId22">
        <w:r>
          <w:rPr>
            <w:rStyle w:val="Hyperlink"/>
          </w:rPr>
          <w:t xml:space="preserve">[22]</w:t>
        </w:r>
      </w:hyperlink>
      <w:r>
        <w:t xml:space="preserve"> </w:t>
      </w:r>
      <w:r>
        <w:t xml:space="preserve">https://nightlies.apache.org/flink/flink-docs-stable/docs/concepts/stateful-stream-processing/</w:t>
      </w:r>
    </w:p>
    <w:p>
      <w:pPr>
        <w:pStyle w:val="BodyText"/>
      </w:pPr>
      <w:hyperlink r:id="rId22">
        <w:r>
          <w:rPr>
            <w:rStyle w:val="Hyperlink"/>
          </w:rPr>
          <w:t xml:space="preserve">https://nightlies.apache.org/flink/flink-docs-stable/docs/concepts/stateful-stream-processing/</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[9]</w:t>
        </w:r>
      </w:hyperlink>
      <w:r>
        <w:t xml:space="preserve"> </w:t>
      </w:r>
      <w:r>
        <w:t xml:space="preserve">https://eng.lyft.com/quantifying-efficiency-in-ridesharing-marketplaces-affd53043db2</w:t>
      </w:r>
    </w:p>
    <w:p>
      <w:pPr>
        <w:pStyle w:val="BodyText"/>
      </w:pPr>
      <w:hyperlink r:id="rId23">
        <w:r>
          <w:rPr>
            <w:rStyle w:val="Hyperlink"/>
          </w:rPr>
          <w:t xml:space="preserve">https://eng.lyft.com/quantifying-efficiency-in-ridesharing-marketplaces-affd53043db2</w:t>
        </w:r>
      </w:hyperlink>
    </w:p>
    <w:p>
      <w:pPr>
        <w:pStyle w:val="BodyText"/>
      </w:pPr>
      <w:hyperlink r:id="rId24">
        <w:r>
          <w:rPr>
            <w:rStyle w:val="Hyperlink"/>
          </w:rPr>
          <w:t xml:space="preserve">[4]</w:t>
        </w:r>
      </w:hyperlink>
      <w:r>
        <w:t xml:space="preserve"> </w:t>
      </w:r>
      <w:hyperlink r:id="rId24">
        <w:r>
          <w:rPr>
            <w:rStyle w:val="Hyperlink"/>
          </w:rPr>
          <w:t xml:space="preserve">[13]</w:t>
        </w:r>
      </w:hyperlink>
      <w:r>
        <w:t xml:space="preserve"> </w:t>
      </w:r>
      <w:r>
        <w:t xml:space="preserve">https://academic.oup.com/qje/article/133/1/237/4095198?login=true</w:t>
      </w:r>
    </w:p>
    <w:p>
      <w:pPr>
        <w:pStyle w:val="BodyText"/>
      </w:pPr>
      <w:hyperlink r:id="rId24">
        <w:r>
          <w:rPr>
            <w:rStyle w:val="Hyperlink"/>
          </w:rPr>
          <w:t xml:space="preserve">https://academic.oup.com/qje/article/133/1/237/4095198?login=true</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hyperlink r:id="rId25">
        <w:r>
          <w:rPr>
            <w:rStyle w:val="Hyperlink"/>
          </w:rPr>
          <w:t xml:space="preserve">[18]</w:t>
        </w:r>
      </w:hyperlink>
      <w:r>
        <w:t xml:space="preserve"> </w:t>
      </w:r>
      <w:r>
        <w:t xml:space="preserve">https://arxiv.org/abs/1003.0146</w:t>
      </w:r>
    </w:p>
    <w:p>
      <w:pPr>
        <w:pStyle w:val="BodyText"/>
      </w:pPr>
      <w:hyperlink r:id="rId25">
        <w:r>
          <w:rPr>
            <w:rStyle w:val="Hyperlink"/>
          </w:rPr>
          <w:t xml:space="preserve">https://arxiv.org/abs/1003.0146</w:t>
        </w:r>
      </w:hyperlink>
    </w:p>
    <w:p>
      <w:pPr>
        <w:pStyle w:val="BodyText"/>
      </w:pPr>
      <w:hyperlink r:id="rId27">
        <w:r>
          <w:rPr>
            <w:rStyle w:val="Hyperlink"/>
          </w:rPr>
          <w:t xml:space="preserve">[6]</w:t>
        </w:r>
      </w:hyperlink>
      <w:r>
        <w:t xml:space="preserve"> </w:t>
      </w:r>
      <w:r>
        <w:t xml:space="preserve">https://proceedings.mlr.press/v119/si20a.html</w:t>
      </w:r>
    </w:p>
    <w:p>
      <w:pPr>
        <w:pStyle w:val="BodyText"/>
      </w:pPr>
      <w:hyperlink r:id="rId27">
        <w:r>
          <w:rPr>
            <w:rStyle w:val="Hyperlink"/>
          </w:rPr>
          <w:t xml:space="preserve">https://proceedings.mlr.press/v119/si20a.html</w:t>
        </w:r>
      </w:hyperlink>
    </w:p>
    <w:p>
      <w:pPr>
        <w:pStyle w:val="BodyText"/>
      </w:pPr>
      <w:hyperlink r:id="rId28">
        <w:r>
          <w:rPr>
            <w:rStyle w:val="Hyperlink"/>
          </w:rPr>
          <w:t xml:space="preserve">[8]</w:t>
        </w:r>
      </w:hyperlink>
      <w:r>
        <w:t xml:space="preserve"> </w:t>
      </w:r>
      <w:hyperlink r:id="rId28">
        <w:r>
          <w:rPr>
            <w:rStyle w:val="Hyperlink"/>
          </w:rPr>
          <w:t xml:space="preserve">[25]</w:t>
        </w:r>
      </w:hyperlink>
      <w:r>
        <w:t xml:space="preserve"> </w:t>
      </w:r>
      <w:r>
        <w:t xml:space="preserve">https://www.justice.gov/atr/herfindahl-hirschman-index</w:t>
      </w:r>
    </w:p>
    <w:p>
      <w:pPr>
        <w:pStyle w:val="BodyText"/>
      </w:pPr>
      <w:hyperlink r:id="rId28">
        <w:r>
          <w:rPr>
            <w:rStyle w:val="Hyperlink"/>
          </w:rPr>
          <w:t xml:space="preserve">https://www.justice.gov/atr/herfindahl-hirschman-index</w:t>
        </w:r>
      </w:hyperlink>
    </w:p>
    <w:p>
      <w:pPr>
        <w:pStyle w:val="BodyText"/>
      </w:pPr>
      <w:hyperlink r:id="rId30">
        <w:r>
          <w:rPr>
            <w:rStyle w:val="Hyperlink"/>
          </w:rPr>
          <w:t xml:space="preserve">[11]</w:t>
        </w:r>
      </w:hyperlink>
      <w:r>
        <w:t xml:space="preserve"> </w:t>
      </w:r>
      <w:r>
        <w:t xml:space="preserve">https://nightlies.apache.org/flink/flink-docs-stable/docs/concepts/time/</w:t>
      </w:r>
    </w:p>
    <w:p>
      <w:pPr>
        <w:pStyle w:val="BodyText"/>
      </w:pPr>
      <w:hyperlink r:id="rId30">
        <w:r>
          <w:rPr>
            <w:rStyle w:val="Hyperlink"/>
          </w:rPr>
          <w:t xml:space="preserve">https://nightlies.apache.org/flink/flink-docs-stable/docs/concepts/time/</w:t>
        </w:r>
      </w:hyperlink>
    </w:p>
    <w:p>
      <w:pPr>
        <w:pStyle w:val="BodyText"/>
      </w:pPr>
      <w:hyperlink r:id="rId31">
        <w:r>
          <w:rPr>
            <w:rStyle w:val="Hyperlink"/>
          </w:rPr>
          <w:t xml:space="preserve">[12]</w:t>
        </w:r>
      </w:hyperlink>
      <w:r>
        <w:t xml:space="preserve"> </w:t>
      </w:r>
      <w:hyperlink r:id="rId31">
        <w:r>
          <w:rPr>
            <w:rStyle w:val="Hyperlink"/>
          </w:rPr>
          <w:t xml:space="preserve">[20]</w:t>
        </w:r>
      </w:hyperlink>
      <w:r>
        <w:t xml:space="preserve"> </w:t>
      </w:r>
      <w:r>
        <w:t xml:space="preserve">https://www.weather.gov/documentation/services-web-api</w:t>
      </w:r>
    </w:p>
    <w:p>
      <w:pPr>
        <w:pStyle w:val="BodyText"/>
      </w:pPr>
      <w:hyperlink r:id="rId31">
        <w:r>
          <w:rPr>
            <w:rStyle w:val="Hyperlink"/>
          </w:rPr>
          <w:t xml:space="preserve">https://www.weather.gov/documentation/services-web-api</w:t>
        </w:r>
      </w:hyperlink>
    </w:p>
    <w:p>
      <w:pPr>
        <w:pStyle w:val="BodyText"/>
      </w:pPr>
      <w:hyperlink r:id="rId33">
        <w:r>
          <w:rPr>
            <w:rStyle w:val="Hyperlink"/>
          </w:rPr>
          <w:t xml:space="preserve">[14]</w:t>
        </w:r>
      </w:hyperlink>
      <w:r>
        <w:t xml:space="preserve"> </w:t>
      </w:r>
      <w:r>
        <w:t xml:space="preserve">Optimal combination forecasts for hierarchical time series</w:t>
      </w:r>
    </w:p>
    <w:p>
      <w:pPr>
        <w:pStyle w:val="BodyText"/>
      </w:pPr>
      <w:hyperlink r:id="rId33">
        <w:r>
          <w:rPr>
            <w:rStyle w:val="Hyperlink"/>
          </w:rPr>
          <w:t xml:space="preserve">https://robjhyndman.com/papers/Hierarchical6.pdf?utm_source=chatgpt.com</w:t>
        </w:r>
      </w:hyperlink>
    </w:p>
    <w:p>
      <w:pPr>
        <w:pStyle w:val="BodyText"/>
      </w:pPr>
      <w:hyperlink r:id="rId34">
        <w:r>
          <w:rPr>
            <w:rStyle w:val="Hyperlink"/>
          </w:rPr>
          <w:t xml:space="preserve">[15]</w:t>
        </w:r>
      </w:hyperlink>
      <w:r>
        <w:t xml:space="preserve"> </w:t>
      </w:r>
      <w:r>
        <w:t xml:space="preserve">https://arxiv.org/pdf/1603.02754</w:t>
      </w:r>
    </w:p>
    <w:p>
      <w:pPr>
        <w:pStyle w:val="BodyText"/>
      </w:pPr>
      <w:hyperlink r:id="rId34">
        <w:r>
          <w:rPr>
            <w:rStyle w:val="Hyperlink"/>
          </w:rPr>
          <w:t xml:space="preserve">https://arxiv.org/pdf/1603.02754</w:t>
        </w:r>
      </w:hyperlink>
    </w:p>
    <w:p>
      <w:pPr>
        <w:pStyle w:val="BodyText"/>
      </w:pPr>
      <w:hyperlink r:id="rId35">
        <w:r>
          <w:rPr>
            <w:rStyle w:val="Hyperlink"/>
          </w:rPr>
          <w:t xml:space="preserve">[16]</w:t>
        </w:r>
      </w:hyperlink>
      <w:r>
        <w:t xml:space="preserve"> </w:t>
      </w:r>
      <w:r>
        <w:t xml:space="preserve">https://www.jmlr.org/papers/volume25/24-1220/24-1220.pdf</w:t>
      </w:r>
    </w:p>
    <w:p>
      <w:pPr>
        <w:pStyle w:val="BodyText"/>
      </w:pPr>
      <w:hyperlink r:id="rId35">
        <w:r>
          <w:rPr>
            <w:rStyle w:val="Hyperlink"/>
          </w:rPr>
          <w:t xml:space="preserve">https://www.jmlr.org/papers/volume25/24-1220/24-1220.pdf</w:t>
        </w:r>
      </w:hyperlink>
    </w:p>
    <w:p>
      <w:pPr>
        <w:pStyle w:val="BodyText"/>
      </w:pPr>
      <w:hyperlink r:id="rId37">
        <w:r>
          <w:rPr>
            <w:rStyle w:val="Hyperlink"/>
          </w:rPr>
          <w:t xml:space="preserve">[17]</w:t>
        </w:r>
      </w:hyperlink>
      <w:r>
        <w:t xml:space="preserve"> </w:t>
      </w:r>
      <w:hyperlink r:id="rId37">
        <w:r>
          <w:rPr>
            <w:rStyle w:val="Hyperlink"/>
          </w:rPr>
          <w:t xml:space="preserve">[24]</w:t>
        </w:r>
      </w:hyperlink>
      <w:r>
        <w:t xml:space="preserve"> </w:t>
      </w:r>
      <w:r>
        <w:t xml:space="preserve">https://eng.lyft.com/experimentation-in-a-ridesharing-marketplace-36007a8a31f2</w:t>
      </w:r>
    </w:p>
    <w:p>
      <w:pPr>
        <w:pStyle w:val="BodyText"/>
      </w:pPr>
      <w:hyperlink r:id="rId37">
        <w:r>
          <w:rPr>
            <w:rStyle w:val="Hyperlink"/>
          </w:rPr>
          <w:t xml:space="preserve">https://eng.lyft.com/experimentation-in-a-ridesharing-marketplace-36007a8a31f2</w:t>
        </w:r>
      </w:hyperlink>
    </w:p>
    <w:p>
      <w:pPr>
        <w:pStyle w:val="BodyText"/>
      </w:pPr>
      <w:hyperlink r:id="rId38">
        <w:r>
          <w:rPr>
            <w:rStyle w:val="Hyperlink"/>
          </w:rPr>
          <w:t xml:space="preserve">[19]</w:t>
        </w:r>
      </w:hyperlink>
      <w:r>
        <w:t xml:space="preserve"> </w:t>
      </w:r>
      <w:r>
        <w:t xml:space="preserve">https://careersatdoordash.com/blog/switchback-tests-and-randomized-experimentation-under-network-effects-at-doordash/</w:t>
      </w:r>
    </w:p>
    <w:p>
      <w:pPr>
        <w:pStyle w:val="BodyText"/>
      </w:pPr>
      <w:hyperlink r:id="rId38">
        <w:r>
          <w:rPr>
            <w:rStyle w:val="Hyperlink"/>
          </w:rPr>
          <w:t xml:space="preserve">https://careersatdoordash.com/blog/switchback-tests-and-randomized-experimentation-under-network-effects-at-doordash/</w:t>
        </w:r>
      </w:hyperlink>
    </w:p>
    <w:p>
      <w:pPr>
        <w:pStyle w:val="BodyText"/>
      </w:pPr>
      <w:hyperlink r:id="rId40">
        <w:r>
          <w:rPr>
            <w:rStyle w:val="Hyperlink"/>
          </w:rPr>
          <w:t xml:space="preserve">[21]</w:t>
        </w:r>
      </w:hyperlink>
      <w:r>
        <w:t xml:space="preserve"> </w:t>
      </w:r>
      <w:r>
        <w:t xml:space="preserve">https://docs.confluent.io/kafka/design/delivery-semantics.html</w:t>
      </w:r>
    </w:p>
    <w:p>
      <w:pPr>
        <w:pStyle w:val="BodyText"/>
      </w:pPr>
      <w:hyperlink r:id="rId40">
        <w:r>
          <w:rPr>
            <w:rStyle w:val="Hyperlink"/>
          </w:rPr>
          <w:t xml:space="preserve">https://docs.confluent.io/kafka/design/delivery-semantics.html</w:t>
        </w:r>
      </w:hyperlink>
    </w:p>
    <w:p>
      <w:pPr>
        <w:pStyle w:val="BodyText"/>
      </w:pPr>
      <w:hyperlink r:id="rId42">
        <w:r>
          <w:rPr>
            <w:rStyle w:val="Hyperlink"/>
          </w:rPr>
          <w:t xml:space="preserve">[26]</w:t>
        </w:r>
      </w:hyperlink>
      <w:r>
        <w:t xml:space="preserve"> </w:t>
      </w:r>
      <w:r>
        <w:t xml:space="preserve">https://proceedings.mlr.press/v139/wei21a.html</w:t>
      </w:r>
    </w:p>
    <w:p>
      <w:pPr>
        <w:pStyle w:val="BodyText"/>
      </w:pPr>
      <w:hyperlink r:id="rId42">
        <w:r>
          <w:rPr>
            <w:rStyle w:val="Hyperlink"/>
          </w:rPr>
          <w:t xml:space="preserve">https://proceedings.mlr.press/v139/wei21a.html</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cademic.oup.com/qje/article/133/1/237/4095198?login=true" TargetMode="External" /><Relationship Type="http://schemas.openxmlformats.org/officeDocument/2006/relationships/hyperlink" Id="rId25" Target="https://arxiv.org/abs/1003.0146" TargetMode="External" /><Relationship Type="http://schemas.openxmlformats.org/officeDocument/2006/relationships/hyperlink" Id="rId34" Target="https://arxiv.org/pdf/1603.02754" TargetMode="External" /><Relationship Type="http://schemas.openxmlformats.org/officeDocument/2006/relationships/hyperlink" Id="rId38" Target="https://careersatdoordash.com/blog/switchback-tests-and-randomized-experimentation-under-network-effects-at-doordash/" TargetMode="External" /><Relationship Type="http://schemas.openxmlformats.org/officeDocument/2006/relationships/hyperlink" Id="rId40" Target="https://docs.confluent.io/kafka/design/delivery-semantics.html" TargetMode="External" /><Relationship Type="http://schemas.openxmlformats.org/officeDocument/2006/relationships/hyperlink" Id="rId37" Target="https://eng.lyft.com/experimentation-in-a-ridesharing-marketplace-36007a8a31f2" TargetMode="External" /><Relationship Type="http://schemas.openxmlformats.org/officeDocument/2006/relationships/hyperlink" Id="rId23" Target="https://eng.lyft.com/quantifying-efficiency-in-ridesharing-marketplaces-affd53043db2" TargetMode="External" /><Relationship Type="http://schemas.openxmlformats.org/officeDocument/2006/relationships/hyperlink" Id="rId22" Target="https://nightlies.apache.org/flink/flink-docs-stable/docs/concepts/stateful-stream-processing/" TargetMode="External" /><Relationship Type="http://schemas.openxmlformats.org/officeDocument/2006/relationships/hyperlink" Id="rId30" Target="https://nightlies.apache.org/flink/flink-docs-stable/docs/concepts/time/" TargetMode="External" /><Relationship Type="http://schemas.openxmlformats.org/officeDocument/2006/relationships/hyperlink" Id="rId27" Target="https://proceedings.mlr.press/v119/si20a.html" TargetMode="External" /><Relationship Type="http://schemas.openxmlformats.org/officeDocument/2006/relationships/hyperlink" Id="rId42" Target="https://proceedings.mlr.press/v139/wei21a.html" TargetMode="External" /><Relationship Type="http://schemas.openxmlformats.org/officeDocument/2006/relationships/hyperlink" Id="rId33" Target="https://robjhyndman.com/papers/Hierarchical6.pdf?utm_source=chatgpt.com" TargetMode="External" /><Relationship Type="http://schemas.openxmlformats.org/officeDocument/2006/relationships/hyperlink" Id="rId35" Target="https://www.jmlr.org/papers/volume25/24-1220/24-1220.pdf" TargetMode="External" /><Relationship Type="http://schemas.openxmlformats.org/officeDocument/2006/relationships/hyperlink" Id="rId28" Target="https://www.justice.gov/atr/herfindahl-hirschman-index" TargetMode="External" /><Relationship Type="http://schemas.openxmlformats.org/officeDocument/2006/relationships/hyperlink" Id="rId31" Target="https://www.weather.gov/documentation/services-web-api" TargetMode="External" /><Relationship Type="http://schemas.openxmlformats.org/officeDocument/2006/relationships/hyperlink" Id="rId21" Target="https://xgboost.readthedocs.io/en/latest/tutorials/monotonic.html" TargetMode="External" /></Relationships>
</file>

<file path=word/_rels/footnotes.xml.rels><?xml version="1.0" encoding="UTF-8"?><Relationships xmlns="http://schemas.openxmlformats.org/package/2006/relationships"><Relationship Type="http://schemas.openxmlformats.org/officeDocument/2006/relationships/hyperlink" Id="rId24" Target="https://academic.oup.com/qje/article/133/1/237/4095198?login=true" TargetMode="External" /><Relationship Type="http://schemas.openxmlformats.org/officeDocument/2006/relationships/hyperlink" Id="rId25" Target="https://arxiv.org/abs/1003.0146" TargetMode="External" /><Relationship Type="http://schemas.openxmlformats.org/officeDocument/2006/relationships/hyperlink" Id="rId34" Target="https://arxiv.org/pdf/1603.02754" TargetMode="External" /><Relationship Type="http://schemas.openxmlformats.org/officeDocument/2006/relationships/hyperlink" Id="rId38" Target="https://careersatdoordash.com/blog/switchback-tests-and-randomized-experimentation-under-network-effects-at-doordash/" TargetMode="External" /><Relationship Type="http://schemas.openxmlformats.org/officeDocument/2006/relationships/hyperlink" Id="rId40" Target="https://docs.confluent.io/kafka/design/delivery-semantics.html" TargetMode="External" /><Relationship Type="http://schemas.openxmlformats.org/officeDocument/2006/relationships/hyperlink" Id="rId37" Target="https://eng.lyft.com/experimentation-in-a-ridesharing-marketplace-36007a8a31f2" TargetMode="External" /><Relationship Type="http://schemas.openxmlformats.org/officeDocument/2006/relationships/hyperlink" Id="rId23" Target="https://eng.lyft.com/quantifying-efficiency-in-ridesharing-marketplaces-affd53043db2" TargetMode="External" /><Relationship Type="http://schemas.openxmlformats.org/officeDocument/2006/relationships/hyperlink" Id="rId22" Target="https://nightlies.apache.org/flink/flink-docs-stable/docs/concepts/stateful-stream-processing/" TargetMode="External" /><Relationship Type="http://schemas.openxmlformats.org/officeDocument/2006/relationships/hyperlink" Id="rId30" Target="https://nightlies.apache.org/flink/flink-docs-stable/docs/concepts/time/" TargetMode="External" /><Relationship Type="http://schemas.openxmlformats.org/officeDocument/2006/relationships/hyperlink" Id="rId27" Target="https://proceedings.mlr.press/v119/si20a.html" TargetMode="External" /><Relationship Type="http://schemas.openxmlformats.org/officeDocument/2006/relationships/hyperlink" Id="rId42" Target="https://proceedings.mlr.press/v139/wei21a.html" TargetMode="External" /><Relationship Type="http://schemas.openxmlformats.org/officeDocument/2006/relationships/hyperlink" Id="rId33" Target="https://robjhyndman.com/papers/Hierarchical6.pdf?utm_source=chatgpt.com" TargetMode="External" /><Relationship Type="http://schemas.openxmlformats.org/officeDocument/2006/relationships/hyperlink" Id="rId35" Target="https://www.jmlr.org/papers/volume25/24-1220/24-1220.pdf" TargetMode="External" /><Relationship Type="http://schemas.openxmlformats.org/officeDocument/2006/relationships/hyperlink" Id="rId28" Target="https://www.justice.gov/atr/herfindahl-hirschman-index" TargetMode="External" /><Relationship Type="http://schemas.openxmlformats.org/officeDocument/2006/relationships/hyperlink" Id="rId31" Target="https://www.weather.gov/documentation/services-web-api" TargetMode="External" /><Relationship Type="http://schemas.openxmlformats.org/officeDocument/2006/relationships/hyperlink" Id="rId21" Target="https://xgboost.readthedocs.io/en/latest/tutorials/monotoni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2026-04-16T17:00:00Z</dcterms:created>
  <dcterms:modified xsi:type="dcterms:W3CDTF">2026-04-16T17:00:00Z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