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ddc7fabf8efa1551cc23af153bf9da8f424ad74"/>
    <w:p>
      <w:pPr>
        <w:pStyle w:val="Heading1"/>
      </w:pPr>
      <w:r>
        <w:t xml:space="preserve">Execution-Aware Alpha Deployment for Temperature Range Books</w:t>
      </w:r>
    </w:p>
    <w:bookmarkStart w:id="24" w:name="design-objective"/>
    <w:p>
      <w:pPr>
        <w:pStyle w:val="Heading2"/>
      </w:pPr>
      <w:r>
        <w:t xml:space="preserve">Design objective</w:t>
      </w:r>
    </w:p>
    <w:p>
      <w:pPr>
        <w:pStyle w:val="FirstParagraph"/>
      </w:pPr>
      <w:r>
        <w:t xml:space="preserve">Temperature range books should be deployed as a</w:t>
      </w:r>
      <w:r>
        <w:t xml:space="preserve"> </w:t>
      </w:r>
      <w:r>
        <w:rPr>
          <w:b/>
          <w:bCs/>
        </w:rPr>
        <w:t xml:space="preserve">bankroll-growth problem</w:t>
      </w:r>
      <w:r>
        <w:t xml:space="preserve">, not a “best deployed-capital ROI” problem. On the exchange, daily weather contracts settle to the final climate report from the weather source, typically the next morning, but the daily climate workflow is explicitly split between a preliminary afternoon report and a later final daily report, and climatology archives document that real-time daily data can later be quality-corrected or replaced by archive-quality feeds. That means edge, capital lock-up, and settlement latency are inseparable: a trade with slightly lower raw edge but faster and more reliable capital release can dominate a higher-ROI-on-deployed-capital trade when the true objective is full-bankroll compounding.</w:t>
      </w:r>
      <w:r>
        <w:t xml:space="preserve"> </w:t>
      </w:r>
      <w:hyperlink r:id="rId21">
        <w:r>
          <w:rPr>
            <w:rStyle w:val="Hyperlink"/>
          </w:rPr>
          <w:t xml:space="preserve">[1]</w:t>
        </w:r>
      </w:hyperlink>
    </w:p>
    <w:p>
      <w:pPr>
        <w:pStyle w:val="BodyText"/>
      </w:pPr>
      <w:r>
        <w:t xml:space="preserve">In practical implementations on Kalshi</w:t>
      </w:r>
      <w:hyperlink r:id="rId21">
        <w:r>
          <w:rPr>
            <w:rStyle w:val="Hyperlink"/>
          </w:rPr>
          <w:t xml:space="preserve">[2]</w:t>
        </w:r>
      </w:hyperlink>
      <w:r>
        <w:t xml:space="preserve">, weather contracts settle off final reports from the National Weather Service</w:t>
      </w:r>
      <w:hyperlink r:id="rId22">
        <w:r>
          <w:rPr>
            <w:rStyle w:val="Hyperlink"/>
          </w:rPr>
          <w:t xml:space="preserve">[3]</w:t>
        </w:r>
      </w:hyperlink>
      <w:r>
        <w:t xml:space="preserve">; climate archives maintained by NOAA National Centers for Environmental Information</w:t>
      </w:r>
      <w:hyperlink r:id="rId23">
        <w:r>
          <w:rPr>
            <w:rStyle w:val="Hyperlink"/>
          </w:rPr>
          <w:t xml:space="preserve">[4]</w:t>
        </w:r>
      </w:hyperlink>
      <w:r>
        <w:t xml:space="preserve"> </w:t>
      </w:r>
      <w:r>
        <w:t xml:space="preserve">and daily analyses published by the NOAA Climate Prediction Center</w:t>
      </w:r>
      <w:hyperlink r:id="rId21">
        <w:r>
          <w:rPr>
            <w:rStyle w:val="Hyperlink"/>
          </w:rPr>
          <w:t xml:space="preserve">[5]</w:t>
        </w:r>
      </w:hyperlink>
      <w:r>
        <w:t xml:space="preserve"> </w:t>
      </w:r>
      <w:r>
        <w:t xml:space="preserve">make clear that preliminary and archive-quality data are not the same thing. The same venue’s API also exposes the market data needed for execution-aware deployment: bid-side order books for both YES and NO, websocket snapshots and deltas, queue position, amend/cancel flows, historical trades, historical candlesticks, and user-data timestamps that warn of short API reflection delays. Those mechanics are sufficiently rich to justify a full event-driven simulator instead of a simplistic “mid-price backtest.”</w:t>
      </w:r>
      <w:r>
        <w:t xml:space="preserve"> </w:t>
      </w:r>
      <w:hyperlink r:id="rId21">
        <w:r>
          <w:rPr>
            <w:rStyle w:val="Hyperlink"/>
          </w:rPr>
          <w:t xml:space="preserve">[6]</w:t>
        </w:r>
      </w:hyperlink>
    </w:p>
    <w:p>
      <w:pPr>
        <w:pStyle w:val="BodyText"/>
      </w:pPr>
      <w:r>
        <w:t xml:space="preserve">The governing objective should therefore be expected</w:t>
      </w:r>
      <w:r>
        <w:t xml:space="preserve"> </w:t>
      </w:r>
      <w:r>
        <w:rPr>
          <w:b/>
          <w:bCs/>
        </w:rPr>
        <w:t xml:space="preserve">log bankroll growth</w:t>
      </w:r>
      <w:r>
        <w:t xml:space="preserve">, evaluated on the whole bankroll and on the actual event calendar:</w:t>
      </w:r>
    </w:p>
    <w:p>
      <w:pPr>
        <w:pStyle w:val="BodyText"/>
      </w:pPr>
      <m:oMathPara>
        <m:oMathParaPr>
          <m:jc m:val="center"/>
        </m:oMathParaPr>
        <m:oMath>
          <m:limLow>
            <m:e>
              <m:r>
                <m:rPr>
                  <m:sty m:val="p"/>
                </m:rPr>
                <m:t>max</m:t>
              </m:r>
            </m:e>
            <m:lim>
              <m:sSub>
                <m:e>
                  <m:r>
                    <m:t>π</m:t>
                  </m:r>
                </m:e>
                <m:sub>
                  <m:r>
                    <m:rPr>
                      <m:nor/>
                      <m:sty m:val="p"/>
                    </m:rPr>
                    <m:t>orders</m:t>
                  </m:r>
                </m:sub>
              </m:sSub>
            </m:lim>
          </m:limLow>
          <m:r>
            <m:t> </m:t>
          </m:r>
          <m:r>
            <m:rPr>
              <m:sty m:val="p"/>
              <m:scr m:val="double-struck"/>
            </m:rPr>
            <m:t>E</m:t>
          </m:r>
          <m:r>
            <m:t>​</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r>
                    <m:rPr>
                      <m:sty m:val="p"/>
                    </m:rPr>
                    <m:t>log</m:t>
                  </m:r>
                </m:e>
              </m:nary>
              <m:r>
                <m:t>​</m:t>
              </m:r>
              <m:d>
                <m:dPr>
                  <m:begChr m:val="("/>
                  <m:sepChr m:val=""/>
                  <m:endChr m:val=")"/>
                  <m:grow/>
                </m:dPr>
                <m:e>
                  <m:f>
                    <m:fPr>
                      <m:type m:val="bar"/>
                    </m:fPr>
                    <m:num>
                      <m:sSub>
                        <m:e>
                          <m:r>
                            <m:t>W</m:t>
                          </m:r>
                        </m:e>
                        <m:sub>
                          <m:r>
                            <m:t>t</m:t>
                          </m:r>
                          <m:r>
                            <m:rPr>
                              <m:sty m:val="p"/>
                            </m:rPr>
                            <m:t>+</m:t>
                          </m:r>
                          <m:r>
                            <m:t>1</m:t>
                          </m:r>
                        </m:sub>
                      </m:sSub>
                    </m:num>
                    <m:den>
                      <m:sSub>
                        <m:e>
                          <m:r>
                            <m:t>W</m:t>
                          </m:r>
                        </m:e>
                        <m:sub>
                          <m:r>
                            <m:t>t</m:t>
                          </m:r>
                        </m:sub>
                      </m:sSub>
                    </m:den>
                  </m:f>
                </m:e>
              </m:d>
            </m:e>
          </m:d>
        </m:oMath>
      </m:oMathPara>
    </w:p>
    <w:p>
      <w:pPr>
        <w:pStyle w:val="FirstParagraph"/>
      </w:pPr>
      <w:r>
        <w:t xml:space="preserve">with</w:t>
      </w:r>
      <w:r>
        <w:t xml:space="preserve"> </w:t>
      </w:r>
      <m:oMath>
        <m:sSub>
          <m:e>
            <m:r>
              <m:t>W</m:t>
            </m:r>
          </m:e>
          <m:sub>
            <m:r>
              <m:t>t</m:t>
            </m:r>
          </m:sub>
        </m:sSub>
      </m:oMath>
      <w:r>
        <w:t xml:space="preserve"> </w:t>
      </w:r>
      <w:r>
        <w:t xml:space="preserve">reflecting not only open P\&amp;L but also</w:t>
      </w:r>
      <w:r>
        <w:t xml:space="preserve"> </w:t>
      </w:r>
      <w:r>
        <w:rPr>
          <w:b/>
          <w:bCs/>
        </w:rPr>
        <w:t xml:space="preserve">capital reserved, capital released on settlement, fees, slippage, and partial fills</w:t>
      </w:r>
      <w:r>
        <w:t xml:space="preserve">. That choice is aligned with the Kelly capital-growth criterion, which maximizes expected log wealth rather than return on capital only when capital happens to be deployed.</w:t>
      </w:r>
      <w:r>
        <w:t xml:space="preserve"> </w:t>
      </w:r>
      <w:hyperlink r:id="rId22">
        <w:r>
          <w:rPr>
            <w:rStyle w:val="Hyperlink"/>
          </w:rPr>
          <w:t xml:space="preserve">[7]</w:t>
        </w:r>
      </w:hyperlink>
    </w:p>
    <w:p>
      <w:pPr>
        <w:pStyle w:val="BodyText"/>
      </w:pPr>
      <w:r>
        <w:t xml:space="preserve">A useful diagnostic, but</w:t>
      </w:r>
      <w:r>
        <w:t xml:space="preserve"> </w:t>
      </w:r>
      <w:r>
        <w:rPr>
          <w:b/>
          <w:bCs/>
        </w:rPr>
        <w:t xml:space="preserve">not</w:t>
      </w:r>
      <w:r>
        <w:t xml:space="preserve"> </w:t>
      </w:r>
      <w:r>
        <w:t xml:space="preserve">the objective, is deployed-capital ROI:</w:t>
      </w:r>
    </w:p>
    <w:p>
      <w:pPr>
        <w:pStyle w:val="BodyText"/>
      </w:pPr>
      <m:oMathPara>
        <m:oMathParaPr>
          <m:jc m:val="center"/>
        </m:oMathParaPr>
        <m:oMath>
          <m:sSub>
            <m:e>
              <m:r>
                <m:rPr>
                  <m:nor/>
                  <m:sty m:val="p"/>
                </m:rPr>
                <m:t>ROI</m:t>
              </m:r>
            </m:e>
            <m:sub>
              <m:r>
                <m:rPr>
                  <m:nor/>
                  <m:sty m:val="p"/>
                </m:rPr>
                <m:t>deployed</m:t>
              </m:r>
            </m:sub>
          </m:sSub>
          <m:r>
            <m:rPr>
              <m:sty m:val="p"/>
            </m:rPr>
            <m:t>=</m:t>
          </m:r>
          <m:f>
            <m:fPr>
              <m:type m:val="bar"/>
            </m:fPr>
            <m:num>
              <m:r>
                <m:rPr>
                  <m:sty m:val="p"/>
                  <m:scr m:val="double-struck"/>
                </m:rPr>
                <m:t>E</m:t>
              </m:r>
              <m:d>
                <m:dPr>
                  <m:begChr m:val="["/>
                  <m:sepChr m:val=""/>
                  <m:endChr m:val="]"/>
                  <m:grow/>
                </m:dPr>
                <m:e>
                  <m:r>
                    <m:t>Π</m:t>
                  </m:r>
                </m:e>
              </m:d>
            </m:num>
            <m:den>
              <m:r>
                <m:rPr>
                  <m:sty m:val="p"/>
                  <m:scr m:val="double-struck"/>
                </m:rPr>
                <m:t>E</m:t>
              </m:r>
              <m:d>
                <m:dPr>
                  <m:begChr m:val="["/>
                  <m:sepChr m:val=""/>
                  <m:endChr m:val="]"/>
                  <m:grow/>
                </m:dPr>
                <m:e>
                  <m:sSub>
                    <m:e>
                      <m:r>
                        <m:t>C</m:t>
                      </m:r>
                    </m:e>
                    <m:sub>
                      <m:r>
                        <m:rPr>
                          <m:nor/>
                          <m:sty m:val="p"/>
                        </m:rPr>
                        <m:t>deployed</m:t>
                      </m:r>
                    </m:sub>
                  </m:sSub>
                </m:e>
              </m:d>
            </m:den>
          </m:f>
        </m:oMath>
      </m:oMathPara>
    </w:p>
    <w:p>
      <w:pPr>
        <w:pStyle w:val="FirstParagraph"/>
      </w:pPr>
      <w:r>
        <w:t xml:space="preserve">The scorecard that matters for deployment decisions is instead:</w:t>
      </w:r>
    </w:p>
    <w:p>
      <w:pPr>
        <w:pStyle w:val="BodyText"/>
      </w:pPr>
      <m:oMathPara>
        <m:oMathParaPr>
          <m:jc m:val="center"/>
        </m:oMathParaPr>
        <m:oMath>
          <m:sSub>
            <m:e>
              <m:r>
                <m:rPr>
                  <m:nor/>
                  <m:sty m:val="p"/>
                </m:rPr>
                <m:t>ROI</m:t>
              </m:r>
            </m:e>
            <m:sub>
              <m:r>
                <m:rPr>
                  <m:nor/>
                  <m:sty m:val="p"/>
                </m:rPr>
                <m:t>bankroll</m:t>
              </m:r>
            </m:sub>
          </m:sSub>
          <m:r>
            <m:rPr>
              <m:sty m:val="p"/>
            </m:rPr>
            <m:t>=</m:t>
          </m:r>
          <m:f>
            <m:fPr>
              <m:type m:val="bar"/>
            </m:fPr>
            <m:num>
              <m:r>
                <m:rPr>
                  <m:sty m:val="p"/>
                  <m:scr m:val="double-struck"/>
                </m:rPr>
                <m:t>E</m:t>
              </m:r>
              <m:d>
                <m:dPr>
                  <m:begChr m:val="["/>
                  <m:sepChr m:val=""/>
                  <m:endChr m:val="]"/>
                  <m:grow/>
                </m:dPr>
                <m:e>
                  <m:r>
                    <m:t>Π</m:t>
                  </m:r>
                </m:e>
              </m:d>
            </m:num>
            <m:den>
              <m:sSub>
                <m:e>
                  <m:r>
                    <m:t>W</m:t>
                  </m:r>
                </m:e>
                <m:sub>
                  <m:r>
                    <m:t>0</m:t>
                  </m:r>
                </m:sub>
              </m:sSub>
            </m:den>
          </m:f>
          <m:r>
            <m:rPr>
              <m:sty m:val="p"/>
            </m:rPr>
            <m:t>,</m:t>
          </m:r>
          <m:r>
            <m:t>  </m:t>
          </m:r>
          <m:r>
            <m:t>g</m:t>
          </m:r>
          <m:r>
            <m:rPr>
              <m:sty m:val="p"/>
            </m:rPr>
            <m:t>=</m:t>
          </m:r>
          <m:f>
            <m:fPr>
              <m:type m:val="bar"/>
            </m:fPr>
            <m:num>
              <m:r>
                <m:rPr>
                  <m:sty m:val="p"/>
                  <m:scr m:val="double-struck"/>
                </m:rPr>
                <m:t>E</m:t>
              </m:r>
              <m:d>
                <m:dPr>
                  <m:begChr m:val="["/>
                  <m:sepChr m:val=""/>
                  <m:endChr m:val="]"/>
                  <m:grow/>
                </m:dPr>
                <m:e>
                  <m:r>
                    <m:rPr>
                      <m:sty m:val="p"/>
                    </m:rPr>
                    <m:t>log</m:t>
                  </m:r>
                  <m:d>
                    <m:dPr>
                      <m:begChr m:val="("/>
                      <m:sepChr m:val=""/>
                      <m:endChr m:val=")"/>
                      <m:grow/>
                    </m:dPr>
                    <m:e>
                      <m:sSub>
                        <m:e>
                          <m:r>
                            <m:t>W</m:t>
                          </m:r>
                        </m:e>
                        <m:sub>
                          <m:r>
                            <m:t>T</m:t>
                          </m:r>
                        </m:sub>
                      </m:sSub>
                      <m:r>
                        <m:rPr>
                          <m:sty m:val="p"/>
                        </m:rPr>
                        <m:t>/</m:t>
                      </m:r>
                      <m:sSub>
                        <m:e>
                          <m:r>
                            <m:t>W</m:t>
                          </m:r>
                        </m:e>
                        <m:sub>
                          <m:r>
                            <m:t>0</m:t>
                          </m:r>
                        </m:sub>
                      </m:sSub>
                    </m:e>
                  </m:d>
                </m:e>
              </m:d>
            </m:num>
            <m:den>
              <m:r>
                <m:t>T</m:t>
              </m:r>
            </m:den>
          </m:f>
        </m:oMath>
      </m:oMathPara>
    </w:p>
    <w:p>
      <w:pPr>
        <w:pStyle w:val="FirstParagraph"/>
      </w:pPr>
      <w:r>
        <w:t xml:space="preserve">with</w:t>
      </w:r>
      <w:r>
        <w:t xml:space="preserve"> </w:t>
      </w:r>
      <m:oMath>
        <m:r>
          <m:t>T</m:t>
        </m:r>
      </m:oMath>
      <w:r>
        <w:t xml:space="preserve"> </w:t>
      </w:r>
      <w:r>
        <w:t xml:space="preserve">measured on the real settlement clock. That forces the system to prefer</w:t>
      </w:r>
      <w:r>
        <w:t xml:space="preserve"> </w:t>
      </w:r>
      <w:r>
        <w:rPr>
          <w:b/>
          <w:bCs/>
        </w:rPr>
        <w:t xml:space="preserve">capital velocity</w:t>
      </w:r>
      <w:r>
        <w:t xml:space="preserve">, not merely pretty-looking isolated returns.</w:t>
      </w:r>
      <w:r>
        <w:t xml:space="preserve"> </w:t>
      </w:r>
      <w:hyperlink r:id="rId21">
        <w:r>
          <w:rPr>
            <w:rStyle w:val="Hyperlink"/>
          </w:rPr>
          <w:t xml:space="preserve">[8]</w:t>
        </w:r>
      </w:hyperlink>
    </w:p>
    <w:bookmarkEnd w:id="24"/>
    <w:bookmarkStart w:id="28" w:name="coherent-probability-surface"/>
    <w:p>
      <w:pPr>
        <w:pStyle w:val="Heading2"/>
      </w:pPr>
      <w:r>
        <w:t xml:space="preserve">Coherent probability surface</w:t>
      </w:r>
    </w:p>
    <w:p>
      <w:pPr>
        <w:pStyle w:val="FirstParagraph"/>
      </w:pPr>
      <w:r>
        <w:t xml:space="preserve">The cleanest way to enforce strike-family consistency is to stop treating each market as an isolated binary and instead infer a</w:t>
      </w:r>
      <w:r>
        <w:t xml:space="preserve"> </w:t>
      </w:r>
      <w:r>
        <w:rPr>
          <w:b/>
          <w:bCs/>
        </w:rPr>
        <w:t xml:space="preserve">single latent state distribution</w:t>
      </w:r>
      <w:r>
        <w:t xml:space="preserve"> </w:t>
      </w:r>
      <w:r>
        <w:t xml:space="preserve">for each underlying family</w:t>
      </w:r>
      <w:r>
        <w:t xml:space="preserve"> </w:t>
      </w:r>
      <m:oMath>
        <m:r>
          <m:t>u</m:t>
        </m:r>
      </m:oMath>
      <w:r>
        <w:t xml:space="preserve">, where a family is “same station, same date, same underlying resolution object.” For a daily-high ladder, the latent state is a discrete temperature bin; for related high/low families, it can be a joint state</w:t>
      </w:r>
      <w:r>
        <w:t xml:space="preserve"> </w:t>
      </w:r>
      <m:oMath>
        <m:d>
          <m:dPr>
            <m:begChr m:val="("/>
            <m:sepChr m:val=""/>
            <m:endChr m:val=")"/>
            <m:grow/>
          </m:dPr>
          <m:e>
            <m:r>
              <m:t>L</m:t>
            </m:r>
            <m:r>
              <m:rPr>
                <m:sty m:val="p"/>
              </m:rPr>
              <m:t>,</m:t>
            </m:r>
            <m:r>
              <m:t>H</m:t>
            </m:r>
          </m:e>
        </m:d>
      </m:oMath>
      <w:r>
        <w:t xml:space="preserve"> </w:t>
      </w:r>
      <w:r>
        <w:t xml:space="preserve">with support restricted to</w:t>
      </w:r>
      <w:r>
        <w:t xml:space="preserve"> </w:t>
      </w:r>
      <m:oMath>
        <m:r>
          <m:t>L</m:t>
        </m:r>
        <m:r>
          <m:rPr>
            <m:sty m:val="p"/>
          </m:rPr>
          <m:t>≤</m:t>
        </m:r>
        <m:r>
          <m:t>H</m:t>
        </m:r>
      </m:oMath>
      <w:r>
        <w:t xml:space="preserve">; for hourly books linked to a daily high, it can be an hourly path with</w:t>
      </w:r>
      <w:r>
        <w:t xml:space="preserve"> </w:t>
      </w:r>
      <m:oMath>
        <m:r>
          <m:t>H</m:t>
        </m:r>
        <m:r>
          <m:rPr>
            <m:sty m:val="p"/>
          </m:rPr>
          <m:t>=</m:t>
        </m:r>
        <m:sSub>
          <m:e>
            <m:r>
              <m:rPr>
                <m:sty m:val="p"/>
              </m:rPr>
              <m:t>max</m:t>
            </m:r>
          </m:e>
          <m:sub>
            <m:r>
              <m:t>h</m:t>
            </m:r>
          </m:sub>
        </m:sSub>
        <m:sSub>
          <m:e>
            <m:r>
              <m:t>T</m:t>
            </m:r>
          </m:e>
          <m:sub>
            <m:r>
              <m:t>h</m:t>
            </m:r>
          </m:sub>
        </m:sSub>
      </m:oMath>
      <w:r>
        <w:t xml:space="preserve">. This is the same state-price logic used in arbitrage-free derivative pricing and in complete prediction-market outcome spaces: prices are linear functionals of a nonnegative distribution over mutually exclusive, exhaustive states.</w:t>
      </w:r>
      <w:r>
        <w:t xml:space="preserve"> </w:t>
      </w:r>
      <w:hyperlink r:id="rId25">
        <w:r>
          <w:rPr>
            <w:rStyle w:val="Hyperlink"/>
          </w:rPr>
          <w:t xml:space="preserve">[9]</w:t>
        </w:r>
      </w:hyperlink>
    </w:p>
    <w:p>
      <w:pPr>
        <w:pStyle w:val="BodyText"/>
      </w:pPr>
      <w:r>
        <w:t xml:space="preserve">Let</w:t>
      </w:r>
      <w:r>
        <w:t xml:space="preserve"> </w:t>
      </w:r>
      <m:oMath>
        <m:sSub>
          <m:e>
            <m:r>
              <m:rPr>
                <m:sty m:val="p"/>
                <m:scr m:val="script"/>
              </m:rPr>
              <m:t>S</m:t>
            </m:r>
          </m:e>
          <m:sub>
            <m:r>
              <m:t>u</m:t>
            </m:r>
          </m:sub>
        </m:sSub>
      </m:oMath>
      <w:r>
        <w:t xml:space="preserve"> </w:t>
      </w:r>
      <w:r>
        <w:t xml:space="preserve">be the feasible latent states for family</w:t>
      </w:r>
      <w:r>
        <w:t xml:space="preserve"> </w:t>
      </w:r>
      <m:oMath>
        <m:r>
          <m:t>u</m:t>
        </m:r>
      </m:oMath>
      <w:r>
        <w:t xml:space="preserve">, and let</w:t>
      </w:r>
      <w:r>
        <w:t xml:space="preserve"> </w:t>
      </w:r>
      <m:oMath>
        <m:sSub>
          <m:e>
            <m:r>
              <m:t>π</m:t>
            </m:r>
          </m:e>
          <m:sub>
            <m:r>
              <m:t>u</m:t>
            </m:r>
          </m:sub>
        </m:sSub>
        <m:r>
          <m:rPr>
            <m:sty m:val="p"/>
          </m:rPr>
          <m:t>∈</m:t>
        </m:r>
        <m:r>
          <m:t>Δ</m:t>
        </m:r>
        <m:d>
          <m:dPr>
            <m:begChr m:val="("/>
            <m:sepChr m:val=""/>
            <m:endChr m:val=")"/>
            <m:grow/>
          </m:dPr>
          <m:e>
            <m:sSub>
              <m:e>
                <m:r>
                  <m:rPr>
                    <m:sty m:val="p"/>
                    <m:scr m:val="script"/>
                  </m:rPr>
                  <m:t>S</m:t>
                </m:r>
              </m:e>
              <m:sub>
                <m:r>
                  <m:t>u</m:t>
                </m:r>
              </m:sub>
            </m:sSub>
          </m:e>
        </m:d>
      </m:oMath>
      <w:r>
        <w:t xml:space="preserve"> </w:t>
      </w:r>
      <w:r>
        <w:t xml:space="preserve">be the coherent probability vector. For each listed contract</w:t>
      </w:r>
      <w:r>
        <w:t xml:space="preserve"> </w:t>
      </w:r>
      <m:oMath>
        <m:r>
          <m:t>m</m:t>
        </m:r>
      </m:oMath>
      <w:r>
        <w:t xml:space="preserve"> </w:t>
      </w:r>
      <w:r>
        <w:t xml:space="preserve">in that family, define a payoff indicator vector</w:t>
      </w:r>
      <w:r>
        <w:t xml:space="preserve"> </w:t>
      </w:r>
      <m:oMath>
        <m:sSub>
          <m:e>
            <m:r>
              <m:t>a</m:t>
            </m:r>
          </m:e>
          <m:sub>
            <m:r>
              <m:t>m</m:t>
            </m:r>
          </m:sub>
        </m:sSub>
        <m:r>
          <m:rPr>
            <m:sty m:val="p"/>
          </m:rPr>
          <m:t>∈</m:t>
        </m:r>
        <m:r>
          <m:rPr>
            <m:sty m:val="p"/>
          </m:rPr>
          <m:t>{</m:t>
        </m:r>
        <m:r>
          <m:t>0</m:t>
        </m:r>
        <m:r>
          <m:rPr>
            <m:sty m:val="p"/>
          </m:rPr>
          <m:t>,</m:t>
        </m:r>
        <m:r>
          <m:t>1</m:t>
        </m:r>
        <m:sSup>
          <m:e>
            <m:r>
              <m:rPr>
                <m:sty m:val="p"/>
              </m:rPr>
              <m:t>}</m:t>
            </m:r>
          </m:e>
          <m:sup>
            <m:d>
              <m:dPr>
                <m:begChr m:val="|"/>
                <m:sepChr m:val=""/>
                <m:endChr m:val="|"/>
                <m:grow/>
              </m:dPr>
              <m:e>
                <m:sSub>
                  <m:e>
                    <m:r>
                      <m:rPr>
                        <m:sty m:val="p"/>
                        <m:scr m:val="script"/>
                      </m:rPr>
                      <m:t>S</m:t>
                    </m:r>
                  </m:e>
                  <m:sub>
                    <m:r>
                      <m:t>u</m:t>
                    </m:r>
                  </m:sub>
                </m:sSub>
              </m:e>
            </m:d>
          </m:sup>
        </m:sSup>
      </m:oMath>
      <w:r>
        <w:t xml:space="preserve">, so that its fair probability is</w:t>
      </w:r>
    </w:p>
    <w:p>
      <w:pPr>
        <w:pStyle w:val="BodyText"/>
      </w:pPr>
      <m:oMathPara>
        <m:oMathParaPr>
          <m:jc m:val="center"/>
        </m:oMathParaPr>
        <m:oMath>
          <m:sSub>
            <m:e>
              <m:r>
                <m:t>q</m:t>
              </m:r>
            </m:e>
            <m:sub>
              <m:r>
                <m:t>m</m:t>
              </m:r>
            </m:sub>
          </m:sSub>
          <m:r>
            <m:rPr>
              <m:sty m:val="p"/>
            </m:rPr>
            <m:t>=</m:t>
          </m:r>
          <m:sSubSup>
            <m:e>
              <m:r>
                <m:t>a</m:t>
              </m:r>
            </m:e>
            <m:sub>
              <m:r>
                <m:t>m</m:t>
              </m:r>
            </m:sub>
            <m:sup>
              <m:r>
                <m:rPr>
                  <m:sty m:val="p"/>
                </m:rPr>
                <m:t>⊤</m:t>
              </m:r>
            </m:sup>
          </m:sSubSup>
          <m:sSub>
            <m:e>
              <m:r>
                <m:t>π</m:t>
              </m:r>
            </m:e>
            <m:sub>
              <m:r>
                <m:t>u</m:t>
              </m:r>
            </m:sub>
          </m:sSub>
          <m:r>
            <m:rPr>
              <m:sty m:val="p"/>
            </m:rPr>
            <m:t>.</m:t>
          </m:r>
        </m:oMath>
      </m:oMathPara>
    </w:p>
    <w:p>
      <w:pPr>
        <w:pStyle w:val="FirstParagraph"/>
      </w:pPr>
      <w:r>
        <w:t xml:space="preserve">Then</w:t>
      </w:r>
      <w:r>
        <w:t xml:space="preserve"> </w:t>
      </w:r>
      <w:r>
        <w:rPr>
          <w:b/>
          <w:bCs/>
        </w:rPr>
        <w:t xml:space="preserve">monotonicity</w:t>
      </w:r>
      <w:r>
        <w:t xml:space="preserve">,</w:t>
      </w:r>
      <w:r>
        <w:t xml:space="preserve"> </w:t>
      </w:r>
      <w:r>
        <w:rPr>
          <w:b/>
          <w:bCs/>
        </w:rPr>
        <w:t xml:space="preserve">bracket coherence</w:t>
      </w:r>
      <w:r>
        <w:t xml:space="preserve">, and</w:t>
      </w:r>
      <w:r>
        <w:t xml:space="preserve"> </w:t>
      </w:r>
      <w:r>
        <w:rPr>
          <w:b/>
          <w:bCs/>
        </w:rPr>
        <w:t xml:space="preserve">impossibility chains</w:t>
      </w:r>
      <w:r>
        <w:t xml:space="preserve"> </w:t>
      </w:r>
      <w:r>
        <w:t xml:space="preserve">become structural rather than ad hoc:</w:t>
      </w:r>
    </w:p>
    <w:p>
      <w:pPr>
        <w:pStyle w:val="BodyText"/>
      </w:pPr>
      <m:oMathPara>
        <m:oMathParaPr>
          <m:jc m:val="center"/>
        </m:oMathParaPr>
        <m:oMath>
          <m:sSub>
            <m:e>
              <m:r>
                <m:t>π</m:t>
              </m:r>
            </m:e>
            <m:sub>
              <m:r>
                <m:t>u</m:t>
              </m:r>
            </m:sub>
          </m:sSub>
          <m:r>
            <m:rPr>
              <m:sty m:val="p"/>
            </m:rPr>
            <m:t>≥</m:t>
          </m:r>
          <m:r>
            <m:t>0</m:t>
          </m:r>
          <m:r>
            <m:rPr>
              <m:sty m:val="p"/>
            </m:rPr>
            <m:t>,</m:t>
          </m:r>
          <m:r>
            <m:t>  </m:t>
          </m:r>
          <m:sSup>
            <m:e>
              <m:r>
                <m:rPr>
                  <m:sty m:val="b"/>
                </m:rPr>
                <m:t>1</m:t>
              </m:r>
            </m:e>
            <m:sup>
              <m:r>
                <m:rPr>
                  <m:sty m:val="p"/>
                </m:rPr>
                <m:t>⊤</m:t>
              </m:r>
            </m:sup>
          </m:sSup>
          <m:sSub>
            <m:e>
              <m:r>
                <m:t>π</m:t>
              </m:r>
            </m:e>
            <m:sub>
              <m:r>
                <m:t>u</m:t>
              </m:r>
            </m:sub>
          </m:sSub>
          <m:r>
            <m:rPr>
              <m:sty m:val="p"/>
            </m:rPr>
            <m:t>=</m:t>
          </m:r>
          <m:r>
            <m:t>1</m:t>
          </m:r>
          <m:r>
            <m:rPr>
              <m:sty m:val="p"/>
            </m:rPr>
            <m:t>,</m:t>
          </m:r>
          <m:r>
            <m:t>  </m:t>
          </m:r>
          <m:sSub>
            <m:e>
              <m:r>
                <m:t>q</m:t>
              </m:r>
            </m:e>
            <m:sub>
              <m:r>
                <m:t>m</m:t>
              </m:r>
            </m:sub>
          </m:sSub>
          <m:r>
            <m:rPr>
              <m:sty m:val="p"/>
            </m:rPr>
            <m:t>=</m:t>
          </m:r>
          <m:sSubSup>
            <m:e>
              <m:r>
                <m:t>a</m:t>
              </m:r>
            </m:e>
            <m:sub>
              <m:r>
                <m:t>m</m:t>
              </m:r>
            </m:sub>
            <m:sup>
              <m:r>
                <m:rPr>
                  <m:sty m:val="p"/>
                </m:rPr>
                <m:t>⊤</m:t>
              </m:r>
            </m:sup>
          </m:sSubSup>
          <m:sSub>
            <m:e>
              <m:r>
                <m:t>π</m:t>
              </m:r>
            </m:e>
            <m:sub>
              <m:r>
                <m:t>u</m:t>
              </m:r>
            </m:sub>
          </m:sSub>
          <m:r>
            <m:rPr>
              <m:sty m:val="p"/>
            </m:rPr>
            <m:t>.</m:t>
          </m:r>
        </m:oMath>
      </m:oMathPara>
    </w:p>
    <w:p>
      <w:pPr>
        <w:pStyle w:val="FirstParagraph"/>
      </w:pPr>
      <w:r>
        <w:t xml:space="preserve">If the family includes forbidden states, remove them from</w:t>
      </w:r>
      <w:r>
        <w:t xml:space="preserve"> </w:t>
      </w:r>
      <m:oMath>
        <m:sSub>
          <m:e>
            <m:r>
              <m:rPr>
                <m:sty m:val="p"/>
                <m:scr m:val="script"/>
              </m:rPr>
              <m:t>S</m:t>
            </m:r>
          </m:e>
          <m:sub>
            <m:r>
              <m:t>u</m:t>
            </m:r>
          </m:sub>
        </m:sSub>
      </m:oMath>
      <w:r>
        <w:t xml:space="preserve"> </w:t>
      </w:r>
      <w:r>
        <w:t xml:space="preserve">or impose</w:t>
      </w:r>
    </w:p>
    <w:p>
      <w:pPr>
        <w:pStyle w:val="BodyText"/>
      </w:pPr>
      <m:oMathPara>
        <m:oMathParaPr>
          <m:jc m:val="center"/>
        </m:oMathParaPr>
        <m:oMath>
          <m:sSub>
            <m:e>
              <m:r>
                <m:t>B</m:t>
              </m:r>
            </m:e>
            <m:sub>
              <m:r>
                <m:t>u</m:t>
              </m:r>
            </m:sub>
          </m:sSub>
          <m:sSub>
            <m:e>
              <m:r>
                <m:t>π</m:t>
              </m:r>
            </m:e>
            <m:sub>
              <m:r>
                <m:t>u</m:t>
              </m:r>
            </m:sub>
          </m:sSub>
          <m:r>
            <m:rPr>
              <m:sty m:val="p"/>
            </m:rPr>
            <m:t>=</m:t>
          </m:r>
          <m:r>
            <m:t>0</m:t>
          </m:r>
          <m:r>
            <m:rPr>
              <m:sty m:val="p"/>
            </m:rPr>
            <m:t>.</m:t>
          </m:r>
        </m:oMath>
      </m:oMathPara>
    </w:p>
    <w:p>
      <w:pPr>
        <w:pStyle w:val="FirstParagraph"/>
      </w:pPr>
      <w:r>
        <w:t xml:space="preserve">This automatically yields, for example, decreasing exceedance probabilities across strikes, exact additivity of adjacent brackets into broader intervals, and zero mass on impossible joint states such as</w:t>
      </w:r>
      <w:r>
        <w:t xml:space="preserve"> </w:t>
      </w:r>
      <m:oMath>
        <m:r>
          <m:t>L</m:t>
        </m:r>
        <m:r>
          <m:rPr>
            <m:sty m:val="p"/>
          </m:rPr>
          <m:t>&gt;</m:t>
        </m:r>
        <m:r>
          <m:t>H</m:t>
        </m:r>
      </m:oMath>
      <w:r>
        <w:t xml:space="preserve">. Incoherent probability assessments are not innocuous noise: they are dominated under proper scoring rules, and in exhaustive or logically related markets they open the door to rebalancing and combinatorial arbitrage.</w:t>
      </w:r>
      <w:r>
        <w:t xml:space="preserve"> </w:t>
      </w:r>
      <w:hyperlink r:id="rId26">
        <w:r>
          <w:rPr>
            <w:rStyle w:val="Hyperlink"/>
          </w:rPr>
          <w:t xml:space="preserve">[10]</w:t>
        </w:r>
      </w:hyperlink>
    </w:p>
    <w:p>
      <w:pPr>
        <w:pStyle w:val="BodyText"/>
      </w:pPr>
      <w:r>
        <w:t xml:space="preserve">The signal layer should run</w:t>
      </w:r>
      <w:r>
        <w:t xml:space="preserve"> </w:t>
      </w:r>
      <w:r>
        <w:rPr>
          <w:b/>
          <w:bCs/>
        </w:rPr>
        <w:t xml:space="preserve">two projections</w:t>
      </w:r>
      <w:r>
        <w:t xml:space="preserve">, not one. First, project the raw forecast model into the coherent family state space:</w:t>
      </w:r>
    </w:p>
    <w:p>
      <w:pPr>
        <w:pStyle w:val="BodyText"/>
      </w:pPr>
      <m:oMathPara>
        <m:oMathParaPr>
          <m:jc m:val="center"/>
        </m:oMathParaPr>
        <m:oMath>
          <m:sSubSup>
            <m:e>
              <m:acc>
                <m:accPr>
                  <m:chr m:val="̂"/>
                </m:accPr>
                <m:e>
                  <m:r>
                    <m:t>π</m:t>
                  </m:r>
                </m:e>
              </m:acc>
            </m:e>
            <m:sub>
              <m:r>
                <m:t>u</m:t>
              </m:r>
            </m:sub>
            <m:sup>
              <m:r>
                <m:t> </m:t>
              </m:r>
              <m:r>
                <m:rPr>
                  <m:nor/>
                  <m:sty m:val="p"/>
                </m:rPr>
                <m:t>mdl</m:t>
              </m:r>
            </m:sup>
          </m:sSubSup>
          <m:r>
            <m:rPr>
              <m:sty m:val="p"/>
            </m:rPr>
            <m:t>=</m:t>
          </m:r>
          <m:r>
            <m:rPr>
              <m:sty m:val="p"/>
            </m:rPr>
            <m:t>arg</m:t>
          </m:r>
          <m:limLow>
            <m:e>
              <m:r>
                <m:rPr>
                  <m:sty m:val="p"/>
                </m:rPr>
                <m:t>min</m:t>
              </m:r>
            </m:e>
            <m:lim>
              <m:r>
                <m:t>π</m:t>
              </m:r>
              <m:r>
                <m:rPr>
                  <m:sty m:val="p"/>
                </m:rPr>
                <m:t>∈</m:t>
              </m:r>
              <m:r>
                <m:t>Δ</m:t>
              </m:r>
              <m:d>
                <m:dPr>
                  <m:begChr m:val="("/>
                  <m:sepChr m:val=""/>
                  <m:endChr m:val=")"/>
                  <m:grow/>
                </m:dPr>
                <m:e>
                  <m:sSub>
                    <m:e>
                      <m:r>
                        <m:rPr>
                          <m:sty m:val="p"/>
                          <m:scr m:val="script"/>
                        </m:rPr>
                        <m:t>S</m:t>
                      </m:r>
                    </m:e>
                    <m:sub>
                      <m:r>
                        <m:t>u</m:t>
                      </m:r>
                    </m:sub>
                  </m:sSub>
                </m:e>
              </m:d>
            </m:lim>
          </m:limLow>
          <m:nary>
            <m:naryPr>
              <m:chr m:val="∑"/>
              <m:limLoc m:val="undOvr"/>
              <m:subHide m:val="off"/>
              <m:supHide m:val="on"/>
            </m:naryPr>
            <m:sub>
              <m:r>
                <m:t>m</m:t>
              </m:r>
              <m:r>
                <m:rPr>
                  <m:sty m:val="p"/>
                </m:rPr>
                <m:t>∈</m:t>
              </m:r>
              <m:sSub>
                <m:e>
                  <m:r>
                    <m:rPr>
                      <m:sty m:val="p"/>
                      <m:scr m:val="script"/>
                    </m:rPr>
                    <m:t>M</m:t>
                  </m:r>
                </m:e>
                <m:sub>
                  <m:r>
                    <m:t>u</m:t>
                  </m:r>
                </m:sub>
              </m:sSub>
            </m:sub>
            <m:sup>
              <m:r>
                <m:t>​</m:t>
              </m:r>
            </m:sup>
            <m:e>
              <m:sSub>
                <m:e>
                  <m:r>
                    <m:t>w</m:t>
                  </m:r>
                </m:e>
                <m:sub>
                  <m:r>
                    <m:t>m</m:t>
                  </m:r>
                </m:sub>
              </m:sSub>
            </m:e>
          </m:nary>
          <m:r>
            <m:t> </m:t>
          </m:r>
          <m:r>
            <m:t>ρ</m:t>
          </m:r>
          <m:r>
            <m:t>​</m:t>
          </m:r>
          <m:d>
            <m:dPr>
              <m:begChr m:val="("/>
              <m:sepChr m:val=""/>
              <m:endChr m:val=")"/>
              <m:grow/>
            </m:dPr>
            <m:e>
              <m:sSubSup>
                <m:e>
                  <m:r>
                    <m:t>a</m:t>
                  </m:r>
                </m:e>
                <m:sub>
                  <m:r>
                    <m:t>m</m:t>
                  </m:r>
                </m:sub>
                <m:sup>
                  <m:r>
                    <m:rPr>
                      <m:sty m:val="p"/>
                    </m:rPr>
                    <m:t>⊤</m:t>
                  </m:r>
                </m:sup>
              </m:sSubSup>
              <m:r>
                <m:t>π</m:t>
              </m:r>
              <m:r>
                <m:rPr>
                  <m:sty m:val="p"/>
                </m:rPr>
                <m:t>−</m:t>
              </m:r>
              <m:sSubSup>
                <m:e>
                  <m:acc>
                    <m:accPr>
                      <m:chr m:val="̃"/>
                    </m:accPr>
                    <m:e>
                      <m:r>
                        <m:t>q</m:t>
                      </m:r>
                    </m:e>
                  </m:acc>
                </m:e>
                <m:sub>
                  <m:r>
                    <m:t>m</m:t>
                  </m:r>
                </m:sub>
                <m:sup>
                  <m:r>
                    <m:t> </m:t>
                  </m:r>
                  <m:r>
                    <m:rPr>
                      <m:nor/>
                      <m:sty m:val="p"/>
                    </m:rPr>
                    <m:t>mdl</m:t>
                  </m:r>
                </m:sup>
              </m:sSubSup>
            </m:e>
          </m:d>
          <m:r>
            <m:rPr>
              <m:sty m:val="p"/>
            </m:rPr>
            <m:t>+</m:t>
          </m:r>
          <m:sSub>
            <m:e>
              <m:r>
                <m:t>λ</m:t>
              </m:r>
            </m:e>
            <m:sub>
              <m:r>
                <m:rPr>
                  <m:nor/>
                  <m:sty m:val="p"/>
                </m:rPr>
                <m:t>prior</m:t>
              </m:r>
            </m:sub>
          </m:sSub>
          <m:r>
            <m:t> </m:t>
          </m:r>
          <m:r>
            <m:rPr>
              <m:sty m:val="p"/>
            </m:rPr>
            <m:t>K</m:t>
          </m:r>
          <m:r>
            <m:rPr>
              <m:sty m:val="p"/>
            </m:rPr>
            <m:t>L</m:t>
          </m:r>
          <m:d>
            <m:dPr>
              <m:begChr m:val="("/>
              <m:sepChr m:val=""/>
              <m:endChr m:val=")"/>
              <m:grow/>
            </m:dPr>
            <m:e>
              <m:r>
                <m:t>π</m:t>
              </m:r>
              <m:r>
                <m:rPr>
                  <m:sty m:val="p"/>
                </m:rPr>
                <m:t>∥</m:t>
              </m:r>
              <m:sSubSup>
                <m:e>
                  <m:r>
                    <m:t>π</m:t>
                  </m:r>
                </m:e>
                <m:sub>
                  <m:r>
                    <m:t>u</m:t>
                  </m:r>
                </m:sub>
                <m:sup>
                  <m:r>
                    <m:rPr>
                      <m:nor/>
                      <m:sty m:val="p"/>
                    </m:rPr>
                    <m:t>prior</m:t>
                  </m:r>
                </m:sup>
              </m:sSubSup>
            </m:e>
          </m:d>
          <m:r>
            <m:rPr>
              <m:sty m:val="p"/>
            </m:rPr>
            <m:t>.</m:t>
          </m:r>
        </m:oMath>
      </m:oMathPara>
    </w:p>
    <w:p>
      <w:pPr>
        <w:pStyle w:val="FirstParagraph"/>
      </w:pPr>
      <w:r>
        <w:t xml:space="preserve">Second, project the</w:t>
      </w:r>
      <w:r>
        <w:t xml:space="preserve"> </w:t>
      </w:r>
      <w:r>
        <w:rPr>
          <w:b/>
          <w:bCs/>
        </w:rPr>
        <w:t xml:space="preserve">market surface</w:t>
      </w:r>
      <w:r>
        <w:t xml:space="preserve"> </w:t>
      </w:r>
      <w:r>
        <w:t xml:space="preserve">into the same coherent space using quote-derived implied probabilities</w:t>
      </w:r>
      <w:r>
        <w:t xml:space="preserve"> </w:t>
      </w:r>
      <m:oMath>
        <m:sSubSup>
          <m:e>
            <m:acc>
              <m:accPr>
                <m:chr m:val="̃"/>
              </m:accPr>
              <m:e>
                <m:r>
                  <m:t>q</m:t>
                </m:r>
              </m:e>
            </m:acc>
          </m:e>
          <m:sub>
            <m:r>
              <m:t>m</m:t>
            </m:r>
          </m:sub>
          <m:sup>
            <m:r>
              <m:t> </m:t>
            </m:r>
            <m:r>
              <m:rPr>
                <m:nor/>
                <m:sty m:val="p"/>
              </m:rPr>
              <m:t>mkt</m:t>
            </m:r>
          </m:sup>
        </m:sSubSup>
      </m:oMath>
      <w:r>
        <w:t xml:space="preserve">, weighted by liquidity:</w:t>
      </w:r>
    </w:p>
    <w:p>
      <w:pPr>
        <w:pStyle w:val="BodyText"/>
      </w:pPr>
      <m:oMathPara>
        <m:oMathParaPr>
          <m:jc m:val="center"/>
        </m:oMathParaPr>
        <m:oMath>
          <m:sSubSup>
            <m:e>
              <m:acc>
                <m:accPr>
                  <m:chr m:val="̂"/>
                </m:accPr>
                <m:e>
                  <m:r>
                    <m:t>π</m:t>
                  </m:r>
                </m:e>
              </m:acc>
            </m:e>
            <m:sub>
              <m:r>
                <m:t>u</m:t>
              </m:r>
            </m:sub>
            <m:sup>
              <m:r>
                <m:t> </m:t>
              </m:r>
              <m:r>
                <m:rPr>
                  <m:nor/>
                  <m:sty m:val="p"/>
                </m:rPr>
                <m:t>mkt</m:t>
              </m:r>
            </m:sup>
          </m:sSubSup>
          <m:r>
            <m:rPr>
              <m:sty m:val="p"/>
            </m:rPr>
            <m:t>=</m:t>
          </m:r>
          <m:r>
            <m:rPr>
              <m:sty m:val="p"/>
            </m:rPr>
            <m:t>arg</m:t>
          </m:r>
          <m:limLow>
            <m:e>
              <m:r>
                <m:rPr>
                  <m:sty m:val="p"/>
                </m:rPr>
                <m:t>min</m:t>
              </m:r>
            </m:e>
            <m:lim>
              <m:r>
                <m:t>π</m:t>
              </m:r>
              <m:r>
                <m:rPr>
                  <m:sty m:val="p"/>
                </m:rPr>
                <m:t>∈</m:t>
              </m:r>
              <m:r>
                <m:t>Δ</m:t>
              </m:r>
              <m:d>
                <m:dPr>
                  <m:begChr m:val="("/>
                  <m:sepChr m:val=""/>
                  <m:endChr m:val=")"/>
                  <m:grow/>
                </m:dPr>
                <m:e>
                  <m:sSub>
                    <m:e>
                      <m:r>
                        <m:rPr>
                          <m:sty m:val="p"/>
                          <m:scr m:val="script"/>
                        </m:rPr>
                        <m:t>S</m:t>
                      </m:r>
                    </m:e>
                    <m:sub>
                      <m:r>
                        <m:t>u</m:t>
                      </m:r>
                    </m:sub>
                  </m:sSub>
                </m:e>
              </m:d>
            </m:lim>
          </m:limLow>
          <m:nary>
            <m:naryPr>
              <m:chr m:val="∑"/>
              <m:limLoc m:val="undOvr"/>
              <m:subHide m:val="off"/>
              <m:supHide m:val="on"/>
            </m:naryPr>
            <m:sub>
              <m:r>
                <m:t>m</m:t>
              </m:r>
              <m:r>
                <m:rPr>
                  <m:sty m:val="p"/>
                </m:rPr>
                <m:t>∈</m:t>
              </m:r>
              <m:sSub>
                <m:e>
                  <m:r>
                    <m:rPr>
                      <m:sty m:val="p"/>
                      <m:scr m:val="script"/>
                    </m:rPr>
                    <m:t>M</m:t>
                  </m:r>
                </m:e>
                <m:sub>
                  <m:r>
                    <m:t>u</m:t>
                  </m:r>
                </m:sub>
              </m:sSub>
            </m:sub>
            <m:sup>
              <m:r>
                <m:t>​</m:t>
              </m:r>
            </m:sup>
            <m:e>
              <m:sSub>
                <m:e>
                  <m:r>
                    <m:t>ω</m:t>
                  </m:r>
                </m:e>
                <m:sub>
                  <m:r>
                    <m:t>m</m:t>
                  </m:r>
                </m:sub>
              </m:sSub>
            </m:e>
          </m:nary>
          <m:r>
            <m:t> </m:t>
          </m:r>
          <m:r>
            <m:t>ρ</m:t>
          </m:r>
          <m:r>
            <m:t>​</m:t>
          </m:r>
          <m:d>
            <m:dPr>
              <m:begChr m:val="("/>
              <m:sepChr m:val=""/>
              <m:endChr m:val=")"/>
              <m:grow/>
            </m:dPr>
            <m:e>
              <m:sSubSup>
                <m:e>
                  <m:r>
                    <m:t>a</m:t>
                  </m:r>
                </m:e>
                <m:sub>
                  <m:r>
                    <m:t>m</m:t>
                  </m:r>
                </m:sub>
                <m:sup>
                  <m:r>
                    <m:rPr>
                      <m:sty m:val="p"/>
                    </m:rPr>
                    <m:t>⊤</m:t>
                  </m:r>
                </m:sup>
              </m:sSubSup>
              <m:r>
                <m:t>π</m:t>
              </m:r>
              <m:r>
                <m:rPr>
                  <m:sty m:val="p"/>
                </m:rPr>
                <m:t>−</m:t>
              </m:r>
              <m:sSubSup>
                <m:e>
                  <m:acc>
                    <m:accPr>
                      <m:chr m:val="̃"/>
                    </m:accPr>
                    <m:e>
                      <m:r>
                        <m:t>q</m:t>
                      </m:r>
                    </m:e>
                  </m:acc>
                </m:e>
                <m:sub>
                  <m:r>
                    <m:t>m</m:t>
                  </m:r>
                </m:sub>
                <m:sup>
                  <m:r>
                    <m:t> </m:t>
                  </m:r>
                  <m:r>
                    <m:rPr>
                      <m:nor/>
                      <m:sty m:val="p"/>
                    </m:rPr>
                    <m:t>mkt</m:t>
                  </m:r>
                </m:sup>
              </m:sSubSup>
            </m:e>
          </m:d>
          <m:r>
            <m:rPr>
              <m:sty m:val="p"/>
            </m:rPr>
            <m:t>.</m:t>
          </m:r>
        </m:oMath>
      </m:oMathPara>
    </w:p>
    <w:p>
      <w:pPr>
        <w:pStyle w:val="FirstParagraph"/>
      </w:pPr>
      <w:r>
        <w:t xml:space="preserve">This gives two independent alpha objects:</w:t>
      </w:r>
    </w:p>
    <w:p>
      <w:pPr>
        <w:pStyle w:val="BodyText"/>
      </w:pPr>
      <m:oMathPara>
        <m:oMathParaPr>
          <m:jc m:val="center"/>
        </m:oMathParaPr>
        <m:oMath>
          <m:sSubSup>
            <m:e>
              <m:r>
                <m:t>α</m:t>
              </m:r>
            </m:e>
            <m:sub>
              <m:r>
                <m:t>m</m:t>
              </m:r>
            </m:sub>
            <m:sup>
              <m:r>
                <m:rPr>
                  <m:nor/>
                  <m:sty m:val="p"/>
                </m:rPr>
                <m:t>fund</m:t>
              </m:r>
            </m:sup>
          </m:sSubSup>
          <m:r>
            <m:rPr>
              <m:sty m:val="p"/>
            </m:rPr>
            <m:t>=</m:t>
          </m:r>
          <m:sSubSup>
            <m:e>
              <m:r>
                <m:t>a</m:t>
              </m:r>
            </m:e>
            <m:sub>
              <m:r>
                <m:t>m</m:t>
              </m:r>
            </m:sub>
            <m:sup>
              <m:r>
                <m:rPr>
                  <m:sty m:val="p"/>
                </m:rPr>
                <m:t>⊤</m:t>
              </m:r>
            </m:sup>
          </m:sSubSup>
          <m:sSubSup>
            <m:e>
              <m:acc>
                <m:accPr>
                  <m:chr m:val="̂"/>
                </m:accPr>
                <m:e>
                  <m:r>
                    <m:t>π</m:t>
                  </m:r>
                </m:e>
              </m:acc>
            </m:e>
            <m:sub>
              <m:r>
                <m:t>u</m:t>
              </m:r>
            </m:sub>
            <m:sup>
              <m:r>
                <m:t> </m:t>
              </m:r>
              <m:r>
                <m:rPr>
                  <m:nor/>
                  <m:sty m:val="p"/>
                </m:rPr>
                <m:t>mdl</m:t>
              </m:r>
            </m:sup>
          </m:sSubSup>
          <m:r>
            <m:rPr>
              <m:sty m:val="p"/>
            </m:rPr>
            <m:t>−</m:t>
          </m:r>
          <m:sSubSup>
            <m:e>
              <m:r>
                <m:t>p</m:t>
              </m:r>
            </m:e>
            <m:sub>
              <m:r>
                <m:t>m</m:t>
              </m:r>
            </m:sub>
            <m:sup>
              <m:r>
                <m:rPr>
                  <m:nor/>
                  <m:sty m:val="p"/>
                </m:rPr>
                <m:t>exec</m:t>
              </m:r>
            </m:sup>
          </m:sSubSup>
          <m:r>
            <m:rPr>
              <m:sty m:val="p"/>
            </m:rPr>
            <m:t>,</m:t>
          </m:r>
          <m:r>
            <m:t>  </m:t>
          </m:r>
          <m:sSubSup>
            <m:e>
              <m:r>
                <m:t>α</m:t>
              </m:r>
            </m:e>
            <m:sub>
              <m:r>
                <m:t>m</m:t>
              </m:r>
            </m:sub>
            <m:sup>
              <m:r>
                <m:rPr>
                  <m:nor/>
                  <m:sty m:val="p"/>
                </m:rPr>
                <m:t>rv</m:t>
              </m:r>
            </m:sup>
          </m:sSubSup>
          <m:r>
            <m:rPr>
              <m:sty m:val="p"/>
            </m:rPr>
            <m:t>=</m:t>
          </m:r>
          <m:sSubSup>
            <m:e>
              <m:r>
                <m:t>a</m:t>
              </m:r>
            </m:e>
            <m:sub>
              <m:r>
                <m:t>m</m:t>
              </m:r>
            </m:sub>
            <m:sup>
              <m:r>
                <m:rPr>
                  <m:sty m:val="p"/>
                </m:rPr>
                <m:t>⊤</m:t>
              </m:r>
            </m:sup>
          </m:sSubSup>
          <m:sSubSup>
            <m:e>
              <m:acc>
                <m:accPr>
                  <m:chr m:val="̂"/>
                </m:accPr>
                <m:e>
                  <m:r>
                    <m:t>π</m:t>
                  </m:r>
                </m:e>
              </m:acc>
            </m:e>
            <m:sub>
              <m:r>
                <m:t>u</m:t>
              </m:r>
            </m:sub>
            <m:sup>
              <m:r>
                <m:t> </m:t>
              </m:r>
              <m:r>
                <m:rPr>
                  <m:nor/>
                  <m:sty m:val="p"/>
                </m:rPr>
                <m:t>mkt</m:t>
              </m:r>
            </m:sup>
          </m:sSubSup>
          <m:r>
            <m:rPr>
              <m:sty m:val="p"/>
            </m:rPr>
            <m:t>−</m:t>
          </m:r>
          <m:sSubSup>
            <m:e>
              <m:acc>
                <m:accPr>
                  <m:chr m:val="̃"/>
                </m:accPr>
                <m:e>
                  <m:r>
                    <m:t>q</m:t>
                  </m:r>
                </m:e>
              </m:acc>
            </m:e>
            <m:sub>
              <m:r>
                <m:t>m</m:t>
              </m:r>
            </m:sub>
            <m:sup>
              <m:r>
                <m:t> </m:t>
              </m:r>
              <m:r>
                <m:rPr>
                  <m:nor/>
                  <m:sty m:val="p"/>
                </m:rPr>
                <m:t>mkt</m:t>
              </m:r>
            </m:sup>
          </m:sSubSup>
          <m:r>
            <m:rPr>
              <m:sty m:val="p"/>
            </m:rPr>
            <m:t>.</m:t>
          </m:r>
        </m:oMath>
      </m:oMathPara>
    </w:p>
    <w:p>
      <w:pPr>
        <w:pStyle w:val="FirstParagraph"/>
      </w:pPr>
      <w:r>
        <w:t xml:space="preserve">The first is</w:t>
      </w:r>
      <w:r>
        <w:t xml:space="preserve"> </w:t>
      </w:r>
      <w:r>
        <w:rPr>
          <w:b/>
          <w:bCs/>
        </w:rPr>
        <w:t xml:space="preserve">fundamental edge</w:t>
      </w:r>
      <w:r>
        <w:t xml:space="preserve"> </w:t>
      </w:r>
      <w:r>
        <w:t xml:space="preserve">versus executable price. The second is</w:t>
      </w:r>
      <w:r>
        <w:t xml:space="preserve"> </w:t>
      </w:r>
      <w:r>
        <w:rPr>
          <w:b/>
          <w:bCs/>
        </w:rPr>
        <w:t xml:space="preserve">structural relative value</w:t>
      </w:r>
      <w:r>
        <w:t xml:space="preserve">: where the quoted surface disagrees with the nearest coherent surface implied by neighboring strikes and related families. The second source is exactly what expands independent alpha breadth, because it can exist even when the directional weather view is flat. Arbitrage-free density fitting is a standard way to price new or illiquid derivatives and to avoid negative or otherwise implausible probabilities; the same idea carries over naturally to weather ladders.</w:t>
      </w:r>
      <w:r>
        <w:t xml:space="preserve"> </w:t>
      </w:r>
      <w:hyperlink r:id="rId25">
        <w:r>
          <w:rPr>
            <w:rStyle w:val="Hyperlink"/>
          </w:rPr>
          <w:t xml:space="preserve">[11]</w:t>
        </w:r>
      </w:hyperlink>
    </w:p>
    <w:p>
      <w:pPr>
        <w:pStyle w:val="BodyText"/>
      </w:pPr>
      <w:r>
        <w:t xml:space="preserve">A strict trading gate should require at least one of the following before a market-side becomes eligible: materially positive</w:t>
      </w:r>
      <w:r>
        <w:t xml:space="preserve"> </w:t>
      </w:r>
      <m:oMath>
        <m:sSup>
          <m:e>
            <m:r>
              <m:t>α</m:t>
            </m:r>
          </m:e>
          <m:sup>
            <m:r>
              <m:rPr>
                <m:nor/>
                <m:sty m:val="p"/>
              </m:rPr>
              <m:t>fund</m:t>
            </m:r>
          </m:sup>
        </m:sSup>
      </m:oMath>
      <w:r>
        <w:t xml:space="preserve">; materially positive</w:t>
      </w:r>
      <w:r>
        <w:t xml:space="preserve"> </w:t>
      </w:r>
      <m:oMath>
        <m:sSup>
          <m:e>
            <m:r>
              <m:t>α</m:t>
            </m:r>
          </m:e>
          <m:sup>
            <m:r>
              <m:rPr>
                <m:nor/>
                <m:sty m:val="p"/>
              </m:rPr>
              <m:t>rv</m:t>
            </m:r>
          </m:sup>
        </m:sSup>
      </m:oMath>
      <w:r>
        <w:t xml:space="preserve">; or a package trade whose</w:t>
      </w:r>
      <w:r>
        <w:t xml:space="preserve"> </w:t>
      </w:r>
      <w:r>
        <w:rPr>
          <w:b/>
          <w:bCs/>
        </w:rPr>
        <w:t xml:space="preserve">family-level worst-case loss</w:t>
      </w:r>
      <w:r>
        <w:t xml:space="preserve"> </w:t>
      </w:r>
      <w:r>
        <w:t xml:space="preserve">is bounded while the package-level expected log-growth is positive. That is how the framework turns raw probability signals into coherent orders instead of into a bag of locally good-looking, globally contradictory trades.</w:t>
      </w:r>
      <w:r>
        <w:t xml:space="preserve"> </w:t>
      </w:r>
      <w:hyperlink r:id="rId27">
        <w:r>
          <w:rPr>
            <w:rStyle w:val="Hyperlink"/>
          </w:rPr>
          <w:t xml:space="preserve">[12]</w:t>
        </w:r>
      </w:hyperlink>
    </w:p>
    <w:bookmarkEnd w:id="28"/>
    <w:bookmarkStart w:id="31" w:name="portfolio-construction-and-sizing"/>
    <w:p>
      <w:pPr>
        <w:pStyle w:val="Heading2"/>
      </w:pPr>
      <w:r>
        <w:t xml:space="preserve">Portfolio construction and sizing</w:t>
      </w:r>
    </w:p>
    <w:p>
      <w:pPr>
        <w:pStyle w:val="FirstParagraph"/>
      </w:pPr>
      <w:r>
        <w:t xml:space="preserve">Let an executable candidate order be indexed by</w:t>
      </w:r>
      <w:r>
        <w:t xml:space="preserve"> </w:t>
      </w:r>
      <m:oMath>
        <m:r>
          <m:t>k</m:t>
        </m:r>
        <m:r>
          <m:rPr>
            <m:sty m:val="p"/>
          </m:rPr>
          <m:t>=</m:t>
        </m:r>
        <m:d>
          <m:dPr>
            <m:begChr m:val="("/>
            <m:sepChr m:val=""/>
            <m:endChr m:val=")"/>
            <m:grow/>
          </m:dPr>
          <m:e>
            <m:r>
              <m:t>m</m:t>
            </m:r>
            <m:r>
              <m:rPr>
                <m:sty m:val="p"/>
              </m:rPr>
              <m:t>,</m:t>
            </m:r>
            <m:r>
              <m:t>s</m:t>
            </m:r>
            <m:r>
              <m:rPr>
                <m:sty m:val="p"/>
              </m:rPr>
              <m:t>,</m:t>
            </m:r>
            <m:r>
              <m:t>o</m:t>
            </m:r>
            <m:r>
              <m:rPr>
                <m:sty m:val="p"/>
              </m:rPr>
              <m:t>,</m:t>
            </m:r>
            <m:r>
              <m:rPr>
                <m:sty m:val="p"/>
              </m:rPr>
              <m:t>ℓ</m:t>
            </m:r>
          </m:e>
        </m:d>
      </m:oMath>
      <w:r>
        <w:t xml:space="preserve">: market</w:t>
      </w:r>
      <w:r>
        <w:t xml:space="preserve"> </w:t>
      </w:r>
      <m:oMath>
        <m:r>
          <m:t>m</m:t>
        </m:r>
      </m:oMath>
      <w:r>
        <w:t xml:space="preserve">, side</w:t>
      </w:r>
      <w:r>
        <w:t xml:space="preserve"> </w:t>
      </w:r>
      <m:oMath>
        <m:r>
          <m:t>s</m:t>
        </m:r>
      </m:oMath>
      <w:r>
        <w:t xml:space="preserve">, order style</w:t>
      </w:r>
      <w:r>
        <w:t xml:space="preserve"> </w:t>
      </w:r>
      <m:oMath>
        <m:r>
          <m:t>o</m:t>
        </m:r>
        <m:r>
          <m:rPr>
            <m:sty m:val="p"/>
          </m:rPr>
          <m:t>∈</m:t>
        </m:r>
        <m:r>
          <m:rPr>
            <m:sty m:val="p"/>
          </m:rPr>
          <m:t>{</m:t>
        </m:r>
        <m:r>
          <m:rPr>
            <m:nor/>
            <m:sty m:val="p"/>
          </m:rPr>
          <m:t>maker</m:t>
        </m:r>
        <m:r>
          <m:rPr>
            <m:sty m:val="p"/>
          </m:rPr>
          <m:t>,</m:t>
        </m:r>
        <m:r>
          <m:rPr>
            <m:nor/>
            <m:sty m:val="p"/>
          </m:rPr>
          <m:t>taker</m:t>
        </m:r>
        <m:r>
          <m:rPr>
            <m:sty m:val="p"/>
          </m:rPr>
          <m:t>}</m:t>
        </m:r>
      </m:oMath>
      <w:r>
        <w:t xml:space="preserve">, and price level</w:t>
      </w:r>
      <w:r>
        <w:t xml:space="preserve"> </w:t>
      </w:r>
      <m:oMath>
        <m:r>
          <m:rPr>
            <m:sty m:val="p"/>
          </m:rPr>
          <m:t>ℓ</m:t>
        </m:r>
      </m:oMath>
      <w:r>
        <w:t xml:space="preserve">. Let</w:t>
      </w:r>
      <w:r>
        <w:t xml:space="preserve"> </w:t>
      </w:r>
      <m:oMath>
        <m:sSub>
          <m:e>
            <m:r>
              <m:t>n</m:t>
            </m:r>
          </m:e>
          <m:sub>
            <m:r>
              <m:t>k</m:t>
            </m:r>
          </m:sub>
        </m:sSub>
      </m:oMath>
      <w:r>
        <w:t xml:space="preserve"> </w:t>
      </w:r>
      <w:r>
        <w:t xml:space="preserve">be submitted contracts. Let</w:t>
      </w:r>
      <w:r>
        <w:t xml:space="preserve"> </w:t>
      </w:r>
      <m:oMath>
        <m:sSub>
          <m:e>
            <m:r>
              <m:t>F</m:t>
            </m:r>
          </m:e>
          <m:sub>
            <m:r>
              <m:t>k</m:t>
            </m:r>
            <m:r>
              <m:rPr>
                <m:sty m:val="p"/>
              </m:rPr>
              <m:t>,</m:t>
            </m:r>
            <m:r>
              <m:t>ξ</m:t>
            </m:r>
          </m:sub>
        </m:sSub>
        <m:r>
          <m:rPr>
            <m:sty m:val="p"/>
          </m:rPr>
          <m:t>∈</m:t>
        </m:r>
        <m:d>
          <m:dPr>
            <m:begChr m:val="["/>
            <m:sepChr m:val=""/>
            <m:endChr m:val="]"/>
            <m:grow/>
          </m:dPr>
          <m:e>
            <m:r>
              <m:t>0</m:t>
            </m:r>
            <m:r>
              <m:rPr>
                <m:sty m:val="p"/>
              </m:rPr>
              <m:t>,</m:t>
            </m:r>
            <m:r>
              <m:t>1</m:t>
            </m:r>
          </m:e>
        </m:d>
      </m:oMath>
      <w:r>
        <w:t xml:space="preserve"> </w:t>
      </w:r>
      <w:r>
        <w:t xml:space="preserve">be the realized fill fraction under execution scenario</w:t>
      </w:r>
      <w:r>
        <w:t xml:space="preserve"> </w:t>
      </w:r>
      <m:oMath>
        <m:r>
          <m:t>ξ</m:t>
        </m:r>
      </m:oMath>
      <w:r>
        <w:t xml:space="preserve">,</w:t>
      </w:r>
      <w:r>
        <w:t xml:space="preserve"> </w:t>
      </w:r>
      <m:oMath>
        <m:sSubSup>
          <m:e>
            <m:r>
              <m:t>P</m:t>
            </m:r>
          </m:e>
          <m:sub>
            <m:r>
              <m:t>k</m:t>
            </m:r>
            <m:r>
              <m:rPr>
                <m:sty m:val="p"/>
              </m:rPr>
              <m:t>,</m:t>
            </m:r>
            <m:r>
              <m:t>ξ</m:t>
            </m:r>
          </m:sub>
          <m:sup>
            <m:r>
              <m:rPr>
                <m:nor/>
                <m:sty m:val="p"/>
              </m:rPr>
              <m:t>fill</m:t>
            </m:r>
          </m:sup>
        </m:sSubSup>
      </m:oMath>
      <w:r>
        <w:t xml:space="preserve"> </w:t>
      </w:r>
      <w:r>
        <w:t xml:space="preserve">the realized fill price,</w:t>
      </w:r>
      <w:r>
        <w:t xml:space="preserve"> </w:t>
      </w:r>
      <m:oMath>
        <m:sSub>
          <m:e>
            <m:r>
              <m:t>ϕ</m:t>
            </m:r>
          </m:e>
          <m:sub>
            <m:r>
              <m:t>k</m:t>
            </m:r>
            <m:r>
              <m:rPr>
                <m:sty m:val="p"/>
              </m:rPr>
              <m:t>,</m:t>
            </m:r>
            <m:r>
              <m:t>ξ</m:t>
            </m:r>
          </m:sub>
        </m:sSub>
      </m:oMath>
      <w:r>
        <w:t xml:space="preserve"> </w:t>
      </w:r>
      <w:r>
        <w:t xml:space="preserve">the exchange fee, and</w:t>
      </w:r>
      <w:r>
        <w:t xml:space="preserve"> </w:t>
      </w:r>
      <m:oMath>
        <m:sSub>
          <m:e>
            <m:r>
              <m:t>y</m:t>
            </m:r>
          </m:e>
          <m:sub>
            <m:r>
              <m:t>k</m:t>
            </m:r>
          </m:sub>
        </m:sSub>
        <m:d>
          <m:dPr>
            <m:begChr m:val="("/>
            <m:sepChr m:val=""/>
            <m:endChr m:val=")"/>
            <m:grow/>
          </m:dPr>
          <m:e>
            <m:r>
              <m:t>z</m:t>
            </m:r>
          </m:e>
        </m:d>
        <m:r>
          <m:rPr>
            <m:sty m:val="p"/>
          </m:rPr>
          <m:t>∈</m:t>
        </m:r>
        <m:r>
          <m:rPr>
            <m:sty m:val="p"/>
          </m:rPr>
          <m:t>{</m:t>
        </m:r>
        <m:r>
          <m:t>0</m:t>
        </m:r>
        <m:r>
          <m:rPr>
            <m:sty m:val="p"/>
          </m:rPr>
          <m:t>,</m:t>
        </m:r>
        <m:r>
          <m:t>1</m:t>
        </m:r>
        <m:r>
          <m:rPr>
            <m:sty m:val="p"/>
          </m:rPr>
          <m:t>}</m:t>
        </m:r>
      </m:oMath>
      <w:r>
        <w:t xml:space="preserve"> </w:t>
      </w:r>
      <w:r>
        <w:t xml:space="preserve">the contract payout in weather state</w:t>
      </w:r>
      <w:r>
        <w:t xml:space="preserve"> </w:t>
      </w:r>
      <m:oMath>
        <m:r>
          <m:t>z</m:t>
        </m:r>
      </m:oMath>
      <w:r>
        <w:t xml:space="preserve">. Realized P\&amp;L contribution is</w:t>
      </w:r>
    </w:p>
    <w:p>
      <w:pPr>
        <w:pStyle w:val="BodyText"/>
      </w:pPr>
      <m:oMathPara>
        <m:oMathParaPr>
          <m:jc m:val="center"/>
        </m:oMathParaPr>
        <m:oMath>
          <m:sSub>
            <m:e>
              <m:r>
                <m:t>Π</m:t>
              </m:r>
            </m:e>
            <m:sub>
              <m:r>
                <m:t>k</m:t>
              </m:r>
            </m:sub>
          </m:sSub>
          <m:d>
            <m:dPr>
              <m:begChr m:val="("/>
              <m:sepChr m:val=""/>
              <m:endChr m:val=")"/>
              <m:grow/>
            </m:dPr>
            <m:e>
              <m:r>
                <m:t>z</m:t>
              </m:r>
              <m:r>
                <m:rPr>
                  <m:sty m:val="p"/>
                </m:rPr>
                <m:t>,</m:t>
              </m:r>
              <m:r>
                <m:t>ξ</m:t>
              </m:r>
            </m:e>
          </m:d>
          <m:r>
            <m:rPr>
              <m:sty m:val="p"/>
            </m:rPr>
            <m:t>=</m:t>
          </m:r>
          <m:sSub>
            <m:e>
              <m:r>
                <m:t>n</m:t>
              </m:r>
            </m:e>
            <m:sub>
              <m:r>
                <m:t>k</m:t>
              </m:r>
            </m:sub>
          </m:sSub>
          <m:r>
            <m:t> </m:t>
          </m:r>
          <m:sSub>
            <m:e>
              <m:r>
                <m:t>F</m:t>
              </m:r>
            </m:e>
            <m:sub>
              <m:r>
                <m:t>k</m:t>
              </m:r>
              <m:r>
                <m:rPr>
                  <m:sty m:val="p"/>
                </m:rPr>
                <m:t>,</m:t>
              </m:r>
              <m:r>
                <m:t>ξ</m:t>
              </m:r>
            </m:sub>
          </m:sSub>
          <m:r>
            <m:t> </m:t>
          </m:r>
          <m:d>
            <m:dPr>
              <m:begChr m:val="("/>
              <m:sepChr m:val=""/>
              <m:endChr m:val=")"/>
              <m:grow/>
            </m:dPr>
            <m:e>
              <m:sSub>
                <m:e>
                  <m:r>
                    <m:t>y</m:t>
                  </m:r>
                </m:e>
                <m:sub>
                  <m:r>
                    <m:t>k</m:t>
                  </m:r>
                </m:sub>
              </m:sSub>
              <m:d>
                <m:dPr>
                  <m:begChr m:val="("/>
                  <m:sepChr m:val=""/>
                  <m:endChr m:val=")"/>
                  <m:grow/>
                </m:dPr>
                <m:e>
                  <m:r>
                    <m:t>z</m:t>
                  </m:r>
                </m:e>
              </m:d>
              <m:r>
                <m:rPr>
                  <m:sty m:val="p"/>
                </m:rPr>
                <m:t>−</m:t>
              </m:r>
              <m:sSubSup>
                <m:e>
                  <m:r>
                    <m:t>P</m:t>
                  </m:r>
                </m:e>
                <m:sub>
                  <m:r>
                    <m:t>k</m:t>
                  </m:r>
                  <m:r>
                    <m:rPr>
                      <m:sty m:val="p"/>
                    </m:rPr>
                    <m:t>,</m:t>
                  </m:r>
                  <m:r>
                    <m:t>ξ</m:t>
                  </m:r>
                </m:sub>
                <m:sup>
                  <m:r>
                    <m:rPr>
                      <m:nor/>
                      <m:sty m:val="p"/>
                    </m:rPr>
                    <m:t>fill</m:t>
                  </m:r>
                </m:sup>
              </m:sSubSup>
              <m:r>
                <m:rPr>
                  <m:sty m:val="p"/>
                </m:rPr>
                <m:t>−</m:t>
              </m:r>
              <m:sSub>
                <m:e>
                  <m:r>
                    <m:t>ϕ</m:t>
                  </m:r>
                </m:e>
                <m:sub>
                  <m:r>
                    <m:t>k</m:t>
                  </m:r>
                  <m:r>
                    <m:rPr>
                      <m:sty m:val="p"/>
                    </m:rPr>
                    <m:t>,</m:t>
                  </m:r>
                  <m:r>
                    <m:t>ξ</m:t>
                  </m:r>
                </m:sub>
              </m:sSub>
            </m:e>
          </m:d>
          <m:r>
            <m:rPr>
              <m:sty m:val="p"/>
            </m:rPr>
            <m:t>.</m:t>
          </m:r>
        </m:oMath>
      </m:oMathPara>
    </w:p>
    <w:p>
      <w:pPr>
        <w:pStyle w:val="FirstParagraph"/>
      </w:pPr>
      <w:r>
        <w:t xml:space="preserve">The full execution-aware objective is</w:t>
      </w:r>
    </w:p>
    <w:p>
      <w:pPr>
        <w:pStyle w:val="BodyText"/>
      </w:pPr>
      <m:oMathPara>
        <m:oMathParaPr>
          <m:jc m:val="center"/>
        </m:oMathParaPr>
        <m:oMath>
          <m:limLow>
            <m:e>
              <m:r>
                <m:rPr>
                  <m:sty m:val="p"/>
                </m:rPr>
                <m:t>max</m:t>
              </m:r>
            </m:e>
            <m:lim>
              <m:r>
                <m:t>n</m:t>
              </m:r>
              <m:r>
                <m:rPr>
                  <m:sty m:val="p"/>
                </m:rPr>
                <m:t>≥</m:t>
              </m:r>
              <m:r>
                <m:t>0</m:t>
              </m:r>
            </m:lim>
          </m:limLow>
          <m:r>
            <m:t> </m:t>
          </m:r>
          <m:sSub>
            <m:e>
              <m:r>
                <m:rPr>
                  <m:sty m:val="p"/>
                  <m:scr m:val="double-struck"/>
                </m:rPr>
                <m:t>E</m:t>
              </m:r>
            </m:e>
            <m:sub>
              <m:r>
                <m:t>z</m:t>
              </m:r>
              <m:r>
                <m:rPr>
                  <m:sty m:val="p"/>
                </m:rPr>
                <m:t>,</m:t>
              </m:r>
              <m:r>
                <m:t>ξ</m:t>
              </m:r>
            </m:sub>
          </m:sSub>
          <m:r>
            <m:t>​</m:t>
          </m:r>
          <m:d>
            <m:dPr>
              <m:begChr m:val="["/>
              <m:sepChr m:val=""/>
              <m:endChr m:val="]"/>
              <m:grow/>
            </m:dPr>
            <m:e>
              <m:r>
                <m:rPr>
                  <m:sty m:val="p"/>
                </m:rPr>
                <m:t>log</m:t>
              </m:r>
              <m:r>
                <m:t>​</m:t>
              </m:r>
              <m:d>
                <m:dPr>
                  <m:begChr m:val="("/>
                  <m:sepChr m:val=""/>
                  <m:endChr m:val=")"/>
                  <m:grow/>
                </m:dPr>
                <m:e>
                  <m:sSub>
                    <m:e>
                      <m:r>
                        <m:t>W</m:t>
                      </m:r>
                    </m:e>
                    <m:sub>
                      <m:r>
                        <m:t>0</m:t>
                      </m:r>
                    </m:sub>
                  </m:sSub>
                  <m:r>
                    <m:rPr>
                      <m:sty m:val="p"/>
                    </m:rPr>
                    <m:t>+</m:t>
                  </m:r>
                  <m:nary>
                    <m:naryPr>
                      <m:chr m:val="∑"/>
                      <m:limLoc m:val="undOvr"/>
                      <m:subHide m:val="off"/>
                      <m:supHide m:val="on"/>
                    </m:naryPr>
                    <m:sub>
                      <m:r>
                        <m:t>k</m:t>
                      </m:r>
                    </m:sub>
                    <m:sup>
                      <m:r>
                        <m:t>​</m:t>
                      </m:r>
                    </m:sup>
                    <m:e>
                      <m:sSub>
                        <m:e>
                          <m:r>
                            <m:t>Π</m:t>
                          </m:r>
                        </m:e>
                        <m:sub>
                          <m:r>
                            <m:t>k</m:t>
                          </m:r>
                        </m:sub>
                      </m:sSub>
                    </m:e>
                  </m:nary>
                  <m:d>
                    <m:dPr>
                      <m:begChr m:val="("/>
                      <m:sepChr m:val=""/>
                      <m:endChr m:val=")"/>
                      <m:grow/>
                    </m:dPr>
                    <m:e>
                      <m:r>
                        <m:t>z</m:t>
                      </m:r>
                      <m:r>
                        <m:rPr>
                          <m:sty m:val="p"/>
                        </m:rPr>
                        <m:t>,</m:t>
                      </m:r>
                      <m:r>
                        <m:t>ξ</m:t>
                      </m:r>
                    </m:e>
                  </m:d>
                </m:e>
              </m:d>
            </m:e>
          </m:d>
        </m:oMath>
      </m:oMathPara>
    </w:p>
    <w:p>
      <w:pPr>
        <w:pStyle w:val="FirstParagraph"/>
      </w:pPr>
      <w:r>
        <w:t xml:space="preserve">subject to hard capital and concentration limits. This is the direct bankroll-growth formulation. When a faster production approximation is needed, use the second-order surrogate</w:t>
      </w:r>
    </w:p>
    <w:p>
      <w:pPr>
        <w:pStyle w:val="BodyText"/>
      </w:pPr>
      <m:oMathPara>
        <m:oMathParaPr>
          <m:jc m:val="center"/>
        </m:oMathParaPr>
        <m:oMath>
          <m:limLow>
            <m:e>
              <m:r>
                <m:rPr>
                  <m:sty m:val="p"/>
                </m:rPr>
                <m:t>max</m:t>
              </m:r>
            </m:e>
            <m:lim>
              <m:r>
                <m:t>n</m:t>
              </m:r>
              <m:r>
                <m:rPr>
                  <m:sty m:val="p"/>
                </m:rPr>
                <m:t>≥</m:t>
              </m:r>
              <m:r>
                <m:t>0</m:t>
              </m:r>
            </m:lim>
          </m:limLow>
          <m:r>
            <m:t> </m:t>
          </m:r>
          <m:sSup>
            <m:e>
              <m:r>
                <m:t>μ</m:t>
              </m:r>
            </m:e>
            <m:sup>
              <m:r>
                <m:rPr>
                  <m:sty m:val="p"/>
                </m:rPr>
                <m:t>⊤</m:t>
              </m:r>
            </m:sup>
          </m:sSup>
          <m:r>
            <m:t>n</m:t>
          </m:r>
          <m:r>
            <m:rPr>
              <m:sty m:val="p"/>
            </m:rPr>
            <m:t>−</m:t>
          </m:r>
          <m:f>
            <m:fPr>
              <m:type m:val="bar"/>
            </m:fPr>
            <m:num>
              <m:r>
                <m:t>γ</m:t>
              </m:r>
            </m:num>
            <m:den>
              <m:r>
                <m:t>2</m:t>
              </m:r>
            </m:den>
          </m:f>
          <m:sSup>
            <m:e>
              <m:r>
                <m:t>n</m:t>
              </m:r>
            </m:e>
            <m:sup>
              <m:r>
                <m:rPr>
                  <m:sty m:val="p"/>
                </m:rPr>
                <m:t>⊤</m:t>
              </m:r>
            </m:sup>
          </m:sSup>
          <m:r>
            <m:t>Σ</m:t>
          </m:r>
          <m:r>
            <m:t>n</m:t>
          </m:r>
          <m:r>
            <m:rPr>
              <m:sty m:val="p"/>
            </m:rPr>
            <m:t>−</m:t>
          </m:r>
          <m:sSup>
            <m:e>
              <m:r>
                <m:t>κ</m:t>
              </m:r>
            </m:e>
            <m:sup>
              <m:r>
                <m:rPr>
                  <m:sty m:val="p"/>
                </m:rPr>
                <m:t>⊤</m:t>
              </m:r>
            </m:sup>
          </m:sSup>
          <m:r>
            <m:t>n</m:t>
          </m:r>
          <m:r>
            <m:rPr>
              <m:sty m:val="p"/>
            </m:rPr>
            <m:t>,</m:t>
          </m:r>
        </m:oMath>
      </m:oMathPara>
    </w:p>
    <w:p>
      <w:pPr>
        <w:pStyle w:val="FirstParagraph"/>
      </w:pPr>
      <w:r>
        <w:t xml:space="preserve">where</w:t>
      </w:r>
      <w:r>
        <w:t xml:space="preserve"> </w:t>
      </w:r>
      <m:oMath>
        <m:sSub>
          <m:e>
            <m:r>
              <m:t>μ</m:t>
            </m:r>
          </m:e>
          <m:sub>
            <m:r>
              <m:t>k</m:t>
            </m:r>
          </m:sub>
        </m:sSub>
        <m:r>
          <m:rPr>
            <m:sty m:val="p"/>
          </m:rPr>
          <m:t>=</m:t>
        </m:r>
        <m:r>
          <m:rPr>
            <m:sty m:val="p"/>
            <m:scr m:val="double-struck"/>
          </m:rPr>
          <m:t>E</m:t>
        </m:r>
        <m:d>
          <m:dPr>
            <m:begChr m:val="["/>
            <m:sepChr m:val=""/>
            <m:endChr m:val="]"/>
            <m:grow/>
          </m:dPr>
          <m:e>
            <m:sSub>
              <m:e>
                <m:r>
                  <m:t>Π</m:t>
                </m:r>
              </m:e>
              <m:sub>
                <m:r>
                  <m:t>k</m:t>
                </m:r>
              </m:sub>
            </m:sSub>
          </m:e>
        </m:d>
      </m:oMath>
      <w:r>
        <w:t xml:space="preserve">,</w:t>
      </w:r>
      <w:r>
        <w:t xml:space="preserve"> </w:t>
      </w:r>
      <m:oMath>
        <m:r>
          <m:t>Σ</m:t>
        </m:r>
      </m:oMath>
      <w:r>
        <w:t xml:space="preserve"> </w:t>
      </w:r>
      <w:r>
        <w:t xml:space="preserve">is the scenario covariance of candidate P\&amp;Ls, and</w:t>
      </w:r>
      <w:r>
        <w:t xml:space="preserve"> </w:t>
      </w:r>
      <m:oMath>
        <m:r>
          <m:t>κ</m:t>
        </m:r>
      </m:oMath>
      <w:r>
        <w:t xml:space="preserve"> </w:t>
      </w:r>
      <w:r>
        <w:t xml:space="preserve">captures fixed or route-specific cost penalties. That approximation is consistent with the link between log-growth problems, risk-constrained Kelly formulations, and mean-variance-like portfolio optimization under transaction costs and diversification limits.</w:t>
      </w:r>
      <w:r>
        <w:t xml:space="preserve"> </w:t>
      </w:r>
      <w:hyperlink r:id="rId29">
        <w:r>
          <w:rPr>
            <w:rStyle w:val="Hyperlink"/>
          </w:rPr>
          <w:t xml:space="preserve">[13]</w:t>
        </w:r>
      </w:hyperlink>
    </w:p>
    <w:p>
      <w:pPr>
        <w:pStyle w:val="BodyText"/>
      </w:pPr>
      <w:r>
        <w:t xml:space="preserve">The core hard constraints should be written on</w:t>
      </w:r>
      <w:r>
        <w:t xml:space="preserve"> </w:t>
      </w:r>
      <w:r>
        <w:rPr>
          <w:b/>
          <w:bCs/>
        </w:rPr>
        <w:t xml:space="preserve">worst-case risk capital per filled contract</w:t>
      </w:r>
      <w:r>
        <w:t xml:space="preserve">,</w:t>
      </w:r>
      <w:r>
        <w:t xml:space="preserve"> </w:t>
      </w:r>
      <m:oMath>
        <m:sSub>
          <m:e>
            <m:r>
              <m:t>c</m:t>
            </m:r>
          </m:e>
          <m:sub>
            <m:r>
              <m:t>k</m:t>
            </m:r>
          </m:sub>
        </m:sSub>
      </m:oMath>
      <w:r>
        <w:t xml:space="preserve">, not on naive quantity. For a YES buy at price</w:t>
      </w:r>
      <w:r>
        <w:t xml:space="preserve"> </w:t>
      </w:r>
      <m:oMath>
        <m:r>
          <m:t>p</m:t>
        </m:r>
      </m:oMath>
      <w:r>
        <w:t xml:space="preserve">,</w:t>
      </w:r>
      <w:r>
        <w:t xml:space="preserve"> </w:t>
      </w:r>
      <m:oMath>
        <m:sSub>
          <m:e>
            <m:r>
              <m:t>c</m:t>
            </m:r>
          </m:e>
          <m:sub>
            <m:r>
              <m:t>k</m:t>
            </m:r>
          </m:sub>
        </m:sSub>
        <m:r>
          <m:rPr>
            <m:sty m:val="p"/>
          </m:rPr>
          <m:t>≈</m:t>
        </m:r>
        <m:r>
          <m:t>p</m:t>
        </m:r>
        <m:r>
          <m:rPr>
            <m:sty m:val="p"/>
          </m:rPr>
          <m:t>+</m:t>
        </m:r>
        <m:sSub>
          <m:e>
            <m:r>
              <m:t>ϕ</m:t>
            </m:r>
          </m:e>
          <m:sub>
            <m:r>
              <m:t>k</m:t>
            </m:r>
          </m:sub>
        </m:sSub>
      </m:oMath>
      <w:r>
        <w:t xml:space="preserve">; for a NO buy,</w:t>
      </w:r>
      <w:r>
        <w:t xml:space="preserve"> </w:t>
      </w:r>
      <m:oMath>
        <m:sSub>
          <m:e>
            <m:r>
              <m:t>c</m:t>
            </m:r>
          </m:e>
          <m:sub>
            <m:r>
              <m:t>k</m:t>
            </m:r>
          </m:sub>
        </m:sSub>
        <m:r>
          <m:rPr>
            <m:sty m:val="p"/>
          </m:rPr>
          <m:t>≈</m:t>
        </m:r>
        <m:d>
          <m:dPr>
            <m:begChr m:val="("/>
            <m:sepChr m:val=""/>
            <m:endChr m:val=")"/>
            <m:grow/>
          </m:dPr>
          <m:e>
            <m:r>
              <m:t>1</m:t>
            </m:r>
            <m:r>
              <m:rPr>
                <m:sty m:val="p"/>
              </m:rPr>
              <m:t>−</m:t>
            </m:r>
            <m:r>
              <m:t>p</m:t>
            </m:r>
          </m:e>
        </m:d>
        <m:r>
          <m:rPr>
            <m:sty m:val="p"/>
          </m:rPr>
          <m:t>+</m:t>
        </m:r>
        <m:sSub>
          <m:e>
            <m:r>
              <m:t>ϕ</m:t>
            </m:r>
          </m:e>
          <m:sub>
            <m:r>
              <m:t>k</m:t>
            </m:r>
          </m:sub>
        </m:sSub>
      </m:oMath>
      <w:r>
        <w:t xml:space="preserve">. Then impose the requested global and hierarchical caps:</w:t>
      </w:r>
    </w:p>
    <w:p>
      <w:pPr>
        <w:pStyle w:val="BodyText"/>
      </w:pPr>
      <m:oMathPara>
        <m:oMathParaPr>
          <m:jc m:val="center"/>
        </m:oMathParaPr>
        <m:oMath>
          <m:nary>
            <m:naryPr>
              <m:chr m:val="∑"/>
              <m:limLoc m:val="undOvr"/>
              <m:subHide m:val="off"/>
              <m:supHide m:val="on"/>
            </m:naryPr>
            <m:sub>
              <m:r>
                <m:t>k</m:t>
              </m:r>
            </m:sub>
            <m:sup>
              <m:r>
                <m:t>​</m:t>
              </m:r>
            </m:sup>
            <m:e>
              <m:sSub>
                <m:e>
                  <m:r>
                    <m:t>c</m:t>
                  </m:r>
                </m:e>
                <m:sub>
                  <m:r>
                    <m:t>k</m:t>
                  </m:r>
                </m:sub>
              </m:sSub>
            </m:e>
          </m:nary>
          <m:sSub>
            <m:e>
              <m:r>
                <m:t>n</m:t>
              </m:r>
            </m:e>
            <m:sub>
              <m:r>
                <m:t>k</m:t>
              </m:r>
            </m:sub>
          </m:sSub>
          <m:r>
            <m:rPr>
              <m:sty m:val="p"/>
            </m:rPr>
            <m:t>≤</m:t>
          </m:r>
          <m:sSub>
            <m:e>
              <m:r>
                <m:t>C</m:t>
              </m:r>
            </m:e>
            <m:sub>
              <m:r>
                <m:rPr>
                  <m:nor/>
                  <m:sty m:val="p"/>
                </m:rPr>
                <m:t>total</m:t>
              </m:r>
            </m:sub>
          </m:sSub>
        </m:oMath>
      </m:oMathPara>
    </w:p>
    <w:p>
      <w:pPr>
        <w:pStyle w:val="FirstParagraph"/>
      </w:pPr>
      <m:oMathPara>
        <m:oMathParaPr>
          <m:jc m:val="center"/>
        </m:oMathParaPr>
        <m:oMath>
          <m:nary>
            <m:naryPr>
              <m:chr m:val="∑"/>
              <m:limLoc m:val="undOvr"/>
              <m:subHide m:val="off"/>
              <m:supHide m:val="on"/>
            </m:naryPr>
            <m:sub>
              <m:r>
                <m:t>k</m:t>
              </m:r>
              <m:r>
                <m:rPr>
                  <m:sty m:val="p"/>
                </m:rPr>
                <m:t>∈</m:t>
              </m:r>
              <m:sSub>
                <m:e>
                  <m:r>
                    <m:rPr>
                      <m:sty m:val="p"/>
                      <m:scr m:val="script"/>
                    </m:rPr>
                    <m:t>K</m:t>
                  </m:r>
                </m:e>
                <m:sub>
                  <m:r>
                    <m:t>m</m:t>
                  </m:r>
                  <m:r>
                    <m:rPr>
                      <m:sty m:val="p"/>
                    </m:rPr>
                    <m:t>,</m:t>
                  </m:r>
                  <m:r>
                    <m:t>s</m:t>
                  </m:r>
                </m:sub>
              </m:sSub>
            </m:sub>
            <m:sup>
              <m:r>
                <m:t>​</m:t>
              </m:r>
            </m:sup>
            <m:e>
              <m:sSub>
                <m:e>
                  <m:r>
                    <m:t>c</m:t>
                  </m:r>
                </m:e>
                <m:sub>
                  <m:r>
                    <m:t>k</m:t>
                  </m:r>
                </m:sub>
              </m:sSub>
            </m:e>
          </m:nary>
          <m:sSub>
            <m:e>
              <m:r>
                <m:t>n</m:t>
              </m:r>
            </m:e>
            <m:sub>
              <m:r>
                <m:t>k</m:t>
              </m:r>
            </m:sub>
          </m:sSub>
          <m:r>
            <m:rPr>
              <m:sty m:val="p"/>
            </m:rPr>
            <m:t>≤</m:t>
          </m:r>
          <m:sSubSup>
            <m:e>
              <m:r>
                <m:t>C</m:t>
              </m:r>
            </m:e>
            <m:sub>
              <m:r>
                <m:t>m</m:t>
              </m:r>
              <m:r>
                <m:rPr>
                  <m:sty m:val="p"/>
                </m:rPr>
                <m:t>,</m:t>
              </m:r>
              <m:r>
                <m:t>s</m:t>
              </m:r>
            </m:sub>
            <m:sup>
              <m:r>
                <m:rPr>
                  <m:nor/>
                  <m:sty m:val="p"/>
                </m:rPr>
                <m:t>mkt-side</m:t>
              </m:r>
            </m:sup>
          </m:sSubSup>
        </m:oMath>
      </m:oMathPara>
    </w:p>
    <w:p>
      <w:pPr>
        <w:pStyle w:val="FirstParagraph"/>
      </w:pPr>
      <m:oMathPara>
        <m:oMathParaPr>
          <m:jc m:val="center"/>
        </m:oMathParaPr>
        <m:oMath>
          <m:nary>
            <m:naryPr>
              <m:chr m:val="∑"/>
              <m:limLoc m:val="undOvr"/>
              <m:subHide m:val="off"/>
              <m:supHide m:val="on"/>
            </m:naryPr>
            <m:sub>
              <m:r>
                <m:t>k</m:t>
              </m:r>
              <m:r>
                <m:rPr>
                  <m:sty m:val="p"/>
                </m:rPr>
                <m:t>∈</m:t>
              </m:r>
              <m:sSub>
                <m:e>
                  <m:r>
                    <m:rPr>
                      <m:sty m:val="p"/>
                      <m:scr m:val="script"/>
                    </m:rPr>
                    <m:t>K</m:t>
                  </m:r>
                </m:e>
                <m:sub>
                  <m:r>
                    <m:t>c</m:t>
                  </m:r>
                  <m:r>
                    <m:rPr>
                      <m:sty m:val="p"/>
                    </m:rPr>
                    <m:t>,</m:t>
                  </m:r>
                  <m:r>
                    <m:t>d</m:t>
                  </m:r>
                </m:sub>
              </m:sSub>
            </m:sub>
            <m:sup>
              <m:r>
                <m:t>​</m:t>
              </m:r>
            </m:sup>
            <m:e>
              <m:sSub>
                <m:e>
                  <m:r>
                    <m:t>c</m:t>
                  </m:r>
                </m:e>
                <m:sub>
                  <m:r>
                    <m:t>k</m:t>
                  </m:r>
                </m:sub>
              </m:sSub>
            </m:e>
          </m:nary>
          <m:sSub>
            <m:e>
              <m:r>
                <m:t>n</m:t>
              </m:r>
            </m:e>
            <m:sub>
              <m:r>
                <m:t>k</m:t>
              </m:r>
            </m:sub>
          </m:sSub>
          <m:r>
            <m:rPr>
              <m:sty m:val="p"/>
            </m:rPr>
            <m:t>≤</m:t>
          </m:r>
          <m:sSubSup>
            <m:e>
              <m:r>
                <m:t>C</m:t>
              </m:r>
            </m:e>
            <m:sub>
              <m:r>
                <m:t>c</m:t>
              </m:r>
              <m:r>
                <m:rPr>
                  <m:sty m:val="p"/>
                </m:rPr>
                <m:t>,</m:t>
              </m:r>
              <m:r>
                <m:t>d</m:t>
              </m:r>
            </m:sub>
            <m:sup>
              <m:r>
                <m:rPr>
                  <m:nor/>
                  <m:sty m:val="p"/>
                </m:rPr>
                <m:t>city/day</m:t>
              </m:r>
            </m:sup>
          </m:sSubSup>
        </m:oMath>
      </m:oMathPara>
    </w:p>
    <w:p>
      <w:pPr>
        <w:pStyle w:val="FirstParagraph"/>
      </w:pPr>
      <m:oMathPara>
        <m:oMathParaPr>
          <m:jc m:val="center"/>
        </m:oMathParaPr>
        <m:oMath>
          <m:nary>
            <m:naryPr>
              <m:chr m:val="∑"/>
              <m:limLoc m:val="undOvr"/>
              <m:subHide m:val="off"/>
              <m:supHide m:val="on"/>
            </m:naryPr>
            <m:sub>
              <m:r>
                <m:t>k</m:t>
              </m:r>
              <m:r>
                <m:rPr>
                  <m:sty m:val="p"/>
                </m:rPr>
                <m:t>∈</m:t>
              </m:r>
              <m:sSub>
                <m:e>
                  <m:r>
                    <m:rPr>
                      <m:sty m:val="p"/>
                      <m:scr m:val="script"/>
                    </m:rPr>
                    <m:t>K</m:t>
                  </m:r>
                </m:e>
                <m:sub>
                  <m:r>
                    <m:t>f</m:t>
                  </m:r>
                </m:sub>
              </m:sSub>
            </m:sub>
            <m:sup>
              <m:r>
                <m:t>​</m:t>
              </m:r>
            </m:sup>
            <m:e>
              <m:sSub>
                <m:e>
                  <m:r>
                    <m:t>c</m:t>
                  </m:r>
                </m:e>
                <m:sub>
                  <m:r>
                    <m:t>k</m:t>
                  </m:r>
                </m:sub>
              </m:sSub>
            </m:e>
          </m:nary>
          <m:sSub>
            <m:e>
              <m:r>
                <m:t>n</m:t>
              </m:r>
            </m:e>
            <m:sub>
              <m:r>
                <m:t>k</m:t>
              </m:r>
            </m:sub>
          </m:sSub>
          <m:r>
            <m:rPr>
              <m:sty m:val="p"/>
            </m:rPr>
            <m:t>≤</m:t>
          </m:r>
          <m:sSubSup>
            <m:e>
              <m:r>
                <m:t>C</m:t>
              </m:r>
            </m:e>
            <m:sub>
              <m:r>
                <m:t>f</m:t>
              </m:r>
            </m:sub>
            <m:sup>
              <m:r>
                <m:rPr>
                  <m:nor/>
                  <m:sty m:val="p"/>
                </m:rPr>
                <m:t>family</m:t>
              </m:r>
            </m:sup>
          </m:sSubSup>
        </m:oMath>
      </m:oMathPara>
    </w:p>
    <w:p>
      <w:pPr>
        <w:pStyle w:val="FirstParagraph"/>
      </w:pPr>
      <m:oMathPara>
        <m:oMathParaPr>
          <m:jc m:val="center"/>
        </m:oMathParaPr>
        <m:oMath>
          <m:nary>
            <m:naryPr>
              <m:chr m:val="∑"/>
              <m:limLoc m:val="undOvr"/>
              <m:subHide m:val="off"/>
              <m:supHide m:val="on"/>
            </m:naryPr>
            <m:sub>
              <m:r>
                <m:t>k</m:t>
              </m:r>
              <m:r>
                <m:rPr>
                  <m:sty m:val="p"/>
                </m:rPr>
                <m:t>∈</m:t>
              </m:r>
              <m:sSub>
                <m:e>
                  <m:r>
                    <m:rPr>
                      <m:sty m:val="p"/>
                      <m:scr m:val="script"/>
                    </m:rPr>
                    <m:t>K</m:t>
                  </m:r>
                </m:e>
                <m:sub>
                  <m:r>
                    <m:t>h</m:t>
                  </m:r>
                </m:sub>
              </m:sSub>
            </m:sub>
            <m:sup>
              <m:r>
                <m:t>​</m:t>
              </m:r>
            </m:sup>
            <m:e>
              <m:sSub>
                <m:e>
                  <m:r>
                    <m:t>c</m:t>
                  </m:r>
                </m:e>
                <m:sub>
                  <m:r>
                    <m:t>k</m:t>
                  </m:r>
                </m:sub>
              </m:sSub>
            </m:e>
          </m:nary>
          <m:sSub>
            <m:e>
              <m:r>
                <m:t>n</m:t>
              </m:r>
            </m:e>
            <m:sub>
              <m:r>
                <m:t>k</m:t>
              </m:r>
            </m:sub>
          </m:sSub>
          <m:r>
            <m:rPr>
              <m:sty m:val="p"/>
            </m:rPr>
            <m:t>≤</m:t>
          </m:r>
          <m:sSubSup>
            <m:e>
              <m:r>
                <m:t>C</m:t>
              </m:r>
            </m:e>
            <m:sub>
              <m:r>
                <m:t>h</m:t>
              </m:r>
            </m:sub>
            <m:sup>
              <m:r>
                <m:rPr>
                  <m:nor/>
                  <m:sty m:val="p"/>
                </m:rPr>
                <m:t>station/hour</m:t>
              </m:r>
            </m:sup>
          </m:sSubSup>
          <m:r>
            <m:rPr>
              <m:sty m:val="p"/>
            </m:rPr>
            <m:t>.</m:t>
          </m:r>
        </m:oMath>
      </m:oMathPara>
    </w:p>
    <w:p>
      <w:pPr>
        <w:pStyle w:val="FirstParagraph"/>
      </w:pPr>
      <w:r>
        <w:t xml:space="preserve">Those are the requested caps. The important additional constraint is a</w:t>
      </w:r>
      <w:r>
        <w:t xml:space="preserve"> </w:t>
      </w:r>
      <w:r>
        <w:rPr>
          <w:b/>
          <w:bCs/>
        </w:rPr>
        <w:t xml:space="preserve">family state-loss cap after netting</w:t>
      </w:r>
      <w:r>
        <w:t xml:space="preserve">:</w:t>
      </w:r>
    </w:p>
    <w:p>
      <w:pPr>
        <w:pStyle w:val="BodyText"/>
      </w:pPr>
      <m:oMathPara>
        <m:oMathParaPr>
          <m:jc m:val="center"/>
        </m:oMathParaPr>
        <m:oMath>
          <m:sSub>
            <m:e>
              <m:r>
                <m:t>L</m:t>
              </m:r>
            </m:e>
            <m:sub>
              <m:r>
                <m:t>f</m:t>
              </m:r>
            </m:sub>
          </m:sSub>
          <m:d>
            <m:dPr>
              <m:begChr m:val="("/>
              <m:sepChr m:val=""/>
              <m:endChr m:val=")"/>
              <m:grow/>
            </m:dPr>
            <m:e>
              <m:r>
                <m:t>n</m:t>
              </m:r>
            </m:e>
          </m:d>
          <m:r>
            <m:rPr>
              <m:sty m:val="p"/>
            </m:rPr>
            <m:t>=</m:t>
          </m:r>
          <m:limLow>
            <m:e>
              <m:r>
                <m:rPr>
                  <m:sty m:val="p"/>
                </m:rPr>
                <m:t>max</m:t>
              </m:r>
            </m:e>
            <m:lim>
              <m:r>
                <m:t>z</m:t>
              </m:r>
              <m:r>
                <m:rPr>
                  <m:sty m:val="p"/>
                </m:rPr>
                <m:t>∈</m:t>
              </m:r>
              <m:sSub>
                <m:e>
                  <m:r>
                    <m:rPr>
                      <m:sty m:val="p"/>
                      <m:scr m:val="script"/>
                    </m:rPr>
                    <m:t>S</m:t>
                  </m:r>
                </m:e>
                <m:sub>
                  <m:r>
                    <m:t>f</m:t>
                  </m:r>
                </m:sub>
              </m:sSub>
            </m:lim>
          </m:limLow>
          <m:d>
            <m:dPr>
              <m:begChr m:val="["/>
              <m:sepChr m:val=""/>
              <m:endChr m:val="]"/>
              <m:grow/>
            </m:dPr>
            <m:e>
              <m:r>
                <m:rPr>
                  <m:sty m:val="p"/>
                </m:rPr>
                <m:t>−</m:t>
              </m:r>
              <m:nary>
                <m:naryPr>
                  <m:chr m:val="∑"/>
                  <m:limLoc m:val="undOvr"/>
                  <m:subHide m:val="off"/>
                  <m:supHide m:val="on"/>
                </m:naryPr>
                <m:sub>
                  <m:r>
                    <m:t>k</m:t>
                  </m:r>
                  <m:r>
                    <m:rPr>
                      <m:sty m:val="p"/>
                    </m:rPr>
                    <m:t>∈</m:t>
                  </m:r>
                  <m:sSub>
                    <m:e>
                      <m:r>
                        <m:rPr>
                          <m:sty m:val="p"/>
                          <m:scr m:val="script"/>
                        </m:rPr>
                        <m:t>K</m:t>
                      </m:r>
                    </m:e>
                    <m:sub>
                      <m:r>
                        <m:t>f</m:t>
                      </m:r>
                    </m:sub>
                  </m:sSub>
                </m:sub>
                <m:sup>
                  <m:r>
                    <m:t>​</m:t>
                  </m:r>
                </m:sup>
                <m:e>
                  <m:sSub>
                    <m:e>
                      <m:r>
                        <m:t>n</m:t>
                      </m:r>
                    </m:e>
                    <m:sub>
                      <m:r>
                        <m:t>k</m:t>
                      </m:r>
                    </m:sub>
                  </m:sSub>
                </m:e>
              </m:nary>
              <m:r>
                <m:t> </m:t>
              </m:r>
              <m:sSub>
                <m:e>
                  <m:acc>
                    <m:accPr>
                      <m:chr m:val="‾"/>
                    </m:accPr>
                    <m:e>
                      <m:r>
                        <m:t>F</m:t>
                      </m:r>
                    </m:e>
                  </m:acc>
                </m:e>
                <m:sub>
                  <m:r>
                    <m:t>k</m:t>
                  </m:r>
                </m:sub>
              </m:sSub>
              <m:r>
                <m:t> </m:t>
              </m:r>
              <m:r>
                <m:rPr>
                  <m:sty m:val="p"/>
                </m:rPr>
                <m:t>(</m:t>
              </m:r>
              <m:sSub>
                <m:e>
                  <m:r>
                    <m:t>y</m:t>
                  </m:r>
                </m:e>
                <m:sub>
                  <m:r>
                    <m:t>k</m:t>
                  </m:r>
                </m:sub>
              </m:sSub>
              <m:d>
                <m:dPr>
                  <m:begChr m:val="("/>
                  <m:sepChr m:val=""/>
                  <m:endChr m:val=")"/>
                  <m:grow/>
                </m:dPr>
                <m:e>
                  <m:r>
                    <m:t>z</m:t>
                  </m:r>
                </m:e>
              </m:d>
              <m:r>
                <m:rPr>
                  <m:sty m:val="p"/>
                </m:rPr>
                <m:t>−</m:t>
              </m:r>
              <m:sSubSup>
                <m:e>
                  <m:acc>
                    <m:accPr>
                      <m:chr m:val="‾"/>
                    </m:accPr>
                    <m:e>
                      <m:r>
                        <m:t>P</m:t>
                      </m:r>
                    </m:e>
                  </m:acc>
                </m:e>
                <m:sub>
                  <m:r>
                    <m:t>k</m:t>
                  </m:r>
                </m:sub>
                <m:sup>
                  <m:r>
                    <m:rPr>
                      <m:nor/>
                      <m:sty m:val="p"/>
                    </m:rPr>
                    <m:t>fill</m:t>
                  </m:r>
                </m:sup>
              </m:sSubSup>
              <m:r>
                <m:rPr>
                  <m:sty m:val="p"/>
                </m:rPr>
                <m:t>−</m:t>
              </m:r>
              <m:sSub>
                <m:e>
                  <m:acc>
                    <m:accPr>
                      <m:chr m:val="‾"/>
                    </m:accPr>
                    <m:e>
                      <m:r>
                        <m:t>ϕ</m:t>
                      </m:r>
                    </m:e>
                  </m:acc>
                </m:e>
                <m:sub>
                  <m:r>
                    <m:t>k</m:t>
                  </m:r>
                </m:sub>
              </m:sSub>
              <m:r>
                <m:rPr>
                  <m:sty m:val="p"/>
                </m:rPr>
                <m:t>)</m:t>
              </m:r>
            </m:e>
          </m:d>
          <m:r>
            <m:rPr>
              <m:sty m:val="p"/>
            </m:rPr>
            <m:t>≤</m:t>
          </m:r>
          <m:sSub>
            <m:e>
              <m:acc>
                <m:accPr>
                  <m:chr m:val="‾"/>
                </m:accPr>
                <m:e>
                  <m:r>
                    <m:t>L</m:t>
                  </m:r>
                </m:e>
              </m:acc>
            </m:e>
            <m:sub>
              <m:r>
                <m:t>f</m:t>
              </m:r>
            </m:sub>
          </m:sSub>
          <m:r>
            <m:rPr>
              <m:sty m:val="p"/>
            </m:rPr>
            <m:t>.</m:t>
          </m:r>
        </m:oMath>
      </m:oMathPara>
    </w:p>
    <w:p>
      <w:pPr>
        <w:pStyle w:val="FirstParagraph"/>
      </w:pPr>
      <w:r>
        <w:t xml:space="preserve">Without this extra state-level loss cap, the optimizer will either over-penalize hedged ladder packages or under-recognize that many legs are driven by the same settlement state. For mutually exclusive exhaustive books, netting must happen at the family-state level, not only through gross dollar caps.</w:t>
      </w:r>
      <w:r>
        <w:t xml:space="preserve"> </w:t>
      </w:r>
      <w:hyperlink r:id="rId27">
        <w:r>
          <w:rPr>
            <w:rStyle w:val="Hyperlink"/>
          </w:rPr>
          <w:t xml:space="preserve">[14]</w:t>
        </w:r>
      </w:hyperlink>
    </w:p>
    <w:p>
      <w:pPr>
        <w:pStyle w:val="BodyText"/>
      </w:pPr>
      <w:r>
        <w:t xml:space="preserve">A final implementation detail matters in production: the venue supports</w:t>
      </w:r>
      <w:r>
        <w:t xml:space="preserve"> </w:t>
      </w:r>
      <w:r>
        <w:rPr>
          <w:b/>
          <w:bCs/>
        </w:rPr>
        <w:t xml:space="preserve">order groups</w:t>
      </w:r>
      <w:r>
        <w:t xml:space="preserve"> </w:t>
      </w:r>
      <w:r>
        <w:t xml:space="preserve">whose matched-contract limits are enforced over a rolling fifteen-second window and which auto-cancel the group when triggered. Those should be used as the exchange-facing last-mile kill switch that mirrors the optimizer’s burst-execution assumptions.</w:t>
      </w:r>
      <w:r>
        <w:t xml:space="preserve"> </w:t>
      </w:r>
      <w:hyperlink r:id="rId30">
        <w:r>
          <w:rPr>
            <w:rStyle w:val="Hyperlink"/>
          </w:rPr>
          <w:t xml:space="preserve">[15]</w:t>
        </w:r>
      </w:hyperlink>
    </w:p>
    <w:p>
      <w:pPr>
        <w:pStyle w:val="BodyText"/>
      </w:pPr>
      <w:r>
        <w:t xml:space="preserve">Kelly-style sizing is attractive because the objective is full-bankroll growth, but raw Kelly is notoriously aggressive under estimation error; the literature explicitly warns that it can suggest very large positions, while risk-constrained Kelly adds a drawdown bound and can dominate naive fractional variants at a given drawdown target. Risk budgeting, by contrast, is designed to allocate a predetermined total risk profile across exposures and is the natural outer overlay for city/day, family, and station/hour concentration control.</w:t>
      </w:r>
      <w:r>
        <w:t xml:space="preserve"> </w:t>
      </w:r>
      <w:hyperlink r:id="rId22">
        <w:r>
          <w:rPr>
            <w:rStyle w:val="Hyperlink"/>
          </w:rPr>
          <w:t xml:space="preserve">[16]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Sizing model</w:t>
            </w:r>
          </w:p>
        </w:tc>
        <w:tc>
          <w:tcPr/>
          <w:p>
            <w:pPr>
              <w:pStyle w:val="Compact"/>
            </w:pPr>
            <w:r>
              <w:t xml:space="preserve">Rule</w:t>
            </w:r>
          </w:p>
        </w:tc>
        <w:tc>
          <w:tcPr/>
          <w:p>
            <w:pPr>
              <w:pStyle w:val="Compact"/>
            </w:pPr>
            <w:r>
              <w:t xml:space="preserve">What it gets right</w:t>
            </w:r>
          </w:p>
        </w:tc>
        <w:tc>
          <w:tcPr/>
          <w:p>
            <w:pPr>
              <w:pStyle w:val="Compact"/>
            </w:pPr>
            <w:r>
              <w:t xml:space="preserve">What it misses</w:t>
            </w:r>
          </w:p>
        </w:tc>
        <w:tc>
          <w:tcPr/>
          <w:p>
            <w:pPr>
              <w:pStyle w:val="Compact"/>
            </w:pPr>
            <w:r>
              <w:t xml:space="preserve">Recommended role</w:t>
            </w:r>
          </w:p>
        </w:tc>
      </w:tr>
      <w:tr>
        <w:tc>
          <w:tcPr/>
          <w:p>
            <w:pPr>
              <w:pStyle w:val="Compact"/>
            </w:pPr>
            <w:r>
              <w:t xml:space="preserve">Fixed-fraction</w:t>
            </w:r>
          </w:p>
        </w:tc>
        <w:tc>
          <w:tcPr/>
          <w:p>
            <w:pPr>
              <w:pStyle w:val="Compact"/>
            </w:pPr>
            <m:oMath>
              <m:sSub>
                <m:e>
                  <m:r>
                    <m:t>n</m:t>
                  </m:r>
                </m:e>
                <m:sub>
                  <m:r>
                    <m:t>k</m:t>
                  </m:r>
                </m:sub>
              </m:sSub>
              <m:r>
                <m:rPr>
                  <m:sty m:val="p"/>
                </m:rPr>
                <m:t>∝</m:t>
              </m:r>
              <m:r>
                <m:t>β</m:t>
              </m:r>
              <m:sSub>
                <m:e>
                  <m:r>
                    <m:t>W</m:t>
                  </m:r>
                </m:e>
                <m:sub>
                  <m:r>
                    <m:t>0</m:t>
                  </m:r>
                </m:sub>
              </m:sSub>
              <m:r>
                <m:rPr>
                  <m:sty m:val="p"/>
                </m:rPr>
                <m:t>/</m:t>
              </m:r>
              <m:sSub>
                <m:e>
                  <m:r>
                    <m:t>c</m:t>
                  </m:r>
                </m:e>
                <m:sub>
                  <m:r>
                    <m:t>k</m:t>
                  </m:r>
                </m:sub>
              </m:sSub>
            </m:oMath>
            <w:r>
              <w:t xml:space="preserve"> </w:t>
            </w:r>
            <w:r>
              <w:t xml:space="preserve">after eligibility gates</w:t>
            </w:r>
          </w:p>
        </w:tc>
        <w:tc>
          <w:tcPr/>
          <w:p>
            <w:pPr>
              <w:pStyle w:val="Compact"/>
            </w:pPr>
            <w:r>
              <w:t xml:space="preserve">Extremely robust, simple, stable under noisy probabilities</w:t>
            </w:r>
          </w:p>
        </w:tc>
        <w:tc>
          <w:tcPr/>
          <w:p>
            <w:pPr>
              <w:pStyle w:val="Compact"/>
            </w:pPr>
            <w:r>
              <w:t xml:space="preserve">Ignores edge size, correlation, and capital velocity</w:t>
            </w:r>
          </w:p>
        </w:tc>
        <w:tc>
          <w:tcPr/>
          <w:p>
            <w:pPr>
              <w:pStyle w:val="Compact"/>
            </w:pPr>
            <w:r>
              <w:t xml:space="preserve">Baseline shadow allocator and monitoring benchmark</w:t>
            </w:r>
          </w:p>
        </w:tc>
      </w:tr>
      <w:tr>
        <w:tc>
          <w:tcPr/>
          <w:p>
            <w:pPr>
              <w:pStyle w:val="Compact"/>
            </w:pPr>
            <w:r>
              <w:t xml:space="preserve">Capped fractional Kelly</w:t>
            </w:r>
          </w:p>
        </w:tc>
        <w:tc>
          <w:tcPr/>
          <w:p>
            <w:pPr>
              <w:pStyle w:val="Compact"/>
            </w:pPr>
            <m:oMath>
              <m:sSub>
                <m:e>
                  <m:r>
                    <m:t>n</m:t>
                  </m:r>
                </m:e>
                <m:sub>
                  <m:r>
                    <m:t>k</m:t>
                  </m:r>
                </m:sub>
              </m:sSub>
              <m:r>
                <m:rPr>
                  <m:sty m:val="p"/>
                </m:rPr>
                <m:t>∝</m:t>
              </m:r>
              <m:r>
                <m:t>λ</m:t>
              </m:r>
              <m:sSubSup>
                <m:e>
                  <m:r>
                    <m:t>f</m:t>
                  </m:r>
                </m:e>
                <m:sub>
                  <m:r>
                    <m:t>k</m:t>
                  </m:r>
                </m:sub>
                <m:sup>
                  <m:r>
                    <m:rPr>
                      <m:sty m:val="p"/>
                    </m:rPr>
                    <m:t>⋆</m:t>
                  </m:r>
                </m:sup>
              </m:sSubSup>
              <m:sSub>
                <m:e>
                  <m:r>
                    <m:t>W</m:t>
                  </m:r>
                </m:e>
                <m:sub>
                  <m:r>
                    <m:t>0</m:t>
                  </m:r>
                </m:sub>
              </m:sSub>
              <m:r>
                <m:rPr>
                  <m:sty m:val="p"/>
                </m:rPr>
                <m:t>/</m:t>
              </m:r>
              <m:sSub>
                <m:e>
                  <m:r>
                    <m:t>c</m:t>
                  </m:r>
                </m:e>
                <m:sub>
                  <m:r>
                    <m:t>k</m:t>
                  </m:r>
                </m:sub>
              </m:sSub>
            </m:oMath>
            <w:r>
              <w:t xml:space="preserve">, with</w:t>
            </w:r>
            <w:r>
              <w:t xml:space="preserve"> </w:t>
            </w:r>
            <m:oMath>
              <m:r>
                <m:t>λ</m:t>
              </m:r>
              <m:r>
                <m:rPr>
                  <m:sty m:val="p"/>
                </m:rPr>
                <m:t>&lt;</m:t>
              </m:r>
              <m:r>
                <m:t>1</m:t>
              </m:r>
            </m:oMath>
            <w:r>
              <w:t xml:space="preserve"> </w:t>
            </w:r>
            <w:r>
              <w:t xml:space="preserve">and</w:t>
            </w:r>
            <w:r>
              <w:t xml:space="preserve"> </w:t>
            </w:r>
            <m:oMath>
              <m:sSubSup>
                <m:e>
                  <m:r>
                    <m:t>f</m:t>
                  </m:r>
                </m:e>
                <m:sub>
                  <m:r>
                    <m:t>k</m:t>
                  </m:r>
                </m:sub>
                <m:sup>
                  <m:r>
                    <m:rPr>
                      <m:sty m:val="p"/>
                    </m:rPr>
                    <m:t>⋆</m:t>
                  </m:r>
                </m:sup>
              </m:sSubSup>
            </m:oMath>
            <w:r>
              <w:t xml:space="preserve"> </w:t>
            </w:r>
            <w:r>
              <w:t xml:space="preserve">from scenario Kelly or binary closed form</w:t>
            </w:r>
          </w:p>
        </w:tc>
        <w:tc>
          <w:tcPr/>
          <w:p>
            <w:pPr>
              <w:pStyle w:val="Compact"/>
            </w:pPr>
            <w:r>
              <w:t xml:space="preserve">Best aligned with bankroll growth if probabilities are calibrated</w:t>
            </w:r>
          </w:p>
        </w:tc>
        <w:tc>
          <w:tcPr/>
          <w:p>
            <w:pPr>
              <w:pStyle w:val="Compact"/>
            </w:pPr>
            <w:r>
              <w:t xml:space="preserve">Sensitive to misspecification and correlation if applied leg-by-leg</w:t>
            </w:r>
          </w:p>
        </w:tc>
        <w:tc>
          <w:tcPr/>
          <w:p>
            <w:pPr>
              <w:pStyle w:val="Compact"/>
            </w:pPr>
            <w:r>
              <w:t xml:space="preserve">Primary signal-to-demand map</w:t>
            </w:r>
          </w:p>
        </w:tc>
      </w:tr>
      <w:tr>
        <w:tc>
          <w:tcPr/>
          <w:p>
            <w:pPr>
              <w:pStyle w:val="Compact"/>
            </w:pPr>
            <w:r>
              <w:t xml:space="preserve">Unit-risk budget</w:t>
            </w:r>
          </w:p>
        </w:tc>
        <w:tc>
          <w:tcPr/>
          <w:p>
            <w:pPr>
              <w:pStyle w:val="Compact"/>
            </w:pPr>
            <w:r>
              <w:t xml:space="preserve">Choose</w:t>
            </w:r>
            <w:r>
              <w:t xml:space="preserve"> </w:t>
            </w:r>
            <m:oMath>
              <m:r>
                <m:t>n</m:t>
              </m:r>
            </m:oMath>
            <w:r>
              <w:t xml:space="preserve"> </w:t>
            </w:r>
            <w:r>
              <w:t xml:space="preserve">so each group’s risk contribution stays within target budget</w:t>
            </w:r>
          </w:p>
        </w:tc>
        <w:tc>
          <w:tcPr/>
          <w:p>
            <w:pPr>
              <w:pStyle w:val="Compact"/>
            </w:pPr>
            <w:r>
              <w:t xml:space="preserve">Explicit breadth control, concentration control, and covariance awareness</w:t>
            </w:r>
          </w:p>
        </w:tc>
        <w:tc>
          <w:tcPr/>
          <w:p>
            <w:pPr>
              <w:pStyle w:val="Compact"/>
            </w:pPr>
            <w:r>
              <w:t xml:space="preserve">Can dull strong edges if risk estimates are poor</w:t>
            </w:r>
          </w:p>
        </w:tc>
        <w:tc>
          <w:tcPr/>
          <w:p>
            <w:pPr>
              <w:pStyle w:val="Compact"/>
            </w:pPr>
            <w:r>
              <w:t xml:space="preserve">Outer portfolio overlay</w:t>
            </w:r>
          </w:p>
        </w:tc>
      </w:tr>
    </w:tbl>
    <w:p>
      <w:pPr>
        <w:pStyle w:val="BodyText"/>
      </w:pPr>
      <w:r>
        <w:t xml:space="preserve">The best stack is</w:t>
      </w:r>
      <w:r>
        <w:t xml:space="preserve"> </w:t>
      </w:r>
      <w:r>
        <w:rPr>
          <w:b/>
          <w:bCs/>
        </w:rPr>
        <w:t xml:space="preserve">not</w:t>
      </w:r>
      <w:r>
        <w:t xml:space="preserve"> </w:t>
      </w:r>
      <w:r>
        <w:t xml:space="preserve">to pick one model and ignore the others. The most defensible production design is: generate order demand with</w:t>
      </w:r>
      <w:r>
        <w:t xml:space="preserve"> </w:t>
      </w:r>
      <w:r>
        <w:rPr>
          <w:b/>
          <w:bCs/>
        </w:rPr>
        <w:t xml:space="preserve">capped fractional Kelly</w:t>
      </w:r>
      <w:r>
        <w:t xml:space="preserve">, pass those demands through a</w:t>
      </w:r>
      <w:r>
        <w:t xml:space="preserve"> </w:t>
      </w:r>
      <w:r>
        <w:rPr>
          <w:b/>
          <w:bCs/>
        </w:rPr>
        <w:t xml:space="preserve">unit-risk-budgeted optimizer</w:t>
      </w:r>
      <w:r>
        <w:t xml:space="preserve"> </w:t>
      </w:r>
      <w:r>
        <w:t xml:space="preserve">with the requested group caps and family state-loss caps, and keep a</w:t>
      </w:r>
      <w:r>
        <w:t xml:space="preserve"> </w:t>
      </w:r>
      <w:r>
        <w:rPr>
          <w:b/>
          <w:bCs/>
        </w:rPr>
        <w:t xml:space="preserve">fixed-fraction shadow allocator</w:t>
      </w:r>
      <w:r>
        <w:t xml:space="preserve"> </w:t>
      </w:r>
      <w:r>
        <w:t xml:space="preserve">running in parallel as a stability benchmark. That stack is growth-aware, concentration-aware, and robust to temporary probability miscalibration.</w:t>
      </w:r>
      <w:r>
        <w:t xml:space="preserve"> </w:t>
      </w:r>
      <w:hyperlink r:id="rId29">
        <w:r>
          <w:rPr>
            <w:rStyle w:val="Hyperlink"/>
          </w:rPr>
          <w:t xml:space="preserve">[17]</w:t>
        </w:r>
      </w:hyperlink>
    </w:p>
    <w:bookmarkEnd w:id="31"/>
    <w:bookmarkStart w:id="37" w:name="simulation-and-execution-realism"/>
    <w:p>
      <w:pPr>
        <w:pStyle w:val="Heading2"/>
      </w:pPr>
      <w:r>
        <w:t xml:space="preserve">Simulation and execution realism</w:t>
      </w:r>
    </w:p>
    <w:p>
      <w:pPr>
        <w:pStyle w:val="FirstParagraph"/>
      </w:pPr>
      <w:r>
        <w:t xml:space="preserve">The simulator should be</w:t>
      </w:r>
      <w:r>
        <w:t xml:space="preserve"> </w:t>
      </w:r>
      <w:r>
        <w:rPr>
          <w:b/>
          <w:bCs/>
        </w:rPr>
        <w:t xml:space="preserve">event-driven</w:t>
      </w:r>
      <w:r>
        <w:t xml:space="preserve">. The venue’s APIs expose order-book snapshots and deltas, live and historical trades, live and historical candlesticks, queue position, amend/cancel endpoints, and historical user orders and fills around a documented historical cutoff. FIX order entry supports post-only, IOC, FOK, GTD, amend, cancel, self-trade prevention, and maximum execution cost limits; execution reports explicitly distinguish accepted, replaced, partially filled, filled, canceled, and expired states. That is enough to replay queue-aware limit-order behavior rather than pretending every signal fills at the midpoint.</w:t>
      </w:r>
      <w:r>
        <w:t xml:space="preserve"> </w:t>
      </w:r>
      <w:hyperlink r:id="rId32">
        <w:r>
          <w:rPr>
            <w:rStyle w:val="Hyperlink"/>
          </w:rPr>
          <w:t xml:space="preserve">[18]</w:t>
        </w:r>
      </w:hyperlink>
    </w:p>
    <w:p>
      <w:pPr>
        <w:pStyle w:val="BodyText"/>
      </w:pPr>
      <w:r>
        <w:t xml:space="preserve">The simulation loop should proceed in five stages. First, ingest forecast snapshots and market-state snapshots on the exact event clock used by production. Second, project raw forecasts and raw market quotes into the coherent latent family state space. Third, generate executable maker and taker candidates for each market-side, using actual queue position and displayed depth. Fourth, run an execution engine that updates queue positions, applies partial fills, amend/cancel logic, and maker/taker fees. Fifth, settle using the final climate report and a delayed-data handler that can postpone bankroll release if settlement is delayed or if the archive later revises the observation. That last step is essential because the exchange itself warns that weather-market determination can occasionally be delayed when the final climate report conflicts with preliminary or other reported highs.</w:t>
      </w:r>
      <w:r>
        <w:t xml:space="preserve"> </w:t>
      </w:r>
      <w:hyperlink r:id="rId21">
        <w:r>
          <w:rPr>
            <w:rStyle w:val="Hyperlink"/>
          </w:rPr>
          <w:t xml:space="preserve">[19]</w:t>
        </w:r>
      </w:hyperlink>
    </w:p>
    <w:bookmarkStart w:id="36" w:name="assumptions-table"/>
    <w:p>
      <w:pPr>
        <w:pStyle w:val="Heading3"/>
      </w:pPr>
      <w:r>
        <w:t xml:space="preserve">Assumptions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Optimistic</w:t>
            </w:r>
          </w:p>
        </w:tc>
        <w:tc>
          <w:tcPr/>
          <w:p>
            <w:pPr>
              <w:pStyle w:val="Compact"/>
            </w:pPr>
            <w:r>
              <w:t xml:space="preserve">Base</w:t>
            </w:r>
          </w:p>
        </w:tc>
        <w:tc>
          <w:tcPr/>
          <w:p>
            <w:pPr>
              <w:pStyle w:val="Compact"/>
            </w:pPr>
            <w:r>
              <w:t xml:space="preserve">Conservative</w:t>
            </w:r>
          </w:p>
        </w:tc>
      </w:tr>
      <w:tr>
        <w:tc>
          <w:tcPr/>
          <w:p>
            <w:pPr>
              <w:pStyle w:val="Compact"/>
            </w:pPr>
            <w:r>
              <w:t xml:space="preserve">Taker slippage</w:t>
            </w:r>
          </w:p>
        </w:tc>
        <w:tc>
          <w:tcPr/>
          <w:p>
            <w:pPr>
              <w:pStyle w:val="Compact"/>
            </w:pPr>
            <w:r>
              <w:t xml:space="preserve">Consume only displayed best executable level</w:t>
            </w:r>
          </w:p>
        </w:tc>
        <w:tc>
          <w:tcPr/>
          <w:p>
            <w:pPr>
              <w:pStyle w:val="Compact"/>
            </w:pPr>
            <w:r>
              <w:t xml:space="preserve">Consume best level plus one extra level if order size exceeds top depth</w:t>
            </w:r>
          </w:p>
        </w:tc>
        <w:tc>
          <w:tcPr/>
          <w:p>
            <w:pPr>
              <w:pStyle w:val="Compact"/>
            </w:pPr>
            <w:r>
              <w:t xml:space="preserve">Two-level sweep or cancel remainder</w:t>
            </w:r>
          </w:p>
        </w:tc>
      </w:tr>
      <w:tr>
        <w:tc>
          <w:tcPr/>
          <w:p>
            <w:pPr>
              <w:pStyle w:val="Compact"/>
            </w:pPr>
            <w:r>
              <w:t xml:space="preserve">Maker fill model</w:t>
            </w:r>
          </w:p>
        </w:tc>
        <w:tc>
          <w:tcPr/>
          <w:p>
            <w:pPr>
              <w:pStyle w:val="Compact"/>
            </w:pPr>
            <w:r>
              <w:t xml:space="preserve">Unhaircut queue-depletion model</w:t>
            </w:r>
          </w:p>
        </w:tc>
        <w:tc>
          <w:tcPr/>
          <w:p>
            <w:pPr>
              <w:pStyle w:val="Compact"/>
            </w:pPr>
            <w:r>
              <w:t xml:space="preserve">Queue model haircut by 30% and one-price-level adverse-selection penalty on stale fills</w:t>
            </w:r>
          </w:p>
        </w:tc>
        <w:tc>
          <w:tcPr/>
          <w:p>
            <w:pPr>
              <w:pStyle w:val="Compact"/>
            </w:pPr>
            <w:r>
              <w:t xml:space="preserve">Queue model haircut by 60%; no maker posting in worst-liquidity bucket near close</w:t>
            </w:r>
          </w:p>
        </w:tc>
      </w:tr>
      <w:tr>
        <w:tc>
          <w:tcPr/>
          <w:p>
            <w:pPr>
              <w:pStyle w:val="Compact"/>
            </w:pPr>
            <w:r>
              <w:t xml:space="preserve">Partial fills</w:t>
            </w:r>
          </w:p>
        </w:tc>
        <w:tc>
          <w:tcPr/>
          <w:p>
            <w:pPr>
              <w:pStyle w:val="Compact"/>
            </w:pPr>
            <w:r>
              <w:t xml:space="preserve">Repost remainder once at same fair-value band</w:t>
            </w:r>
          </w:p>
        </w:tc>
        <w:tc>
          <w:tcPr/>
          <w:p>
            <w:pPr>
              <w:pStyle w:val="Compact"/>
            </w:pPr>
            <w:r>
              <w:t xml:space="preserve">Repost remainder once, then IOC</w:t>
            </w:r>
          </w:p>
        </w:tc>
        <w:tc>
          <w:tcPr/>
          <w:p>
            <w:pPr>
              <w:pStyle w:val="Compact"/>
            </w:pPr>
            <w:r>
              <w:t xml:space="preserve">No repost; cancel residual</w:t>
            </w:r>
          </w:p>
        </w:tc>
      </w:tr>
      <w:tr>
        <w:tc>
          <w:tcPr/>
          <w:p>
            <w:pPr>
              <w:pStyle w:val="Compact"/>
            </w:pPr>
            <w:r>
              <w:t xml:space="preserve">Cancel/replace TTL</w:t>
            </w:r>
          </w:p>
        </w:tc>
        <w:tc>
          <w:tcPr/>
          <w:p>
            <w:pPr>
              <w:pStyle w:val="Compact"/>
            </w:pPr>
            <w:r>
              <w:t xml:space="preserve">120s or half the estimated signal half-life, whichever is shorter</w:t>
            </w:r>
          </w:p>
        </w:tc>
        <w:tc>
          <w:tcPr/>
          <w:p>
            <w:pPr>
              <w:pStyle w:val="Compact"/>
            </w:pPr>
            <w:r>
              <w:t xml:space="preserve">60s or one-quarter of signal half-life</w:t>
            </w:r>
          </w:p>
        </w:tc>
        <w:tc>
          <w:tcPr/>
          <w:p>
            <w:pPr>
              <w:pStyle w:val="Compact"/>
            </w:pPr>
            <w:r>
              <w:t xml:space="preserve">20s; urgent orders use IOC/FOK only</w:t>
            </w:r>
          </w:p>
        </w:tc>
      </w:tr>
      <w:tr>
        <w:tc>
          <w:tcPr/>
          <w:p>
            <w:pPr>
              <w:pStyle w:val="Compact"/>
            </w:pPr>
            <w:r>
              <w:t xml:space="preserve">Forecast staleness test</w:t>
            </w:r>
          </w:p>
        </w:tc>
        <w:tc>
          <w:tcPr/>
          <w:p>
            <w:pPr>
              <w:pStyle w:val="Compact"/>
            </w:pPr>
            <w:r>
              <w:t xml:space="preserve">Latest nowcast allowed</w:t>
            </w:r>
          </w:p>
        </w:tc>
        <w:tc>
          <w:tcPr/>
          <w:p>
            <w:pPr>
              <w:pStyle w:val="Compact"/>
            </w:pPr>
            <w:r>
              <w:t xml:space="preserve">Freeze forecast updates for 5 minutes</w:t>
            </w:r>
          </w:p>
        </w:tc>
        <w:tc>
          <w:tcPr/>
          <w:p>
            <w:pPr>
              <w:pStyle w:val="Compact"/>
            </w:pPr>
            <w:r>
              <w:t xml:space="preserve">Freeze for 15 minutes or use prior forecast cycle</w:t>
            </w:r>
          </w:p>
        </w:tc>
      </w:tr>
      <w:tr>
        <w:tc>
          <w:tcPr/>
          <w:p>
            <w:pPr>
              <w:pStyle w:val="Compact"/>
            </w:pPr>
            <w:r>
              <w:t xml:space="preserve">Settlement release</w:t>
            </w:r>
          </w:p>
        </w:tc>
        <w:tc>
          <w:tcPr/>
          <w:p>
            <w:pPr>
              <w:pStyle w:val="Compact"/>
            </w:pPr>
            <w:r>
              <w:t xml:space="preserve">Next final report release</w:t>
            </w:r>
          </w:p>
        </w:tc>
        <w:tc>
          <w:tcPr/>
          <w:p>
            <w:pPr>
              <w:pStyle w:val="Compact"/>
            </w:pPr>
            <w:r>
              <w:t xml:space="preserve">Delay one reporting cycle</w:t>
            </w:r>
          </w:p>
        </w:tc>
        <w:tc>
          <w:tcPr/>
          <w:p>
            <w:pPr>
              <w:pStyle w:val="Compact"/>
            </w:pPr>
            <w:r>
              <w:t xml:space="preserve">Delay plus archive-quality correction scenario</w:t>
            </w:r>
          </w:p>
        </w:tc>
      </w:tr>
      <w:tr>
        <w:tc>
          <w:tcPr/>
          <w:p>
            <w:pPr>
              <w:pStyle w:val="Compact"/>
            </w:pPr>
            <w:r>
              <w:t xml:space="preserve">Liquidity filter</w:t>
            </w:r>
          </w:p>
        </w:tc>
        <w:tc>
          <w:tcPr/>
          <w:p>
            <w:pPr>
              <w:pStyle w:val="Compact"/>
            </w:pPr>
            <w:r>
              <w:t xml:space="preserve">Only hard venue sanity filters</w:t>
            </w:r>
          </w:p>
        </w:tc>
        <w:tc>
          <w:tcPr/>
          <w:p>
            <w:pPr>
              <w:pStyle w:val="Compact"/>
            </w:pPr>
            <w:r>
              <w:t xml:space="preserve">Exclude worst decile by spread/depth/volume</w:t>
            </w:r>
          </w:p>
        </w:tc>
        <w:tc>
          <w:tcPr/>
          <w:p>
            <w:pPr>
              <w:pStyle w:val="Compact"/>
            </w:pPr>
            <w:r>
              <w:t xml:space="preserve">No new orders in worst quintile; existing makers defensively canceled</w:t>
            </w:r>
          </w:p>
        </w:tc>
      </w:tr>
    </w:tbl>
    <w:p>
      <w:pPr>
        <w:pStyle w:val="BodyText"/>
      </w:pPr>
      <w:r>
        <w:t xml:space="preserve">These bands are grounded in documented venue mechanics and in execution research. The fee schedule is explicit: taker fees are charged on immediately matched orders, maker fees on resting orders that later execute, maker cancellations are not charged, and there is no settlement fee. The order book is price-time prioritized, queue position is available through the API, and modifying an order upward at the same price forfeits queue position. The limit-order literature is clear that order choice is a trade-off among price improvement, execution probability, and adverse-selection risk, and more recent work shows that fill probability depends materially on both queue position and state-dependent order flow.</w:t>
      </w:r>
      <w:r>
        <w:t xml:space="preserve"> </w:t>
      </w:r>
      <w:hyperlink r:id="rId33">
        <w:r>
          <w:rPr>
            <w:rStyle w:val="Hyperlink"/>
          </w:rPr>
          <w:t xml:space="preserve">[20]</w:t>
        </w:r>
      </w:hyperlink>
    </w:p>
    <w:p>
      <w:pPr>
        <w:pStyle w:val="BodyText"/>
      </w:pPr>
      <w:r>
        <w:t xml:space="preserve">The routing rule should therefore be explicit. Post</w:t>
      </w:r>
      <w:r>
        <w:t xml:space="preserve"> </w:t>
      </w:r>
      <w:r>
        <w:rPr>
          <w:b/>
          <w:bCs/>
        </w:rPr>
        <w:t xml:space="preserve">maker</w:t>
      </w:r>
      <w:r>
        <w:t xml:space="preserve"> </w:t>
      </w:r>
      <w:r>
        <w:t xml:space="preserve">when</w:t>
      </w:r>
    </w:p>
    <w:p>
      <w:pPr>
        <w:pStyle w:val="BodyText"/>
      </w:pPr>
      <m:oMathPara>
        <m:oMathParaPr>
          <m:jc m:val="center"/>
        </m:oMathParaPr>
        <m:oMath>
          <m:r>
            <m:rPr>
              <m:sty m:val="p"/>
              <m:scr m:val="double-struck"/>
            </m:rPr>
            <m:t>E</m:t>
          </m:r>
          <m:d>
            <m:dPr>
              <m:begChr m:val="["/>
              <m:sepChr m:val=""/>
              <m:endChr m:val="]"/>
              <m:grow/>
            </m:dPr>
            <m:e>
              <m:sSubSup>
                <m:e>
                  <m:r>
                    <m:t>Π</m:t>
                  </m:r>
                </m:e>
                <m:sub>
                  <m:r>
                    <m:t>k</m:t>
                  </m:r>
                </m:sub>
                <m:sup>
                  <m:r>
                    <m:rPr>
                      <m:nor/>
                      <m:sty m:val="p"/>
                    </m:rPr>
                    <m:t>maker</m:t>
                  </m:r>
                </m:sup>
              </m:sSubSup>
            </m:e>
          </m:d>
          <m:r>
            <m:rPr>
              <m:sty m:val="p"/>
            </m:rPr>
            <m:t>−</m:t>
          </m:r>
          <m:r>
            <m:rPr>
              <m:nor/>
              <m:sty m:val="p"/>
            </m:rPr>
            <m:t>queue-risk premium</m:t>
          </m:r>
          <m:r>
            <m:rPr>
              <m:sty m:val="p"/>
            </m:rPr>
            <m:t>&gt;</m:t>
          </m:r>
          <m:r>
            <m:rPr>
              <m:sty m:val="p"/>
              <m:scr m:val="double-struck"/>
            </m:rPr>
            <m:t>E</m:t>
          </m:r>
          <m:d>
            <m:dPr>
              <m:begChr m:val="["/>
              <m:sepChr m:val=""/>
              <m:endChr m:val="]"/>
              <m:grow/>
            </m:dPr>
            <m:e>
              <m:sSubSup>
                <m:e>
                  <m:r>
                    <m:t>Π</m:t>
                  </m:r>
                </m:e>
                <m:sub>
                  <m:r>
                    <m:t>k</m:t>
                  </m:r>
                </m:sub>
                <m:sup>
                  <m:r>
                    <m:rPr>
                      <m:nor/>
                      <m:sty m:val="p"/>
                    </m:rPr>
                    <m:t>taker</m:t>
                  </m:r>
                </m:sup>
              </m:sSubSup>
            </m:e>
          </m:d>
          <m:r>
            <m:rPr>
              <m:sty m:val="p"/>
            </m:rPr>
            <m:t>,</m:t>
          </m:r>
        </m:oMath>
      </m:oMathPara>
    </w:p>
    <w:p>
      <w:pPr>
        <w:pStyle w:val="FirstParagraph"/>
      </w:pPr>
      <w:r>
        <w:t xml:space="preserve">and otherwise cross as taker with IOC, FOK, or a max-execution-cost control. Replace only when the new fair value exceeds the queue-reset penalty and the expected residual edge still survives conservative slippage. Near close, or after a large forecast revision, the policy should switch from maker-first to taker-first because information half-life is shorter than queue time. The venue’s FIX semantics support every part of that logic directly.</w:t>
      </w:r>
      <w:r>
        <w:t xml:space="preserve"> </w:t>
      </w:r>
      <w:hyperlink r:id="rId34">
        <w:r>
          <w:rPr>
            <w:rStyle w:val="Hyperlink"/>
          </w:rPr>
          <w:t xml:space="preserve">[21]</w:t>
        </w:r>
      </w:hyperlink>
    </w:p>
    <w:p>
      <w:pPr>
        <w:pStyle w:val="BodyText"/>
      </w:pPr>
      <w:r>
        <w:t xml:space="preserve">Robustness testing should be organized around the three requested regime classes.</w:t>
      </w:r>
      <w:r>
        <w:t xml:space="preserve"> </w:t>
      </w:r>
      <w:r>
        <w:rPr>
          <w:b/>
          <w:bCs/>
        </w:rPr>
        <w:t xml:space="preserve">Stale-regime stress</w:t>
      </w:r>
      <w:r>
        <w:t xml:space="preserve"> </w:t>
      </w:r>
      <w:r>
        <w:t xml:space="preserve">should use walk-forward validation blocks and frozen-model windows, because time-series validation under slowly evolving dynamics is not equivalent to IID cross-validation.</w:t>
      </w:r>
      <w:r>
        <w:t xml:space="preserve"> </w:t>
      </w:r>
      <w:r>
        <w:rPr>
          <w:b/>
          <w:bCs/>
        </w:rPr>
        <w:t xml:space="preserve">Low-liquidity stress</w:t>
      </w:r>
      <w:r>
        <w:t xml:space="preserve"> </w:t>
      </w:r>
      <w:r>
        <w:t xml:space="preserve">should subset or hair-cut by quoted spread, displayed depth, and cumulative volume, which are standard liquidity descriptors in prediction markets.</w:t>
      </w:r>
      <w:r>
        <w:t xml:space="preserve"> </w:t>
      </w:r>
      <w:r>
        <w:rPr>
          <w:b/>
          <w:bCs/>
        </w:rPr>
        <w:t xml:space="preserve">Delayed-settlement stress</w:t>
      </w:r>
      <w:r>
        <w:t xml:space="preserve"> </w:t>
      </w:r>
      <w:r>
        <w:t xml:space="preserve">should postpone capital release until final-determination timestamps and then replay corrections using archive-quality replacements when they appear.</w:t>
      </w:r>
      <w:r>
        <w:t xml:space="preserve"> </w:t>
      </w:r>
      <w:hyperlink r:id="rId35">
        <w:r>
          <w:rPr>
            <w:rStyle w:val="Hyperlink"/>
          </w:rPr>
          <w:t xml:space="preserve">[22]</w:t>
        </w:r>
      </w:hyperlink>
    </w:p>
    <w:bookmarkEnd w:id="36"/>
    <w:bookmarkEnd w:id="37"/>
    <w:bookmarkStart w:id="39" w:name="go-live-gates"/>
    <w:p>
      <w:pPr>
        <w:pStyle w:val="Heading2"/>
      </w:pPr>
      <w:r>
        <w:t xml:space="preserve">Go-live gates</w:t>
      </w:r>
    </w:p>
    <w:p>
      <w:pPr>
        <w:pStyle w:val="FirstParagraph"/>
      </w:pPr>
      <w:r>
        <w:t xml:space="preserve">The progression from shadow to live should require more than positive shadow P\&amp;L. It should require evidence on four fronts: forecast coherence, execution calibration, operational correctness, and bankroll-level risk stability under stale-regime and low-liquidity stress. That is especially important in slowly evolving time series, where short backtests can overstate stability.</w:t>
      </w:r>
      <w:r>
        <w:t xml:space="preserve"> </w:t>
      </w:r>
      <w:hyperlink r:id="rId35">
        <w:r>
          <w:rPr>
            <w:rStyle w:val="Hyperlink"/>
          </w:rPr>
          <w:t xml:space="preserve">[23]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Must be true to advance</w:t>
            </w:r>
          </w:p>
        </w:tc>
        <w:tc>
          <w:tcPr/>
          <w:p>
            <w:pPr>
              <w:pStyle w:val="Compact"/>
            </w:pPr>
            <w:r>
              <w:t xml:space="preserve">Hard fail gate</w:t>
            </w:r>
          </w:p>
        </w:tc>
        <w:tc>
          <w:tcPr/>
          <w:p>
            <w:pPr>
              <w:pStyle w:val="Compact"/>
            </w:pPr>
            <w:r>
              <w:t xml:space="preserve">Capital mode</w:t>
            </w:r>
          </w:p>
        </w:tc>
      </w:tr>
      <w:tr>
        <w:tc>
          <w:tcPr/>
          <w:p>
            <w:pPr>
              <w:pStyle w:val="Compact"/>
            </w:pPr>
            <w:r>
              <w:t xml:space="preserve">1d</w:t>
            </w:r>
          </w:p>
        </w:tc>
        <w:tc>
          <w:tcPr/>
          <w:p>
            <w:pPr>
              <w:pStyle w:val="Compact"/>
            </w:pPr>
            <w:r>
              <w:t xml:space="preserve">100% order, fill, and settlement reconciliation in replay; 0 coherence violations between signal layer and order generator; conservative execution scenario still non-negative on expected log growth</w:t>
            </w:r>
          </w:p>
        </w:tc>
        <w:tc>
          <w:tcPr/>
          <w:p>
            <w:pPr>
              <w:pStyle w:val="Compact"/>
            </w:pPr>
            <w:r>
              <w:t xml:space="preserve">Any unmatched fill/cancel/settlement; any impossible-state probability &gt; 0; any cap misfire</w:t>
            </w:r>
          </w:p>
        </w:tc>
        <w:tc>
          <w:tcPr/>
          <w:p>
            <w:pPr>
              <w:pStyle w:val="Compact"/>
            </w:pPr>
            <w:r>
              <w:t xml:space="preserve">Shadow only</w:t>
            </w:r>
          </w:p>
        </w:tc>
      </w:tr>
      <w:tr>
        <w:tc>
          <w:tcPr/>
          <w:p>
            <w:pPr>
              <w:pStyle w:val="Compact"/>
            </w:pPr>
            <w:r>
              <w:t xml:space="preserve">7d</w:t>
            </w:r>
          </w:p>
        </w:tc>
        <w:tc>
          <w:tcPr/>
          <w:p>
            <w:pPr>
              <w:pStyle w:val="Compact"/>
            </w:pPr>
            <w:r>
              <w:t xml:space="preserve">Fill-probability calibration slope in</w:t>
            </w:r>
            <w:r>
              <w:t xml:space="preserve"> </w:t>
            </w:r>
            <m:oMath>
              <m:d>
                <m:dPr>
                  <m:begChr m:val="["/>
                  <m:sepChr m:val=""/>
                  <m:endChr m:val="]"/>
                  <m:grow/>
                </m:dPr>
                <m:e>
                  <m:r>
                    <m:t>0.8</m:t>
                  </m:r>
                  <m:r>
                    <m:rPr>
                      <m:sty m:val="p"/>
                    </m:rPr>
                    <m:t>,</m:t>
                  </m:r>
                  <m:r>
                    <m:t>1.2</m:t>
                  </m:r>
                </m:e>
              </m:d>
            </m:oMath>
            <w:r>
              <w:t xml:space="preserve">; mean slippage error within 0.5 price levels in base scenario; cancel/replace rejects &lt; 0.5% of actions</w:t>
            </w:r>
          </w:p>
        </w:tc>
        <w:tc>
          <w:tcPr/>
          <w:p>
            <w:pPr>
              <w:pStyle w:val="Compact"/>
            </w:pPr>
            <w:r>
              <w:t xml:space="preserve">Any stale resting order that survives disconnect/pause policy; any unresolved user-state mismatch before new orders</w:t>
            </w:r>
          </w:p>
        </w:tc>
        <w:tc>
          <w:tcPr/>
          <w:p>
            <w:pPr>
              <w:pStyle w:val="Compact"/>
            </w:pPr>
            <w:r>
              <w:t xml:space="preserve">Pilot live at 0.5–1.0% bankroll cap</w:t>
            </w:r>
          </w:p>
        </w:tc>
      </w:tr>
      <w:tr>
        <w:tc>
          <w:tcPr/>
          <w:p>
            <w:pPr>
              <w:pStyle w:val="Compact"/>
            </w:pPr>
            <w:r>
              <w:t xml:space="preserve">14d</w:t>
            </w:r>
          </w:p>
        </w:tc>
        <w:tc>
          <w:tcPr/>
          <w:p>
            <w:pPr>
              <w:pStyle w:val="Compact"/>
            </w:pPr>
            <w:r>
              <w:t xml:space="preserve">Net full-bankroll return positive after fees in both base and conservative execution scenarios; capture ratio of realized to modeled edge at least 60% in liquid buckets</w:t>
            </w:r>
          </w:p>
        </w:tc>
        <w:tc>
          <w:tcPr/>
          <w:p>
            <w:pPr>
              <w:pStyle w:val="Compact"/>
            </w:pPr>
            <w:r>
              <w:t xml:space="preserve">Any concentration-cap breach; any day where positive P\&amp;L depends on one city/day or one family contributing more than 40% of net profits</w:t>
            </w:r>
          </w:p>
        </w:tc>
        <w:tc>
          <w:tcPr/>
          <w:p>
            <w:pPr>
              <w:pStyle w:val="Compact"/>
            </w:pPr>
            <w:r>
              <w:t xml:space="preserve">Small live at 2–3% bankroll cap</w:t>
            </w:r>
          </w:p>
        </w:tc>
      </w:tr>
      <w:tr>
        <w:tc>
          <w:tcPr/>
          <w:p>
            <w:pPr>
              <w:pStyle w:val="Compact"/>
            </w:pPr>
            <w:r>
              <w:t xml:space="preserve">28d</w:t>
            </w:r>
          </w:p>
        </w:tc>
        <w:tc>
          <w:tcPr/>
          <w:p>
            <w:pPr>
              <w:pStyle w:val="Compact"/>
            </w:pPr>
            <w:r>
              <w:t xml:space="preserve">Positive net bankroll return in each weekly slice; stale-regime and low-liquidity stress remain non-negative on expected log growth; 99% loss metric inside policy budget</w:t>
            </w:r>
          </w:p>
        </w:tc>
        <w:tc>
          <w:tcPr/>
          <w:p>
            <w:pPr>
              <w:pStyle w:val="Compact"/>
            </w:pPr>
            <w:r>
              <w:t xml:space="preserve">Any stress bucket that turns structurally negative after conservative slippage and delayed settlement assumptions</w:t>
            </w:r>
          </w:p>
        </w:tc>
        <w:tc>
          <w:tcPr/>
          <w:p>
            <w:pPr>
              <w:pStyle w:val="Compact"/>
            </w:pPr>
            <w:r>
              <w:t xml:space="preserve">Medium live at 5–10% bankroll cap</w:t>
            </w:r>
          </w:p>
        </w:tc>
      </w:tr>
      <w:tr>
        <w:tc>
          <w:tcPr/>
          <w:p>
            <w:pPr>
              <w:pStyle w:val="Compact"/>
            </w:pPr>
            <w:r>
              <w:t xml:space="preserve">3mo</w:t>
            </w:r>
          </w:p>
        </w:tc>
        <w:tc>
          <w:tcPr/>
          <w:p>
            <w:pPr>
              <w:pStyle w:val="Compact"/>
            </w:pPr>
            <w:r>
              <w:t xml:space="preserve">Positive realized net return at pilot size; stable calibration by city/day/family; no unresolved operational incident; shadow and live decomposition agree on where alpha comes from</w:t>
            </w:r>
          </w:p>
        </w:tc>
        <w:tc>
          <w:tcPr/>
          <w:p>
            <w:pPr>
              <w:pStyle w:val="Compact"/>
            </w:pPr>
            <w:r>
              <w:t xml:space="preserve">Any quarter-level drawdown beyond policy budget; any repeated operational incident; any failed settlement reconciliation</w:t>
            </w:r>
          </w:p>
        </w:tc>
        <w:tc>
          <w:tcPr/>
          <w:p>
            <w:pPr>
              <w:pStyle w:val="Compact"/>
            </w:pPr>
            <w:r>
              <w:t xml:space="preserve">Planned operating size</w:t>
            </w:r>
          </w:p>
        </w:tc>
      </w:tr>
    </w:tbl>
    <w:p>
      <w:pPr>
        <w:pStyle w:val="BodyText"/>
      </w:pPr>
      <w:r>
        <w:t xml:space="preserve">A separate</w:t>
      </w:r>
      <w:r>
        <w:t xml:space="preserve"> </w:t>
      </w:r>
      <w:r>
        <w:rPr>
          <w:b/>
          <w:bCs/>
        </w:rPr>
        <w:t xml:space="preserve">go-live checklist</w:t>
      </w:r>
      <w:r>
        <w:t xml:space="preserve"> </w:t>
      </w:r>
      <w:r>
        <w:t xml:space="preserve">should be treated as non-negotiable. Hard fail on any of the following:</w:t>
      </w:r>
    </w:p>
    <w:p>
      <w:pPr>
        <w:pStyle w:val="Compact"/>
        <w:numPr>
          <w:ilvl w:val="0"/>
          <w:numId w:val="1001"/>
        </w:numPr>
      </w:pPr>
      <w:r>
        <w:t xml:space="preserve">coherence violation reaching the order generator;</w:t>
      </w:r>
    </w:p>
    <w:p>
      <w:pPr>
        <w:pStyle w:val="Compact"/>
        <w:numPr>
          <w:ilvl w:val="0"/>
          <w:numId w:val="1001"/>
        </w:numPr>
      </w:pPr>
      <w:r>
        <w:t xml:space="preserve">unmatched order-state transition, fill, fee, or settlement;</w:t>
      </w:r>
    </w:p>
    <w:p>
      <w:pPr>
        <w:pStyle w:val="Compact"/>
        <w:numPr>
          <w:ilvl w:val="0"/>
          <w:numId w:val="1001"/>
        </w:numPr>
      </w:pPr>
      <w:r>
        <w:t xml:space="preserve">breach of market-side, city/day, family, station/hour, or total-capital limits;</w:t>
      </w:r>
    </w:p>
    <w:p>
      <w:pPr>
        <w:pStyle w:val="Compact"/>
        <w:numPr>
          <w:ilvl w:val="0"/>
          <w:numId w:val="1001"/>
        </w:numPr>
      </w:pPr>
      <w:r>
        <w:t xml:space="preserve">inability to reconstruct live state after disconnect using exchange data and local logs;</w:t>
      </w:r>
    </w:p>
    <w:p>
      <w:pPr>
        <w:pStyle w:val="Compact"/>
        <w:numPr>
          <w:ilvl w:val="0"/>
          <w:numId w:val="1001"/>
        </w:numPr>
      </w:pPr>
      <w:r>
        <w:t xml:space="preserve">conservative-scenario expected log-growth turning negative at the proposed capital tier.</w:t>
      </w:r>
      <w:r>
        <w:t xml:space="preserve"> </w:t>
      </w:r>
      <w:hyperlink r:id="rId38">
        <w:r>
          <w:rPr>
            <w:rStyle w:val="Hyperlink"/>
          </w:rPr>
          <w:t xml:space="preserve">[24]</w:t>
        </w:r>
      </w:hyperlink>
    </w:p>
    <w:p>
      <w:pPr>
        <w:pStyle w:val="FirstParagraph"/>
      </w:pPr>
      <w:r>
        <w:t xml:space="preserve">Operationally, I would also require one explicit drill before the first live dollar: trigger the burst-risk guard, trigger the cancel-all path, simulate a stale forecast update, and simulate a delayed settlement determination. If any one of those drills cannot be replayed deterministically from logs, the framework is not ready.</w:t>
      </w:r>
      <w:r>
        <w:t xml:space="preserve"> </w:t>
      </w:r>
      <w:hyperlink r:id="rId30">
        <w:r>
          <w:rPr>
            <w:rStyle w:val="Hyperlink"/>
          </w:rPr>
          <w:t xml:space="preserve">[25]</w:t>
        </w:r>
      </w:hyperlink>
    </w:p>
    <w:bookmarkEnd w:id="39"/>
    <w:bookmarkStart w:id="40" w:name="highest-value-next-changes"/>
    <w:p>
      <w:pPr>
        <w:pStyle w:val="Heading2"/>
      </w:pPr>
      <w:r>
        <w:t xml:space="preserve">Highest-value next changes</w:t>
      </w:r>
    </w:p>
    <w:p>
      <w:pPr>
        <w:pStyle w:val="FirstParagraph"/>
      </w:pPr>
      <w:r>
        <w:rPr>
          <w:b/>
          <w:bCs/>
        </w:rPr>
        <w:t xml:space="preserve">First: build a shared latent state model that prices every strike and related family from one coherent distribution per station-day.</w:t>
      </w:r>
      <w:r>
        <w:t xml:space="preserve"> </w:t>
      </w:r>
      <w:r>
        <w:t xml:space="preserve">This is the biggest breadth expansion because it converts every new listed bracket, neighboring strike, and related family into another linear claim on the same state space. The payoff is not just cleaner probabilities; it is a new alpha family made of structural residuals between quoted markets and the nearest coherent surface. In prediction-market terms, it captures both rebalancing and combinatorial dependence; in derivatives terms, it is the weather-book analog of arbitrage-free state-price-density fitting.</w:t>
      </w:r>
      <w:r>
        <w:t xml:space="preserve"> </w:t>
      </w:r>
      <w:hyperlink r:id="rId27">
        <w:r>
          <w:rPr>
            <w:rStyle w:val="Hyperlink"/>
          </w:rPr>
          <w:t xml:space="preserve">[26]</w:t>
        </w:r>
      </w:hyperlink>
    </w:p>
    <w:p>
      <w:pPr>
        <w:pStyle w:val="BodyText"/>
      </w:pPr>
      <w:r>
        <w:rPr>
          <w:b/>
          <w:bCs/>
        </w:rPr>
        <w:t xml:space="preserve">Second: add a cross-city and adjacent-day residual layer on top of the coherent surface.</w:t>
      </w:r>
      <w:r>
        <w:t xml:space="preserve"> </w:t>
      </w:r>
      <w:r>
        <w:t xml:space="preserve">The current requirement set already assumes multi-city and multi-day deployment, but the real breadth gain comes when city A, city B, and day</w:t>
      </w:r>
      <w:r>
        <w:t xml:space="preserve"> </w:t>
      </w:r>
      <m:oMath>
        <m:r>
          <m:t>D</m:t>
        </m:r>
      </m:oMath>
      <w:r>
        <w:t xml:space="preserve">/</w:t>
      </w:r>
      <m:oMath>
        <m:r>
          <m:t>D</m:t>
        </m:r>
        <m:r>
          <m:rPr>
            <m:sty m:val="p"/>
          </m:rPr>
          <m:t>+</m:t>
        </m:r>
        <m:r>
          <m:t>1</m:t>
        </m:r>
      </m:oMath>
      <w:r>
        <w:t xml:space="preserve"> </w:t>
      </w:r>
      <w:r>
        <w:t xml:space="preserve">are no longer just separate slots in the optimizer. They become a spatial-temporal</w:t>
      </w:r>
      <w:r>
        <w:t xml:space="preserve"> </w:t>
      </w:r>
      <w:r>
        <w:rPr>
          <w:b/>
          <w:bCs/>
        </w:rPr>
        <w:t xml:space="preserve">relative-value network</w:t>
      </w:r>
      <w:r>
        <w:t xml:space="preserve">. That creates alpha that is less correlated with the absolute direction of any single city’s temperature forecast and makes the concentration caps bind less often. If the optimizer’s shadow prices show city/day caps binding more often than total-capital caps, this is the change most likely to unlock additional independent alpha breadth.</w:t>
      </w:r>
    </w:p>
    <w:p>
      <w:pPr>
        <w:pStyle w:val="BodyText"/>
      </w:pPr>
      <w:r>
        <w:rPr>
          <w:b/>
          <w:bCs/>
        </w:rPr>
        <w:t xml:space="preserve">Third: add a dedicated execution-alpha layer that forecasts route choice and fill quality, not just weather outcomes.</w:t>
      </w:r>
      <w:r>
        <w:t xml:space="preserve"> </w:t>
      </w:r>
      <w:r>
        <w:t xml:space="preserve">The underlying exchange exposes queue position, explicit maker/taker fee rules, post-only and urgency order types, amend/cancel flows, and order-group kill switches; the execution literature shows that fill probability and adverse-selection costs are state dependent. That makes route selection itself an orthogonal alpha source. A good maker/taker classifier and queue-hazard model will usually raise full-bankroll ROI more than another round of pure weather feature engineering, because it improves how much of existing theoretical edge turns into actual filled, net-of-fee P\&amp;L.</w:t>
      </w:r>
      <w:r>
        <w:t xml:space="preserve"> </w:t>
      </w:r>
      <w:hyperlink r:id="rId23">
        <w:r>
          <w:rPr>
            <w:rStyle w:val="Hyperlink"/>
          </w:rPr>
          <w:t xml:space="preserve">[27]</w:t>
        </w:r>
      </w:hyperlink>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[19]</w:t>
        </w:r>
      </w:hyperlink>
      <w:r>
        <w:t xml:space="preserve"> </w:t>
      </w:r>
      <w:r>
        <w:t xml:space="preserve">https://help.kalshi.com/en/articles/13823837-weather-markets</w:t>
      </w:r>
    </w:p>
    <w:p>
      <w:pPr>
        <w:pStyle w:val="BodyText"/>
      </w:pPr>
      <w:hyperlink r:id="rId21">
        <w:r>
          <w:rPr>
            <w:rStyle w:val="Hyperlink"/>
          </w:rPr>
          <w:t xml:space="preserve">https://help.kalshi.com/en/articles/13823837-weather-markets</w:t>
        </w:r>
      </w:hyperlink>
    </w:p>
    <w:p>
      <w:pPr>
        <w:pStyle w:val="BodyText"/>
      </w:pPr>
      <w:hyperlink r:id="rId22">
        <w:r>
          <w:rPr>
            <w:rStyle w:val="Hyperlink"/>
          </w:rPr>
          <w:t xml:space="preserve">[3]</w:t>
        </w:r>
      </w:hyperlink>
      <w:r>
        <w:t xml:space="preserve"> </w:t>
      </w:r>
      <w:hyperlink r:id="rId22">
        <w:r>
          <w:rPr>
            <w:rStyle w:val="Hyperlink"/>
          </w:rPr>
          <w:t xml:space="preserve">[7]</w:t>
        </w:r>
      </w:hyperlink>
      <w:r>
        <w:t xml:space="preserve"> </w:t>
      </w:r>
      <w:hyperlink r:id="rId22">
        <w:r>
          <w:rPr>
            <w:rStyle w:val="Hyperlink"/>
          </w:rPr>
          <w:t xml:space="preserve">[16]</w:t>
        </w:r>
      </w:hyperlink>
      <w:r>
        <w:t xml:space="preserve"> </w:t>
      </w:r>
      <w:r>
        <w:t xml:space="preserve">https://gwern.net/doc/statistics/decision/1975-thorp.pdf</w:t>
      </w:r>
    </w:p>
    <w:p>
      <w:pPr>
        <w:pStyle w:val="BodyText"/>
      </w:pPr>
      <w:hyperlink r:id="rId22">
        <w:r>
          <w:rPr>
            <w:rStyle w:val="Hyperlink"/>
          </w:rPr>
          <w:t xml:space="preserve">https://gwern.net/doc/statistics/decision/1975-thorp.pdf</w:t>
        </w:r>
      </w:hyperlink>
    </w:p>
    <w:p>
      <w:pPr>
        <w:pStyle w:val="BodyText"/>
      </w:pPr>
      <w:hyperlink r:id="rId23">
        <w:r>
          <w:rPr>
            <w:rStyle w:val="Hyperlink"/>
          </w:rPr>
          <w:t xml:space="preserve">[4]</w:t>
        </w:r>
      </w:hyperlink>
      <w:r>
        <w:t xml:space="preserve"> </w:t>
      </w:r>
      <w:hyperlink r:id="rId23">
        <w:r>
          <w:rPr>
            <w:rStyle w:val="Hyperlink"/>
          </w:rPr>
          <w:t xml:space="preserve">[27]</w:t>
        </w:r>
      </w:hyperlink>
      <w:r>
        <w:t xml:space="preserve"> </w:t>
      </w:r>
      <w:r>
        <w:t xml:space="preserve">https://docs.kalshi.com/api-reference/orders/get-order-queue-position</w:t>
      </w:r>
    </w:p>
    <w:p>
      <w:pPr>
        <w:pStyle w:val="BodyText"/>
      </w:pPr>
      <w:hyperlink r:id="rId23">
        <w:r>
          <w:rPr>
            <w:rStyle w:val="Hyperlink"/>
          </w:rPr>
          <w:t xml:space="preserve">https://docs.kalshi.com/api-reference/orders/get-order-queue-position</w:t>
        </w:r>
      </w:hyperlink>
    </w:p>
    <w:p>
      <w:pPr>
        <w:pStyle w:val="BodyText"/>
      </w:pPr>
      <w:hyperlink r:id="rId25">
        <w:r>
          <w:rPr>
            <w:rStyle w:val="Hyperlink"/>
          </w:rPr>
          <w:t xml:space="preserve">[9]</w:t>
        </w:r>
      </w:hyperlink>
      <w:r>
        <w:t xml:space="preserve"> </w:t>
      </w:r>
      <w:hyperlink r:id="rId25">
        <w:r>
          <w:rPr>
            <w:rStyle w:val="Hyperlink"/>
          </w:rPr>
          <w:t xml:space="preserve">[11]</w:t>
        </w:r>
      </w:hyperlink>
      <w:r>
        <w:t xml:space="preserve"> </w:t>
      </w:r>
      <w:r>
        <w:t xml:space="preserve">https://www.princeton.edu/~yacine/aslo.pdf</w:t>
      </w:r>
    </w:p>
    <w:p>
      <w:pPr>
        <w:pStyle w:val="BodyText"/>
      </w:pPr>
      <w:hyperlink r:id="rId25">
        <w:r>
          <w:rPr>
            <w:rStyle w:val="Hyperlink"/>
          </w:rPr>
          <w:t xml:space="preserve">https://www.princeton.edu/~yacine/aslo.pdf</w:t>
        </w:r>
      </w:hyperlink>
    </w:p>
    <w:p>
      <w:pPr>
        <w:pStyle w:val="BodyText"/>
      </w:pPr>
      <w:hyperlink r:id="rId26">
        <w:r>
          <w:rPr>
            <w:rStyle w:val="Hyperlink"/>
          </w:rPr>
          <w:t xml:space="preserve">[10]</w:t>
        </w:r>
      </w:hyperlink>
      <w:r>
        <w:t xml:space="preserve"> </w:t>
      </w:r>
      <w:r>
        <w:t xml:space="preserve">https://fitelson.org/coherence/predd_et_al.pdf</w:t>
      </w:r>
    </w:p>
    <w:p>
      <w:pPr>
        <w:pStyle w:val="BodyText"/>
      </w:pPr>
      <w:hyperlink r:id="rId26">
        <w:r>
          <w:rPr>
            <w:rStyle w:val="Hyperlink"/>
          </w:rPr>
          <w:t xml:space="preserve">https://fitelson.org/coherence/predd_et_al.pdf</w:t>
        </w:r>
      </w:hyperlink>
    </w:p>
    <w:p>
      <w:pPr>
        <w:pStyle w:val="BodyText"/>
      </w:pPr>
      <w:hyperlink r:id="rId27">
        <w:r>
          <w:rPr>
            <w:rStyle w:val="Hyperlink"/>
          </w:rPr>
          <w:t xml:space="preserve">[12]</w:t>
        </w:r>
      </w:hyperlink>
      <w:r>
        <w:t xml:space="preserve"> </w:t>
      </w:r>
      <w:hyperlink r:id="rId27">
        <w:r>
          <w:rPr>
            <w:rStyle w:val="Hyperlink"/>
          </w:rPr>
          <w:t xml:space="preserve">[14]</w:t>
        </w:r>
      </w:hyperlink>
      <w:r>
        <w:t xml:space="preserve"> </w:t>
      </w:r>
      <w:hyperlink r:id="rId27">
        <w:r>
          <w:rPr>
            <w:rStyle w:val="Hyperlink"/>
          </w:rPr>
          <w:t xml:space="preserve">[26]</w:t>
        </w:r>
      </w:hyperlink>
      <w:r>
        <w:t xml:space="preserve"> </w:t>
      </w:r>
      <w:r>
        <w:t xml:space="preserve">https://suarez-tangil.networks.imdea.org/papers/2025aft-arbitrage.pdf</w:t>
      </w:r>
    </w:p>
    <w:p>
      <w:pPr>
        <w:pStyle w:val="BodyText"/>
      </w:pPr>
      <w:hyperlink r:id="rId27">
        <w:r>
          <w:rPr>
            <w:rStyle w:val="Hyperlink"/>
          </w:rPr>
          <w:t xml:space="preserve">https://suarez-tangil.networks.imdea.org/papers/2025aft-arbitrage.pdf</w:t>
        </w:r>
      </w:hyperlink>
    </w:p>
    <w:p>
      <w:pPr>
        <w:pStyle w:val="BodyText"/>
      </w:pPr>
      <w:hyperlink r:id="rId29">
        <w:r>
          <w:rPr>
            <w:rStyle w:val="Hyperlink"/>
          </w:rPr>
          <w:t xml:space="preserve">[13]</w:t>
        </w:r>
      </w:hyperlink>
      <w:r>
        <w:t xml:space="preserve"> </w:t>
      </w:r>
      <w:hyperlink r:id="rId29">
        <w:r>
          <w:rPr>
            <w:rStyle w:val="Hyperlink"/>
          </w:rPr>
          <w:t xml:space="preserve">[17]</w:t>
        </w:r>
      </w:hyperlink>
      <w:r>
        <w:t xml:space="preserve"> </w:t>
      </w:r>
      <w:r>
        <w:t xml:space="preserve">https://web.stanford.edu/~boyd/papers/pdf/kelly.pdf</w:t>
      </w:r>
    </w:p>
    <w:p>
      <w:pPr>
        <w:pStyle w:val="BodyText"/>
      </w:pPr>
      <w:hyperlink r:id="rId29">
        <w:r>
          <w:rPr>
            <w:rStyle w:val="Hyperlink"/>
          </w:rPr>
          <w:t xml:space="preserve">https://web.stanford.edu/~boyd/papers/pdf/kelly.pdf</w:t>
        </w:r>
      </w:hyperlink>
    </w:p>
    <w:p>
      <w:pPr>
        <w:pStyle w:val="BodyText"/>
      </w:pPr>
      <w:hyperlink r:id="rId30">
        <w:r>
          <w:rPr>
            <w:rStyle w:val="Hyperlink"/>
          </w:rPr>
          <w:t xml:space="preserve">[15]</w:t>
        </w:r>
      </w:hyperlink>
      <w:r>
        <w:t xml:space="preserve"> </w:t>
      </w:r>
      <w:hyperlink r:id="rId30">
        <w:r>
          <w:rPr>
            <w:rStyle w:val="Hyperlink"/>
          </w:rPr>
          <w:t xml:space="preserve">[25]</w:t>
        </w:r>
      </w:hyperlink>
      <w:r>
        <w:t xml:space="preserve"> </w:t>
      </w:r>
      <w:r>
        <w:t xml:space="preserve">https://docs.kalshi.com/api-reference/order-groups/create-order-group</w:t>
      </w:r>
    </w:p>
    <w:p>
      <w:pPr>
        <w:pStyle w:val="BodyText"/>
      </w:pPr>
      <w:hyperlink r:id="rId30">
        <w:r>
          <w:rPr>
            <w:rStyle w:val="Hyperlink"/>
          </w:rPr>
          <w:t xml:space="preserve">https://docs.kalshi.com/api-reference/order-groups/create-order-group</w:t>
        </w:r>
      </w:hyperlink>
    </w:p>
    <w:p>
      <w:pPr>
        <w:pStyle w:val="BodyText"/>
      </w:pPr>
      <w:hyperlink r:id="rId32">
        <w:r>
          <w:rPr>
            <w:rStyle w:val="Hyperlink"/>
          </w:rPr>
          <w:t xml:space="preserve">[18]</w:t>
        </w:r>
      </w:hyperlink>
      <w:r>
        <w:t xml:space="preserve"> </w:t>
      </w:r>
      <w:r>
        <w:t xml:space="preserve">https://docs.kalshi.com/websockets/orderbook-updates</w:t>
      </w:r>
    </w:p>
    <w:p>
      <w:pPr>
        <w:pStyle w:val="BodyText"/>
      </w:pPr>
      <w:hyperlink r:id="rId32">
        <w:r>
          <w:rPr>
            <w:rStyle w:val="Hyperlink"/>
          </w:rPr>
          <w:t xml:space="preserve">https://docs.kalshi.com/websockets/orderbook-updates</w:t>
        </w:r>
      </w:hyperlink>
    </w:p>
    <w:p>
      <w:pPr>
        <w:pStyle w:val="BodyText"/>
      </w:pPr>
      <w:hyperlink r:id="rId33">
        <w:r>
          <w:rPr>
            <w:rStyle w:val="Hyperlink"/>
          </w:rPr>
          <w:t xml:space="preserve">[20]</w:t>
        </w:r>
      </w:hyperlink>
      <w:r>
        <w:t xml:space="preserve"> </w:t>
      </w:r>
      <w:r>
        <w:t xml:space="preserve">https://kalshi.com/docs/kalshi-fee-schedule.pdf</w:t>
      </w:r>
    </w:p>
    <w:p>
      <w:pPr>
        <w:pStyle w:val="BodyText"/>
      </w:pPr>
      <w:hyperlink r:id="rId33">
        <w:r>
          <w:rPr>
            <w:rStyle w:val="Hyperlink"/>
          </w:rPr>
          <w:t xml:space="preserve">https://kalshi.com/docs/kalshi-fee-schedule.pdf</w:t>
        </w:r>
      </w:hyperlink>
    </w:p>
    <w:p>
      <w:pPr>
        <w:pStyle w:val="BodyText"/>
      </w:pPr>
      <w:hyperlink r:id="rId34">
        <w:r>
          <w:rPr>
            <w:rStyle w:val="Hyperlink"/>
          </w:rPr>
          <w:t xml:space="preserve">[21]</w:t>
        </w:r>
      </w:hyperlink>
      <w:r>
        <w:t xml:space="preserve"> </w:t>
      </w:r>
      <w:r>
        <w:t xml:space="preserve">https://docs.kalshi.com/fix/order-entry</w:t>
      </w:r>
    </w:p>
    <w:p>
      <w:pPr>
        <w:pStyle w:val="BodyText"/>
      </w:pPr>
      <w:hyperlink r:id="rId34">
        <w:r>
          <w:rPr>
            <w:rStyle w:val="Hyperlink"/>
          </w:rPr>
          <w:t xml:space="preserve">https://docs.kalshi.com/fix/order-entry</w:t>
        </w:r>
      </w:hyperlink>
    </w:p>
    <w:p>
      <w:pPr>
        <w:pStyle w:val="BodyText"/>
      </w:pPr>
      <w:hyperlink r:id="rId35">
        <w:r>
          <w:rPr>
            <w:rStyle w:val="Hyperlink"/>
          </w:rPr>
          <w:t xml:space="preserve">[22]</w:t>
        </w:r>
      </w:hyperlink>
      <w:r>
        <w:t xml:space="preserve"> </w:t>
      </w:r>
      <w:hyperlink r:id="rId35">
        <w:r>
          <w:rPr>
            <w:rStyle w:val="Hyperlink"/>
          </w:rPr>
          <w:t xml:space="preserve">[23]</w:t>
        </w:r>
      </w:hyperlink>
      <w:r>
        <w:t xml:space="preserve"> </w:t>
      </w:r>
      <w:r>
        <w:t xml:space="preserve">https://www.econstor.eu/bitstream/10419/209136/1/1684440068.pdf</w:t>
      </w:r>
    </w:p>
    <w:p>
      <w:pPr>
        <w:pStyle w:val="BodyText"/>
      </w:pPr>
      <w:hyperlink r:id="rId35">
        <w:r>
          <w:rPr>
            <w:rStyle w:val="Hyperlink"/>
          </w:rPr>
          <w:t xml:space="preserve">https://www.econstor.eu/bitstream/10419/209136/1/1684440068.pdf</w:t>
        </w:r>
      </w:hyperlink>
    </w:p>
    <w:p>
      <w:pPr>
        <w:pStyle w:val="BodyText"/>
      </w:pPr>
      <w:hyperlink r:id="rId38">
        <w:r>
          <w:rPr>
            <w:rStyle w:val="Hyperlink"/>
          </w:rPr>
          <w:t xml:space="preserve">[24]</w:t>
        </w:r>
      </w:hyperlink>
      <w:r>
        <w:t xml:space="preserve"> </w:t>
      </w:r>
      <w:r>
        <w:t xml:space="preserve">https://docs.kalshi.com/api-reference/exchange/get-user-data-timestamp</w:t>
      </w:r>
    </w:p>
    <w:p>
      <w:pPr>
        <w:pStyle w:val="BodyText"/>
      </w:pPr>
      <w:hyperlink r:id="rId38">
        <w:r>
          <w:rPr>
            <w:rStyle w:val="Hyperlink"/>
          </w:rPr>
          <w:t xml:space="preserve">https://docs.kalshi.com/api-reference/exchange/get-user-data-timestamp</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cs.kalshi.com/api-reference/exchange/get-user-data-timestamp" TargetMode="External" /><Relationship Type="http://schemas.openxmlformats.org/officeDocument/2006/relationships/hyperlink" Id="rId30" Target="https://docs.kalshi.com/api-reference/order-groups/create-order-group" TargetMode="External" /><Relationship Type="http://schemas.openxmlformats.org/officeDocument/2006/relationships/hyperlink" Id="rId23" Target="https://docs.kalshi.com/api-reference/orders/get-order-queue-position" TargetMode="External" /><Relationship Type="http://schemas.openxmlformats.org/officeDocument/2006/relationships/hyperlink" Id="rId34" Target="https://docs.kalshi.com/fix/order-entry" TargetMode="External" /><Relationship Type="http://schemas.openxmlformats.org/officeDocument/2006/relationships/hyperlink" Id="rId32" Target="https://docs.kalshi.com/websockets/orderbook-updates" TargetMode="External" /><Relationship Type="http://schemas.openxmlformats.org/officeDocument/2006/relationships/hyperlink" Id="rId26" Target="https://fitelson.org/coherence/predd_et_al.pdf" TargetMode="External" /><Relationship Type="http://schemas.openxmlformats.org/officeDocument/2006/relationships/hyperlink" Id="rId22" Target="https://gwern.net/doc/statistics/decision/1975-thorp.pdf"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33" Target="https://kalshi.com/docs/kalshi-fee-schedule.pdf" TargetMode="External" /><Relationship Type="http://schemas.openxmlformats.org/officeDocument/2006/relationships/hyperlink" Id="rId27" Target="https://suarez-tangil.networks.imdea.org/papers/2025aft-arbitrage.pdf" TargetMode="External" /><Relationship Type="http://schemas.openxmlformats.org/officeDocument/2006/relationships/hyperlink" Id="rId29" Target="https://web.stanford.edu/~boyd/papers/pdf/kelly.pdf" TargetMode="External" /><Relationship Type="http://schemas.openxmlformats.org/officeDocument/2006/relationships/hyperlink" Id="rId35" Target="https://www.econstor.eu/bitstream/10419/209136/1/1684440068.pdf" TargetMode="External" /><Relationship Type="http://schemas.openxmlformats.org/officeDocument/2006/relationships/hyperlink" Id="rId25" Target="https://www.princeton.edu/~yacine/aslo.pdf" TargetMode="External" /></Relationships>
</file>

<file path=word/_rels/footnotes.xml.rels><?xml version="1.0" encoding="UTF-8"?><Relationships xmlns="http://schemas.openxmlformats.org/package/2006/relationships"><Relationship Type="http://schemas.openxmlformats.org/officeDocument/2006/relationships/hyperlink" Id="rId38" Target="https://docs.kalshi.com/api-reference/exchange/get-user-data-timestamp" TargetMode="External" /><Relationship Type="http://schemas.openxmlformats.org/officeDocument/2006/relationships/hyperlink" Id="rId30" Target="https://docs.kalshi.com/api-reference/order-groups/create-order-group" TargetMode="External" /><Relationship Type="http://schemas.openxmlformats.org/officeDocument/2006/relationships/hyperlink" Id="rId23" Target="https://docs.kalshi.com/api-reference/orders/get-order-queue-position" TargetMode="External" /><Relationship Type="http://schemas.openxmlformats.org/officeDocument/2006/relationships/hyperlink" Id="rId34" Target="https://docs.kalshi.com/fix/order-entry" TargetMode="External" /><Relationship Type="http://schemas.openxmlformats.org/officeDocument/2006/relationships/hyperlink" Id="rId32" Target="https://docs.kalshi.com/websockets/orderbook-updates" TargetMode="External" /><Relationship Type="http://schemas.openxmlformats.org/officeDocument/2006/relationships/hyperlink" Id="rId26" Target="https://fitelson.org/coherence/predd_et_al.pdf" TargetMode="External" /><Relationship Type="http://schemas.openxmlformats.org/officeDocument/2006/relationships/hyperlink" Id="rId22" Target="https://gwern.net/doc/statistics/decision/1975-thorp.pdf" TargetMode="External" /><Relationship Type="http://schemas.openxmlformats.org/officeDocument/2006/relationships/hyperlink" Id="rId21" Target="https://help.kalshi.com/en/articles/13823837-weather-markets" TargetMode="External" /><Relationship Type="http://schemas.openxmlformats.org/officeDocument/2006/relationships/hyperlink" Id="rId33" Target="https://kalshi.com/docs/kalshi-fee-schedule.pdf" TargetMode="External" /><Relationship Type="http://schemas.openxmlformats.org/officeDocument/2006/relationships/hyperlink" Id="rId27" Target="https://suarez-tangil.networks.imdea.org/papers/2025aft-arbitrage.pdf" TargetMode="External" /><Relationship Type="http://schemas.openxmlformats.org/officeDocument/2006/relationships/hyperlink" Id="rId29" Target="https://web.stanford.edu/~boyd/papers/pdf/kelly.pdf" TargetMode="External" /><Relationship Type="http://schemas.openxmlformats.org/officeDocument/2006/relationships/hyperlink" Id="rId35" Target="https://www.econstor.eu/bitstream/10419/209136/1/1684440068.pdf" TargetMode="External" /><Relationship Type="http://schemas.openxmlformats.org/officeDocument/2006/relationships/hyperlink" Id="rId25" Target="https://www.princeton.edu/~yacine/asl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2026-04-16T16:59:47Z</dcterms:created>
  <dcterms:modified xsi:type="dcterms:W3CDTF">2026-04-16T16:59:47Z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