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1b5efe8b13c7916128432d46ef08311b3cfaef0"/>
    <w:p>
      <w:pPr>
        <w:pStyle w:val="Heading1"/>
      </w:pPr>
      <w:r>
        <w:t xml:space="preserve">Production QA and Anomaly Detection for Weather-to-Market Trading Pipelines</w:t>
      </w:r>
    </w:p>
    <w:p>
      <w:pPr>
        <w:pStyle w:val="FirstParagraph"/>
      </w:pPr>
      <w:r>
        <w:t xml:space="preserve">A production weather-to-market QA system should be designed as a</w:t>
      </w:r>
      <w:r>
        <w:t xml:space="preserve"> </w:t>
      </w:r>
      <w:r>
        <w:rPr>
          <w:b/>
          <w:bCs/>
        </w:rPr>
        <w:t xml:space="preserve">market-data control plane</w:t>
      </w:r>
      <w:r>
        <w:t xml:space="preserve">, not as a passive dashboard. The right posture is fail-closed for settlement-sensitive features, fail-open only into shadow mode, and encode each source’s publication behavior into executable contracts. That is warranted by the way the official stack actually behaves: the Aviation Weather Center</w:t>
      </w:r>
      <w:hyperlink r:id="rId21">
        <w:r>
          <w:rPr>
            <w:rStyle w:val="Hyperlink"/>
          </w:rPr>
          <w:t xml:space="preserve">[1]</w:t>
        </w:r>
      </w:hyperlink>
      <w:r>
        <w:t xml:space="preserve"> </w:t>
      </w:r>
      <w:r>
        <w:t xml:space="preserve">publishes full current METAR caches once a minute and full current TAF caches every 10 minutes; ASOS produces minute-by-minute observations and disseminates METAR/SPECI reports; the National Weather Service</w:t>
      </w:r>
      <w:hyperlink r:id="rId22">
        <w:r>
          <w:rPr>
            <w:rStyle w:val="Hyperlink"/>
          </w:rPr>
          <w:t xml:space="preserve">[2]</w:t>
        </w:r>
      </w:hyperlink>
      <w:r>
        <w:t xml:space="preserve"> </w:t>
      </w:r>
      <w:r>
        <w:t xml:space="preserve">API notes that station observations may be delayed by roughly 20 minutes due to MADIS QC; CLI climate reports are issued at least twice daily and define the previous climate day on a midnight-to-midnight local standard time basis; NWS climate pages explicitly say their climate products are preliminary and direct users to finalized data in the National Centers for Environmental Information</w:t>
      </w:r>
      <w:hyperlink r:id="rId23">
        <w:r>
          <w:rPr>
            <w:rStyle w:val="Hyperlink"/>
          </w:rPr>
          <w:t xml:space="preserve">[3]</w:t>
        </w:r>
      </w:hyperlink>
      <w:r>
        <w:t xml:space="preserve"> </w:t>
      </w:r>
      <w:r>
        <w:t xml:space="preserve">Climate Data Online archive; and GHCNd daily data are versioned, archived, and may not be replaced by archive-quality U.S. sources until roughly 45 to 60 days after month-end.</w:t>
      </w:r>
      <w:r>
        <w:t xml:space="preserve"> </w:t>
      </w:r>
      <w:hyperlink r:id="rId23">
        <w:r>
          <w:rPr>
            <w:rStyle w:val="Hyperlink"/>
          </w:rPr>
          <w:t xml:space="preserve">[4]</w:t>
        </w:r>
      </w:hyperlink>
    </w:p>
    <w:p>
      <w:pPr>
        <w:pStyle w:val="BodyText"/>
      </w:pPr>
      <w:r>
        <w:t xml:space="preserve">The system I recommend has three fences. The first fence is</w:t>
      </w:r>
      <w:r>
        <w:t xml:space="preserve"> </w:t>
      </w:r>
      <w:r>
        <w:rPr>
          <w:b/>
          <w:bCs/>
        </w:rPr>
        <w:t xml:space="preserve">ingest-time data contracts</w:t>
      </w:r>
      <w:r>
        <w:t xml:space="preserve"> </w:t>
      </w:r>
      <w:r>
        <w:t xml:space="preserve">that reject malformed, stale, or mis-bucketed records before they pollute features. The second fence is</w:t>
      </w:r>
      <w:r>
        <w:t xml:space="preserve"> </w:t>
      </w:r>
      <w:r>
        <w:rPr>
          <w:b/>
          <w:bCs/>
        </w:rPr>
        <w:t xml:space="preserve">cross-source and temporal reconciliation</w:t>
      </w:r>
      <w:r>
        <w:t xml:space="preserve"> </w:t>
      </w:r>
      <w:r>
        <w:t xml:space="preserve">that checks whether multiple feeds and internally derived state agree. The third fence is</w:t>
      </w:r>
      <w:r>
        <w:t xml:space="preserve"> </w:t>
      </w:r>
      <w:r>
        <w:rPr>
          <w:b/>
          <w:bCs/>
        </w:rPr>
        <w:t xml:space="preserve">settlement parity and archive re-audit</w:t>
      </w:r>
      <w:r>
        <w:t xml:space="preserve">, which treats the legal settlement source as binding, but continuously compares it with independent reconstructions and later archive data to catch silent corruption, timezone mistakes, parser regressions, and bad assumptions before they turn into false alpha. Official source limits also suggest architecture choices: AWC recommends cache-file ingestion for full routinely updated datasets and rate-limits API traffic, while CDO web services require a token and are rate-limited, so CDO/ADS belong in batch settlement and backfill lanes rather than the low-latency feature lane.</w:t>
      </w:r>
      <w:r>
        <w:t xml:space="preserve"> </w:t>
      </w:r>
      <w:hyperlink r:id="rId23">
        <w:r>
          <w:rPr>
            <w:rStyle w:val="Hyperlink"/>
          </w:rPr>
          <w:t xml:space="preserve">[5]</w:t>
        </w:r>
      </w:hyperlink>
    </w:p>
    <w:bookmarkStart w:id="25" w:name="reference-architecture"/>
    <w:p>
      <w:pPr>
        <w:pStyle w:val="Heading2"/>
      </w:pPr>
      <w:r>
        <w:t xml:space="preserve">Reference architecture</w:t>
      </w:r>
    </w:p>
    <w:p>
      <w:pPr>
        <w:pStyle w:val="FirstParagraph"/>
      </w:pPr>
      <w:r>
        <w:t xml:space="preserve">Use a</w:t>
      </w:r>
      <w:r>
        <w:t xml:space="preserve"> </w:t>
      </w:r>
      <w:r>
        <w:rPr>
          <w:b/>
          <w:bCs/>
        </w:rPr>
        <w:t xml:space="preserve">dual-lane architecture</w:t>
      </w:r>
      <w:r>
        <w:t xml:space="preserve">: a real-time lane for trade-sensitive observations and a batch lane for settlement, archive parity, and scorecards. In the real-time lane, ingest AWC METAR/SPECI and TAF via cache files, and ingest NWS station observations as a corroborating feed. In the batch lane, ingest overnight CLI text products, then re-check against CDO/ADS, GHCNd, and ISD-derived daily products as they become available. This separation follows the official source cadences and reduces the chance that one delayed or rate-limited archive API becomes a trading dependency.</w:t>
      </w:r>
      <w:r>
        <w:t xml:space="preserve"> </w:t>
      </w:r>
      <w:hyperlink r:id="rId23">
        <w:r>
          <w:rPr>
            <w:rStyle w:val="Hyperlink"/>
          </w:rPr>
          <w:t xml:space="preserve">[6]</w:t>
        </w:r>
      </w:hyperlink>
    </w:p>
    <w:p>
      <w:pPr>
        <w:pStyle w:val="SourceCode"/>
      </w:pPr>
      <w:r>
        <w:rPr>
          <w:rStyle w:val="VerbatimChar"/>
        </w:rPr>
        <w:t xml:space="preserve">                           PRODUCTION WEATHER QA CONTROL PLANE</w:t>
      </w:r>
      <w:r>
        <w:br/>
      </w:r>
      <w:r>
        <w:br/>
      </w:r>
      <w:r>
        <w:rPr>
          <w:rStyle w:val="VerbatimChar"/>
        </w:rPr>
        <w:t xml:space="preserve">                     Real-time lane                                  Batch / settlement lane</w:t>
      </w:r>
      <w:r>
        <w:br/>
      </w:r>
      <w:r>
        <w:rPr>
          <w:rStyle w:val="VerbatimChar"/>
        </w:rPr>
        <w:t xml:space="preserve">          ┌───────────────────────────────┐                 ┌────────────────────────────────┐</w:t>
      </w:r>
      <w:r>
        <w:br/>
      </w:r>
      <w:r>
        <w:rPr>
          <w:rStyle w:val="VerbatimChar"/>
        </w:rPr>
        <w:t xml:space="preserve">          │ AWC METAR/SPECI cache         │                 │ CLI daily climate products      │</w:t>
      </w:r>
      <w:r>
        <w:br/>
      </w:r>
      <w:r>
        <w:rPr>
          <w:rStyle w:val="VerbatimChar"/>
        </w:rPr>
        <w:t xml:space="preserve">          │ AWC TAF cache                 │                 │ CDO / ADS daily summaries       │</w:t>
      </w:r>
      <w:r>
        <w:br/>
      </w:r>
      <w:r>
        <w:rPr>
          <w:rStyle w:val="VerbatimChar"/>
        </w:rPr>
        <w:t xml:space="preserve">          │ NWS observations API          │                 │ GHCNd / ISD / LCD backfills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Immutable raw landing zone                                       │</w:t>
      </w:r>
      <w:r>
        <w:br/>
      </w:r>
      <w:r>
        <w:rPr>
          <w:rStyle w:val="VerbatimChar"/>
        </w:rPr>
        <w:t xml:space="preserve">                 │ - raw bytes                                                      │</w:t>
      </w:r>
      <w:r>
        <w:br/>
      </w:r>
      <w:r>
        <w:rPr>
          <w:rStyle w:val="VerbatimChar"/>
        </w:rPr>
        <w:t xml:space="preserve">                 │ - SHA-256 payload hash                                           │</w:t>
      </w:r>
      <w:r>
        <w:br/>
      </w:r>
      <w:r>
        <w:rPr>
          <w:rStyle w:val="VerbatimChar"/>
        </w:rPr>
        <w:t xml:space="preserve">                 │ - source name / endpoint / file version                          │</w:t>
      </w:r>
      <w:r>
        <w:br/>
      </w:r>
      <w:r>
        <w:rPr>
          <w:rStyle w:val="VerbatimChar"/>
        </w:rPr>
        <w:t xml:space="preserve">                 │ - arrival timestamp / fetch metadata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Parser + normalizer   │                          │ Station registry       │</w:t>
      </w:r>
      <w:r>
        <w:br/>
      </w:r>
      <w:r>
        <w:rPr>
          <w:rStyle w:val="VerbatimChar"/>
        </w:rPr>
        <w:t xml:space="preserve">             │ - versioned parsers   │&lt;------------------------&gt;│ - aliases/effective IDs│</w:t>
      </w:r>
      <w:r>
        <w:br/>
      </w:r>
      <w:r>
        <w:rPr>
          <w:rStyle w:val="VerbatimChar"/>
        </w:rPr>
        <w:t xml:space="preserve">             │ - canonical schema    │                          │ - lat/lon/elev/tz/LST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QA engine                                                         │</w:t>
      </w:r>
      <w:r>
        <w:br/>
      </w:r>
      <w:r>
        <w:rPr>
          <w:rStyle w:val="VerbatimChar"/>
        </w:rPr>
        <w:t xml:space="preserve">                 │ - schema / timestamp / timezone contracts                         │</w:t>
      </w:r>
      <w:r>
        <w:br/>
      </w:r>
      <w:r>
        <w:rPr>
          <w:rStyle w:val="VerbatimChar"/>
        </w:rPr>
        <w:t xml:space="preserve">                 │ - freshness and stale-age monitors                                │</w:t>
      </w:r>
      <w:r>
        <w:br/>
      </w:r>
      <w:r>
        <w:rPr>
          <w:rStyle w:val="VerbatimChar"/>
        </w:rPr>
        <w:t xml:space="preserve">                 │ - cross-source reconciliation                                     │</w:t>
      </w:r>
      <w:r>
        <w:br/>
      </w:r>
      <w:r>
        <w:rPr>
          <w:rStyle w:val="VerbatimChar"/>
        </w:rPr>
        <w:t xml:space="preserve">                 │ - anomaly detection                                               │</w:t>
      </w:r>
      <w:r>
        <w:br/>
      </w:r>
      <w:r>
        <w:rPr>
          <w:rStyle w:val="VerbatimChar"/>
        </w:rPr>
        <w:t xml:space="preserve">                 │ - QA confidence scoring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Feature builder        │       │ Incident / alert bus │</w:t>
      </w:r>
      <w:r>
        <w:br/>
      </w:r>
      <w:r>
        <w:rPr>
          <w:rStyle w:val="VerbatimChar"/>
        </w:rPr>
        <w:t xml:space="preserve">             │ - intraday max/min     │       │ - P0/P1/P2 routing   │</w:t>
      </w:r>
      <w:r>
        <w:br/>
      </w:r>
      <w:r>
        <w:rPr>
          <w:rStyle w:val="VerbatimChar"/>
        </w:rPr>
        <w:t xml:space="preserve">             │ - trade candidate view │       │ - root-cause labels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Trade gate        │          │ QA warehouse      │</w:t>
      </w:r>
      <w:r>
        <w:br/>
      </w:r>
      <w:r>
        <w:rPr>
          <w:rStyle w:val="VerbatimChar"/>
        </w:rPr>
        <w:t xml:space="preserve">                │ - allow / hold    │          │ - scorecards      │</w:t>
      </w:r>
      <w:r>
        <w:br/>
      </w:r>
      <w:r>
        <w:rPr>
          <w:rStyle w:val="VerbatimChar"/>
        </w:rPr>
        <w:t xml:space="preserve">                │ - shadow mode     │          │ - top stations/hr │</w:t>
      </w:r>
      <w:r>
        <w:br/>
      </w:r>
      <w:r>
        <w:rPr>
          <w:rStyle w:val="VerbatimChar"/>
        </w:rPr>
        <w:t xml:space="preserve">                └────────┬─────────┘          │ - archive re-audit │</w:t>
      </w:r>
      <w:r>
        <w:br/>
      </w:r>
      <w:r>
        <w:rPr>
          <w:rStyle w:val="VerbatimChar"/>
        </w:rPr>
        <w:t xml:space="preserve">                         │                    └────────────────────┘</w:t>
      </w:r>
      <w:r>
        <w:br/>
      </w:r>
      <w:r>
        <w:rPr>
          <w:rStyle w:val="VerbatimChar"/>
        </w:rPr>
        <w:t xml:space="preserve">                ┌────────▼─────────┐</w:t>
      </w:r>
      <w:r>
        <w:br/>
      </w:r>
      <w:r>
        <w:rPr>
          <w:rStyle w:val="VerbatimChar"/>
        </w:rPr>
        <w:t xml:space="preserve">                │ OMS / execution   │</w:t>
      </w:r>
      <w:r>
        <w:br/>
      </w:r>
      <w:r>
        <w:rPr>
          <w:rStyle w:val="VerbatimChar"/>
        </w:rPr>
        <w:t xml:space="preserve">                └───────────────────┘</w:t>
      </w:r>
    </w:p>
    <w:p>
      <w:pPr>
        <w:pStyle w:val="FirstParagraph"/>
      </w:pPr>
      <w:r>
        <w:t xml:space="preserve">The most important architectural rule is that</w:t>
      </w:r>
      <w:r>
        <w:t xml:space="preserve"> </w:t>
      </w:r>
      <w:r>
        <w:rPr>
          <w:b/>
          <w:bCs/>
        </w:rPr>
        <w:t xml:space="preserve">every trade candidate must be reconstructible from immutable snapshots</w:t>
      </w:r>
      <w:r>
        <w:t xml:space="preserve">. That means feature generation should never read “latest values” from mutable stores without also storing the exact payload hashes, parser versions, station mapping version, timezone rules version, and feature build version used to produce the candidate. For archive data, persist the source dataset version as well; GHCNd explicitly assigns a unique version number to each daily update and archives it.</w:t>
      </w:r>
      <w:r>
        <w:t xml:space="preserve"> </w:t>
      </w:r>
      <w:hyperlink r:id="rId24">
        <w:r>
          <w:rPr>
            <w:rStyle w:val="Hyperlink"/>
          </w:rPr>
          <w:t xml:space="preserve">[7]</w:t>
        </w:r>
      </w:hyperlink>
    </w:p>
    <w:bookmarkEnd w:id="25"/>
    <w:bookmarkStart w:id="27" w:name="X017b196a51ae966d928161f74ab4fe915582b1b"/>
    <w:p>
      <w:pPr>
        <w:pStyle w:val="Heading2"/>
      </w:pPr>
      <w:r>
        <w:t xml:space="preserve">Source contracts and local-standard-day logic</w:t>
      </w:r>
    </w:p>
    <w:p>
      <w:pPr>
        <w:pStyle w:val="FirstParagraph"/>
      </w:pPr>
      <w:r>
        <w:t xml:space="preserve">The foundation is a</w:t>
      </w:r>
      <w:r>
        <w:t xml:space="preserve"> </w:t>
      </w:r>
      <w:r>
        <w:rPr>
          <w:b/>
          <w:bCs/>
        </w:rPr>
        <w:t xml:space="preserve">canonical station registry</w:t>
      </w:r>
      <w:r>
        <w:t xml:space="preserve"> </w:t>
      </w:r>
      <w:r>
        <w:t xml:space="preserve">with effective-dated aliases. Build it from HOMR plus a local exchange mapping layer. HOMR is explicitly designed to track identifiers, names, locations, observation times, reporting methods, and equipment/siting changes over a station’s lifespan, and its API supports qualified identifiers including FAA, ICAO, NWSLI, WBAN, WMO, and COOP. That makes it the right authoritative backbone for station normalization and alias history.</w:t>
      </w:r>
      <w:r>
        <w:t xml:space="preserve"> </w:t>
      </w:r>
      <w:hyperlink r:id="rId26">
        <w:r>
          <w:rPr>
            <w:rStyle w:val="Hyperlink"/>
          </w:rPr>
          <w:t xml:space="preserve">[8]</w:t>
        </w:r>
      </w:hyperlink>
    </w:p>
    <w:p>
      <w:pPr>
        <w:pStyle w:val="BodyText"/>
      </w:pPr>
      <w:r>
        <w:t xml:space="preserve">The contract matrix below is the operational design I would implement.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Ingest contract</w:t>
            </w:r>
          </w:p>
        </w:tc>
        <w:tc>
          <w:tcPr/>
          <w:p>
            <w:pPr>
              <w:pStyle w:val="Compact"/>
            </w:pPr>
            <w:r>
              <w:t xml:space="preserve">Time contract</w:t>
            </w:r>
          </w:p>
        </w:tc>
        <w:tc>
          <w:tcPr/>
          <w:p>
            <w:pPr>
              <w:pStyle w:val="Compact"/>
            </w:pPr>
            <w:r>
              <w:t xml:space="preserve">Station contract</w:t>
            </w:r>
          </w:p>
        </w:tc>
        <w:tc>
          <w:tcPr/>
          <w:p>
            <w:pPr>
              <w:pStyle w:val="Compact"/>
            </w:pPr>
            <w:r>
              <w:t xml:space="preserve">Persistence contract</w:t>
            </w:r>
          </w:p>
        </w:tc>
      </w:tr>
      <w:tr>
        <w:tc>
          <w:tcPr/>
          <w:p>
            <w:pPr>
              <w:pStyle w:val="Compact"/>
            </w:pPr>
            <w:r>
              <w:rPr>
                <w:b/>
                <w:bCs/>
              </w:rPr>
              <w:t xml:space="preserve">AWC METAR/SPECI</w:t>
            </w:r>
          </w:p>
        </w:tc>
        <w:tc>
          <w:tcPr/>
          <w:p>
            <w:pPr>
              <w:pStyle w:val="Compact"/>
            </w:pPr>
            <w:r>
              <w:t xml:space="preserve">Parse raw text to typed canonical fields; reject missing station/time groups; enforce unit normalization; dedupe on</w:t>
            </w:r>
            <w:r>
              <w:t xml:space="preserve"> </w:t>
            </w:r>
            <w:r>
              <w:rPr>
                <w:rStyle w:val="VerbatimChar"/>
              </w:rPr>
              <w:t xml:space="preserve">(station_uid, obs_time_utc, raw_hash)</w:t>
            </w:r>
            <w:r>
              <w:t xml:space="preserve">; preserve raw text and parsed record</w:t>
            </w:r>
          </w:p>
        </w:tc>
        <w:tc>
          <w:tcPr/>
          <w:p>
            <w:pPr>
              <w:pStyle w:val="Compact"/>
            </w:pPr>
            <w:r>
              <w:rPr>
                <w:rStyle w:val="VerbatimChar"/>
              </w:rPr>
              <w:t xml:space="preserve">obs_time_utc</w:t>
            </w:r>
            <w:r>
              <w:t xml:space="preserve"> </w:t>
            </w:r>
            <w:r>
              <w:t xml:space="preserve">must parse cleanly; no future times beyond small clock-skew allowance; replay records must carry replay flag; sequence must be nondecreasing per station</w:t>
            </w:r>
          </w:p>
        </w:tc>
        <w:tc>
          <w:tcPr/>
          <w:p>
            <w:pPr>
              <w:pStyle w:val="Compact"/>
            </w:pPr>
            <w:r>
              <w:t xml:space="preserve">Resolve ICAO/FAA alias to</w:t>
            </w:r>
            <w:r>
              <w:t xml:space="preserve"> </w:t>
            </w:r>
            <w:r>
              <w:rPr>
                <w:rStyle w:val="VerbatimChar"/>
              </w:rPr>
              <w:t xml:space="preserve">station_uid</w:t>
            </w:r>
            <w:r>
              <w:t xml:space="preserve">; attach effective lat/lon/elev/tz</w:t>
            </w:r>
          </w:p>
        </w:tc>
        <w:tc>
          <w:tcPr/>
          <w:p>
            <w:pPr>
              <w:pStyle w:val="Compact"/>
            </w:pPr>
            <w:r>
              <w:t xml:space="preserve">Persist raw bytes, parsed record, parser version, source cache timestamp</w:t>
            </w:r>
          </w:p>
        </w:tc>
      </w:tr>
      <w:tr>
        <w:tc>
          <w:tcPr/>
          <w:p>
            <w:pPr>
              <w:pStyle w:val="Compact"/>
            </w:pPr>
            <w:r>
              <w:rPr>
                <w:b/>
                <w:bCs/>
              </w:rPr>
              <w:t xml:space="preserve">AWC TAF</w:t>
            </w:r>
          </w:p>
        </w:tc>
        <w:tc>
          <w:tcPr/>
          <w:p>
            <w:pPr>
              <w:pStyle w:val="Compact"/>
            </w:pPr>
            <w:r>
              <w:t xml:space="preserve">Parse issue time, valid window, AMD/COR markers, forecast blocks; reject structurally invalid amendments</w:t>
            </w:r>
          </w:p>
        </w:tc>
        <w:tc>
          <w:tcPr/>
          <w:p>
            <w:pPr>
              <w:pStyle w:val="Compact"/>
            </w:pPr>
            <w:r>
              <w:t xml:space="preserve">Enforce</w:t>
            </w:r>
            <w:r>
              <w:t xml:space="preserve"> </w:t>
            </w:r>
            <w:r>
              <w:rPr>
                <w:rStyle w:val="VerbatimChar"/>
              </w:rPr>
              <w:t xml:space="preserve">issue_time &lt;= valid_start &lt; valid_end</w:t>
            </w:r>
            <w:r>
              <w:t xml:space="preserve">; permit only 24h/30h operational horizons unless contract overrides</w:t>
            </w:r>
          </w:p>
        </w:tc>
        <w:tc>
          <w:tcPr/>
          <w:p>
            <w:pPr>
              <w:pStyle w:val="Compact"/>
            </w:pPr>
            <w:r>
              <w:t xml:space="preserve">Same canonical station resolution as METAR</w:t>
            </w:r>
          </w:p>
        </w:tc>
        <w:tc>
          <w:tcPr/>
          <w:p>
            <w:pPr>
              <w:pStyle w:val="Compact"/>
            </w:pPr>
            <w:r>
              <w:t xml:space="preserve">Persist full raw TAF, canonical forecast objects, supersession links</w:t>
            </w:r>
          </w:p>
        </w:tc>
      </w:tr>
      <w:tr>
        <w:tc>
          <w:tcPr/>
          <w:p>
            <w:pPr>
              <w:pStyle w:val="Compact"/>
            </w:pPr>
            <w:r>
              <w:rPr>
                <w:b/>
                <w:bCs/>
              </w:rPr>
              <w:t xml:space="preserve">NWS observations</w:t>
            </w:r>
          </w:p>
        </w:tc>
        <w:tc>
          <w:tcPr/>
          <w:p>
            <w:pPr>
              <w:pStyle w:val="Compact"/>
            </w:pPr>
            <w:r>
              <w:t xml:space="preserve">Accept only records that pass schema and timestamp parsing; store QC fields if exposed; quarantine null/partial records that break required feature contract</w:t>
            </w:r>
          </w:p>
        </w:tc>
        <w:tc>
          <w:tcPr/>
          <w:p>
            <w:pPr>
              <w:pStyle w:val="Compact"/>
            </w:pPr>
            <w:r>
              <w:t xml:space="preserve">Store both source timestamp and ingest timestamp; do not trust downstream rolling 24h max/min fields for settlement-sensitive logic</w:t>
            </w:r>
          </w:p>
        </w:tc>
        <w:tc>
          <w:tcPr/>
          <w:p>
            <w:pPr>
              <w:pStyle w:val="Compact"/>
            </w:pPr>
            <w:r>
              <w:t xml:space="preserve">Normalize station IDs to the same</w:t>
            </w:r>
            <w:r>
              <w:t xml:space="preserve"> </w:t>
            </w:r>
            <w:r>
              <w:rPr>
                <w:rStyle w:val="VerbatimChar"/>
              </w:rPr>
              <w:t xml:space="preserve">station_uid</w:t>
            </w:r>
            <w:r>
              <w:t xml:space="preserve">; preserve upstream provider/subprovider when available</w:t>
            </w:r>
          </w:p>
        </w:tc>
        <w:tc>
          <w:tcPr/>
          <w:p>
            <w:pPr>
              <w:pStyle w:val="Compact"/>
            </w:pPr>
            <w:r>
              <w:t xml:space="preserve">Persist raw JSON, parsed record, QC flags/descriptor, fetch metadata</w:t>
            </w:r>
          </w:p>
        </w:tc>
      </w:tr>
      <w:tr>
        <w:tc>
          <w:tcPr/>
          <w:p>
            <w:pPr>
              <w:pStyle w:val="Compact"/>
            </w:pPr>
            <w:r>
              <w:rPr>
                <w:b/>
                <w:bCs/>
              </w:rPr>
              <w:t xml:space="preserve">CLI daily climate</w:t>
            </w:r>
          </w:p>
        </w:tc>
        <w:tc>
          <w:tcPr/>
          <w:p>
            <w:pPr>
              <w:pStyle w:val="Compact"/>
            </w:pPr>
            <w:r>
              <w:t xml:space="preserve">Parse fixed-format climate values,</w:t>
            </w:r>
            <w:r>
              <w:t xml:space="preserve"> </w:t>
            </w:r>
            <w:r>
              <w:rPr>
                <w:rStyle w:val="VerbatimChar"/>
              </w:rPr>
              <w:t xml:space="preserve">MM</w:t>
            </w:r>
            <w:r>
              <w:t xml:space="preserve"> </w:t>
            </w:r>
            <w:r>
              <w:t xml:space="preserve">missing markers,</w:t>
            </w:r>
            <w:r>
              <w:t xml:space="preserve"> </w:t>
            </w:r>
            <w:r>
              <w:rPr>
                <w:rStyle w:val="VerbatimChar"/>
              </w:rPr>
              <w:t xml:space="preserve">T</w:t>
            </w:r>
            <w:r>
              <w:t xml:space="preserve"> </w:t>
            </w:r>
            <w:r>
              <w:t xml:space="preserve">trace markers, issue metadata, site id; reject silent coercion of missing to zero</w:t>
            </w:r>
          </w:p>
        </w:tc>
        <w:tc>
          <w:tcPr/>
          <w:p>
            <w:pPr>
              <w:pStyle w:val="Compact"/>
            </w:pPr>
            <w:r>
              <w:t xml:space="preserve">Assign climate day using local standard time; distinguish afternoon preliminary issue from overnight previous-day issue</w:t>
            </w:r>
          </w:p>
        </w:tc>
        <w:tc>
          <w:tcPr/>
          <w:p>
            <w:pPr>
              <w:pStyle w:val="Compact"/>
            </w:pPr>
            <w:r>
              <w:t xml:space="preserve">Map CLI site code to tradable station via station registry and contract-specific mapping</w:t>
            </w:r>
          </w:p>
        </w:tc>
        <w:tc>
          <w:tcPr/>
          <w:p>
            <w:pPr>
              <w:pStyle w:val="Compact"/>
            </w:pPr>
            <w:r>
              <w:t xml:space="preserve">Persist raw product text, parsed fields, issue time, product version/hash</w:t>
            </w:r>
          </w:p>
        </w:tc>
      </w:tr>
      <w:tr>
        <w:tc>
          <w:tcPr/>
          <w:p>
            <w:pPr>
              <w:pStyle w:val="Compact"/>
            </w:pPr>
            <w:r>
              <w:rPr>
                <w:b/>
                <w:bCs/>
              </w:rPr>
              <w:t xml:space="preserve">CDO / ADS / GHCNd / ISD fallback</w:t>
            </w:r>
          </w:p>
        </w:tc>
        <w:tc>
          <w:tcPr/>
          <w:p>
            <w:pPr>
              <w:pStyle w:val="Compact"/>
            </w:pPr>
            <w:r>
              <w:t xml:space="preserve">Parse station/date/element/value/source/version fields; preserve provenance and source flags</w:t>
            </w:r>
          </w:p>
        </w:tc>
        <w:tc>
          <w:tcPr/>
          <w:p>
            <w:pPr>
              <w:pStyle w:val="Compact"/>
            </w:pPr>
            <w:r>
              <w:t xml:space="preserve">Treat all records as batch parity inputs, not low-latency primaries; distinguish provisional vs archive-ready states</w:t>
            </w:r>
          </w:p>
        </w:tc>
        <w:tc>
          <w:tcPr/>
          <w:p>
            <w:pPr>
              <w:pStyle w:val="Compact"/>
            </w:pPr>
            <w:r>
              <w:t xml:space="preserve">Map external station ids to</w:t>
            </w:r>
            <w:r>
              <w:t xml:space="preserve"> </w:t>
            </w:r>
            <w:r>
              <w:rPr>
                <w:rStyle w:val="VerbatimChar"/>
              </w:rPr>
              <w:t xml:space="preserve">station_uid</w:t>
            </w:r>
            <w:r>
              <w:t xml:space="preserve"> </w:t>
            </w:r>
            <w:r>
              <w:t xml:space="preserve">using effective alias graph</w:t>
            </w:r>
          </w:p>
        </w:tc>
        <w:tc>
          <w:tcPr/>
          <w:p>
            <w:pPr>
              <w:pStyle w:val="Compact"/>
            </w:pPr>
            <w:r>
              <w:t xml:space="preserve">Persist dataset version, query params, returned records, archive status</w:t>
            </w:r>
          </w:p>
        </w:tc>
      </w:tr>
    </w:tbl>
    <w:p>
      <w:pPr>
        <w:pStyle w:val="BodyText"/>
      </w:pPr>
      <w:r>
        <w:t xml:space="preserve">Two implementation details matter more than anything else.</w:t>
      </w:r>
    </w:p>
    <w:p>
      <w:pPr>
        <w:pStyle w:val="BodyText"/>
      </w:pPr>
      <w:r>
        <w:t xml:space="preserve">First,</w:t>
      </w:r>
      <w:r>
        <w:t xml:space="preserve"> </w:t>
      </w:r>
      <w:r>
        <w:rPr>
          <w:b/>
          <w:bCs/>
        </w:rPr>
        <w:t xml:space="preserve">never synthesize official settlement values</w:t>
      </w:r>
      <w:r>
        <w:t xml:space="preserve">. NWS climate instructions are explicit that missing values should remain missing rather than being estimated, except for limited snow cases, and backup sources are only acceptable when they meet specific siting, standards, and NCEI archiving requirements. That means your pipeline may internally compute “best effort” estimates for diagnostics, but it must not silently promote them to official settlement truth.</w:t>
      </w:r>
      <w:r>
        <w:t xml:space="preserve"> </w:t>
      </w:r>
      <w:hyperlink r:id="rId21">
        <w:r>
          <w:rPr>
            <w:rStyle w:val="Hyperlink"/>
          </w:rPr>
          <w:t xml:space="preserve">[9]</w:t>
        </w:r>
      </w:hyperlink>
    </w:p>
    <w:p>
      <w:pPr>
        <w:pStyle w:val="BodyText"/>
      </w:pPr>
      <w:r>
        <w:t xml:space="preserve">Second, run</w:t>
      </w:r>
      <w:r>
        <w:t xml:space="preserve"> </w:t>
      </w:r>
      <w:r>
        <w:rPr>
          <w:b/>
          <w:bCs/>
        </w:rPr>
        <w:t xml:space="preserve">two clocks on every record</w:t>
      </w:r>
      <w:r>
        <w:t xml:space="preserve">:</w:t>
      </w:r>
      <w:r>
        <w:t xml:space="preserve"> </w:t>
      </w:r>
      <w:r>
        <w:rPr>
          <w:rStyle w:val="VerbatimChar"/>
        </w:rPr>
        <w:t xml:space="preserve">obs_time_utc</w:t>
      </w:r>
      <w:r>
        <w:t xml:space="preserve"> </w:t>
      </w:r>
      <w:r>
        <w:t xml:space="preserve">and</w:t>
      </w:r>
      <w:r>
        <w:t xml:space="preserve"> </w:t>
      </w:r>
      <w:r>
        <w:rPr>
          <w:rStyle w:val="VerbatimChar"/>
        </w:rPr>
        <w:t xml:space="preserve">climate_clock_lstd</w:t>
      </w:r>
      <w:r>
        <w:t xml:space="preserve">. The NWS climate instruction defines the CLI’s previous climate day as midnight-to-midnight</w:t>
      </w:r>
      <w:r>
        <w:t xml:space="preserve"> </w:t>
      </w:r>
      <w:r>
        <w:rPr>
          <w:b/>
          <w:bCs/>
        </w:rPr>
        <w:t xml:space="preserve">local standard time</w:t>
      </w:r>
      <w:r>
        <w:t xml:space="preserve">, and LCD documentation states that times are in local standard time unless otherwise noted, with daylight saving time not used for climate-format sunrise/sunset values. In practice, that means climate-day bucketing should be implemented on a fixed standard-offset clock, not on naive civil-local timestamps. This is the safest way to make spring-forward and fall-back transition days behave correctly for settlement logic.</w:t>
      </w:r>
      <w:r>
        <w:t xml:space="preserve"> </w:t>
      </w:r>
      <w:hyperlink r:id="rId21">
        <w:r>
          <w:rPr>
            <w:rStyle w:val="Hyperlink"/>
          </w:rPr>
          <w:t xml:space="preserve">[10]</w:t>
        </w:r>
      </w:hyperlink>
    </w:p>
    <w:p>
      <w:pPr>
        <w:pStyle w:val="BodyText"/>
      </w:pPr>
      <w:r>
        <w:t xml:space="preserve">That design has an immediate consequence: during DST seasons, the</w:t>
      </w:r>
      <w:r>
        <w:t xml:space="preserve"> </w:t>
      </w:r>
      <w:r>
        <w:rPr>
          <w:b/>
          <w:bCs/>
        </w:rPr>
        <w:t xml:space="preserve">civil-local reset hour and the climatological reset hour are not the same</w:t>
      </w:r>
      <w:r>
        <w:t xml:space="preserve">. For U.S. Eastern stations, for example, a local-standard-day boundary corresponds to 01:00 EDT during DST months. If you bucket by naive local midnight instead of fixed standard-offset time, you will silently miscompute running max/min and degree-day features exactly when nobody is looking for it. That should be treated as a P0 condition because it directly contaminates settlement-sensitive features.</w:t>
      </w:r>
      <w:r>
        <w:t xml:space="preserve"> </w:t>
      </w:r>
      <w:hyperlink r:id="rId21">
        <w:r>
          <w:rPr>
            <w:rStyle w:val="Hyperlink"/>
          </w:rPr>
          <w:t xml:space="preserve">[11]</w:t>
        </w:r>
      </w:hyperlink>
    </w:p>
    <w:bookmarkEnd w:id="27"/>
    <w:bookmarkStart w:id="30" w:name="X955ba25baf84b3a295c5786a8f56b4f1f1d58b2"/>
    <w:p>
      <w:pPr>
        <w:pStyle w:val="Heading2"/>
      </w:pPr>
      <w:r>
        <w:t xml:space="preserve">Freshness, reconciliation, and anomaly rules</w:t>
      </w:r>
    </w:p>
    <w:p>
      <w:pPr>
        <w:pStyle w:val="FirstParagraph"/>
      </w:pPr>
      <w:r>
        <w:t xml:space="preserve">Freshness monitoring should model</w:t>
      </w:r>
      <w:r>
        <w:t xml:space="preserve"> </w:t>
      </w:r>
      <w:r>
        <w:rPr>
          <w:b/>
          <w:bCs/>
        </w:rPr>
        <w:t xml:space="preserve">both feed heartbeat and station heartbeat</w:t>
      </w:r>
      <w:r>
        <w:t xml:space="preserve">. AWC publishes current METAR caches once a minute and TAF caches every 10 minutes; ASOS provides minute-by-minute observations and routine METAR/SPECI dissemination; FAA guidance still treats operational airport weather as hourly or special-observation data; NWS’s own time-series page notes that some ASOS stations report 12 to 13 times per hour; and the NWS API warns that observation delivery can lag due to MADIS QC processing. Those official behaviors justify a two-level freshness model: monitor transport freshness for the feed itself, then monitor per-station stale-age distributions by station and local hour so that “normal overnight sparsity” does not look like an outage and “unexpected noon staleness” does.</w:t>
      </w:r>
      <w:r>
        <w:t xml:space="preserve"> </w:t>
      </w:r>
      <w:hyperlink r:id="rId23">
        <w:r>
          <w:rPr>
            <w:rStyle w:val="Hyperlink"/>
          </w:rPr>
          <w:t xml:space="preserve">[12]</w:t>
        </w:r>
      </w:hyperlink>
    </w:p>
    <w:p>
      <w:pPr>
        <w:pStyle w:val="BodyText"/>
      </w:pPr>
      <w:r>
        <w:t xml:space="preserve">Recommended default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Monitor</w:t>
            </w:r>
          </w:p>
        </w:tc>
        <w:tc>
          <w:tcPr/>
          <w:p>
            <w:pPr>
              <w:pStyle w:val="Compact"/>
              <w:jc w:val="right"/>
            </w:pPr>
            <w:r>
              <w:t xml:space="preserve">P1 warn</w:t>
            </w:r>
          </w:p>
        </w:tc>
        <w:tc>
          <w:tcPr/>
          <w:p>
            <w:pPr>
              <w:pStyle w:val="Compact"/>
              <w:jc w:val="right"/>
            </w:pPr>
            <w:r>
              <w:t xml:space="preserve">P0 halt</w:t>
            </w:r>
          </w:p>
        </w:tc>
      </w:tr>
      <w:tr>
        <w:tc>
          <w:tcPr/>
          <w:p>
            <w:pPr>
              <w:pStyle w:val="Compact"/>
            </w:pPr>
            <w:r>
              <w:t xml:space="preserve">AWC METAR cache age</w:t>
            </w:r>
          </w:p>
        </w:tc>
        <w:tc>
          <w:tcPr/>
          <w:p>
            <w:pPr>
              <w:pStyle w:val="Compact"/>
              <w:jc w:val="right"/>
            </w:pPr>
            <w:r>
              <w:t xml:space="preserve">&gt; 3 min</w:t>
            </w:r>
          </w:p>
        </w:tc>
        <w:tc>
          <w:tcPr/>
          <w:p>
            <w:pPr>
              <w:pStyle w:val="Compact"/>
              <w:jc w:val="right"/>
            </w:pPr>
            <w:r>
              <w:t xml:space="preserve">&gt; 7 min</w:t>
            </w:r>
          </w:p>
        </w:tc>
      </w:tr>
      <w:tr>
        <w:tc>
          <w:tcPr/>
          <w:p>
            <w:pPr>
              <w:pStyle w:val="Compact"/>
            </w:pPr>
            <w:r>
              <w:t xml:space="preserve">AWC TAF cache age</w:t>
            </w:r>
          </w:p>
        </w:tc>
        <w:tc>
          <w:tcPr/>
          <w:p>
            <w:pPr>
              <w:pStyle w:val="Compact"/>
              <w:jc w:val="right"/>
            </w:pPr>
            <w:r>
              <w:t xml:space="preserve">&gt; 20 min</w:t>
            </w:r>
          </w:p>
        </w:tc>
        <w:tc>
          <w:tcPr/>
          <w:p>
            <w:pPr>
              <w:pStyle w:val="Compact"/>
              <w:jc w:val="right"/>
            </w:pPr>
            <w:r>
              <w:t xml:space="preserve">&gt; 40 min</w:t>
            </w:r>
          </w:p>
        </w:tc>
      </w:tr>
      <w:tr>
        <w:tc>
          <w:tcPr/>
          <w:p>
            <w:pPr>
              <w:pStyle w:val="Compact"/>
            </w:pPr>
            <w:r>
              <w:t xml:space="preserve">Station routine METAR gap</w:t>
            </w:r>
          </w:p>
        </w:tc>
        <w:tc>
          <w:tcPr/>
          <w:p>
            <w:pPr>
              <w:pStyle w:val="Compact"/>
              <w:jc w:val="right"/>
            </w:pPr>
            <w:r>
              <w:t xml:space="preserve">&gt; 80 min</w:t>
            </w:r>
          </w:p>
        </w:tc>
        <w:tc>
          <w:tcPr/>
          <w:p>
            <w:pPr>
              <w:pStyle w:val="Compact"/>
              <w:jc w:val="right"/>
            </w:pPr>
            <w:r>
              <w:t xml:space="preserve">&gt; 120 min</w:t>
            </w:r>
          </w:p>
        </w:tc>
      </w:tr>
      <w:tr>
        <w:tc>
          <w:tcPr/>
          <w:p>
            <w:pPr>
              <w:pStyle w:val="Compact"/>
            </w:pPr>
            <w:r>
              <w:t xml:space="preserve">NWS obs API stale age on tradable station</w:t>
            </w:r>
          </w:p>
        </w:tc>
        <w:tc>
          <w:tcPr/>
          <w:p>
            <w:pPr>
              <w:pStyle w:val="Compact"/>
              <w:jc w:val="right"/>
            </w:pPr>
            <w:r>
              <w:t xml:space="preserve">&gt; 25 min</w:t>
            </w:r>
          </w:p>
        </w:tc>
        <w:tc>
          <w:tcPr/>
          <w:p>
            <w:pPr>
              <w:pStyle w:val="Compact"/>
              <w:jc w:val="right"/>
            </w:pPr>
            <w:r>
              <w:t xml:space="preserve">&gt; 45 min</w:t>
            </w:r>
          </w:p>
        </w:tc>
      </w:tr>
      <w:tr>
        <w:tc>
          <w:tcPr/>
          <w:p>
            <w:pPr>
              <w:pStyle w:val="Compact"/>
            </w:pPr>
            <w:r>
              <w:t xml:space="preserve">Cohort stale rate for strategy universe</w:t>
            </w:r>
          </w:p>
        </w:tc>
        <w:tc>
          <w:tcPr/>
          <w:p>
            <w:pPr>
              <w:pStyle w:val="Compact"/>
              <w:jc w:val="right"/>
            </w:pPr>
            <w:r>
              <w:t xml:space="preserve">&gt; 10% stations</w:t>
            </w:r>
          </w:p>
        </w:tc>
        <w:tc>
          <w:tcPr/>
          <w:p>
            <w:pPr>
              <w:pStyle w:val="Compact"/>
              <w:jc w:val="right"/>
            </w:pPr>
            <w:r>
              <w:t xml:space="preserve">&gt; 20% stations</w:t>
            </w:r>
          </w:p>
        </w:tc>
      </w:tr>
      <w:tr>
        <w:tc>
          <w:tcPr/>
          <w:p>
            <w:pPr>
              <w:pStyle w:val="Compact"/>
            </w:pPr>
            <w:r>
              <w:t xml:space="preserve">Overnight CLI previous-day issue missing</w:t>
            </w:r>
          </w:p>
        </w:tc>
        <w:tc>
          <w:tcPr/>
          <w:p>
            <w:pPr>
              <w:pStyle w:val="Compact"/>
              <w:jc w:val="right"/>
            </w:pPr>
            <w:r>
              <w:t xml:space="preserve">after 05:15 local</w:t>
            </w:r>
          </w:p>
        </w:tc>
        <w:tc>
          <w:tcPr/>
          <w:p>
            <w:pPr>
              <w:pStyle w:val="Compact"/>
              <w:jc w:val="right"/>
            </w:pPr>
            <w:r>
              <w:t xml:space="preserve">after 06:00 local on settlement day</w:t>
            </w:r>
          </w:p>
        </w:tc>
      </w:tr>
    </w:tbl>
    <w:p>
      <w:pPr>
        <w:pStyle w:val="BodyText"/>
      </w:pPr>
      <w:r>
        <w:t xml:space="preserve">The key cross-source rule is to treat AWC METAR and NWS obs as</w:t>
      </w:r>
      <w:r>
        <w:t xml:space="preserve"> </w:t>
      </w:r>
      <w:r>
        <w:rPr>
          <w:b/>
          <w:bCs/>
        </w:rPr>
        <w:t xml:space="preserve">corroborating distribution paths</w:t>
      </w:r>
      <w:r>
        <w:t xml:space="preserve">, not fully independent truth, because both can originate from the same observing platform. Use them to catch parser drift, timestamp skew, schema regressions, and transport lag; reserve stronger independence for comparisons against the overnight CLI and later archive products.</w:t>
      </w:r>
      <w:r>
        <w:t xml:space="preserve"> </w:t>
      </w:r>
      <w:hyperlink r:id="rId28">
        <w:r>
          <w:rPr>
            <w:rStyle w:val="Hyperlink"/>
          </w:rPr>
          <w:t xml:space="preserve">[13]</w:t>
        </w:r>
      </w:hyperlink>
    </w:p>
    <w:p>
      <w:pPr>
        <w:pStyle w:val="BodyText"/>
      </w:pPr>
      <w:r>
        <w:t xml:space="preserve">Recommended reconciliation checks: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Method</w:t>
            </w:r>
          </w:p>
        </w:tc>
        <w:tc>
          <w:tcPr/>
          <w:p>
            <w:pPr>
              <w:pStyle w:val="Compact"/>
            </w:pPr>
            <w:r>
              <w:t xml:space="preserve">Suggested trigger</w:t>
            </w:r>
          </w:p>
        </w:tc>
      </w:tr>
      <w:tr>
        <w:tc>
          <w:tcPr/>
          <w:p>
            <w:pPr>
              <w:pStyle w:val="Compact"/>
            </w:pPr>
            <w:r>
              <w:rPr>
                <w:b/>
                <w:bCs/>
              </w:rPr>
              <w:t xml:space="preserve">METAR vs NWS obs divergence</w:t>
            </w:r>
          </w:p>
        </w:tc>
        <w:tc>
          <w:tcPr/>
          <w:p>
            <w:pPr>
              <w:pStyle w:val="Compact"/>
            </w:pPr>
            <w:r>
              <w:t xml:space="preserve">Match on</w:t>
            </w:r>
            <w:r>
              <w:t xml:space="preserve"> </w:t>
            </w:r>
            <w:r>
              <w:rPr>
                <w:rStyle w:val="VerbatimChar"/>
              </w:rPr>
              <w:t xml:space="preserve">station_uid</w:t>
            </w:r>
            <w:r>
              <w:t xml:space="preserve"> </w:t>
            </w:r>
            <w:r>
              <w:t xml:space="preserve">and nearest timestamp within 5 min; compare normalized temperature, dew point, pressure, and wind</w:t>
            </w:r>
          </w:p>
        </w:tc>
        <w:tc>
          <w:tcPr/>
          <w:p>
            <w:pPr>
              <w:pStyle w:val="Compact"/>
            </w:pPr>
            <w:r>
              <w:t xml:space="preserve">P1 if temp or dew point differs by &gt; 0.6°C for 2 consecutive matches; P0 for settlement-sensitive features if temp differs by &gt; 1.5°C for 3 matches</w:t>
            </w:r>
          </w:p>
        </w:tc>
      </w:tr>
      <w:tr>
        <w:tc>
          <w:tcPr/>
          <w:p>
            <w:pPr>
              <w:pStyle w:val="Compact"/>
            </w:pPr>
            <w:r>
              <w:rPr>
                <w:b/>
                <w:bCs/>
              </w:rPr>
              <w:t xml:space="preserve">Intraday max progression</w:t>
            </w:r>
          </w:p>
        </w:tc>
        <w:tc>
          <w:tcPr/>
          <w:p>
            <w:pPr>
              <w:pStyle w:val="Compact"/>
            </w:pPr>
            <w:r>
              <w:t xml:space="preserve">Derive running max/min from normalized raw obs on</w:t>
            </w:r>
            <w:r>
              <w:t xml:space="preserve"> </w:t>
            </w:r>
            <w:r>
              <w:rPr>
                <w:rStyle w:val="VerbatimChar"/>
              </w:rPr>
              <w:t xml:space="preserve">climate_clock_lstd</w:t>
            </w:r>
            <w:r>
              <w:t xml:space="preserve">; max must be monotone nondecreasing and min monotone nonincreasing within the climate day</w:t>
            </w:r>
          </w:p>
        </w:tc>
        <w:tc>
          <w:tcPr/>
          <w:p>
            <w:pPr>
              <w:pStyle w:val="Compact"/>
            </w:pPr>
            <w:r>
              <w:t xml:space="preserve">P1 on single impossible reset; P0 if reset occurs at a non-boundary hour or across a DST transition</w:t>
            </w:r>
          </w:p>
        </w:tc>
      </w:tr>
      <w:tr>
        <w:tc>
          <w:tcPr/>
          <w:p>
            <w:pPr>
              <w:pStyle w:val="Compact"/>
            </w:pPr>
            <w:r>
              <w:rPr>
                <w:b/>
                <w:bCs/>
              </w:rPr>
              <w:t xml:space="preserve">CLI parity</w:t>
            </w:r>
          </w:p>
        </w:tc>
        <w:tc>
          <w:tcPr/>
          <w:p>
            <w:pPr>
              <w:pStyle w:val="Compact"/>
            </w:pPr>
            <w:r>
              <w:t xml:space="preserve">Compare overnight CLI max/min/avg/precip/HDD/CDD to internal reconstruction using the same LST bucketing and rounding rules</w:t>
            </w:r>
          </w:p>
        </w:tc>
        <w:tc>
          <w:tcPr/>
          <w:p>
            <w:pPr>
              <w:pStyle w:val="Compact"/>
            </w:pPr>
            <w:r>
              <w:t xml:space="preserve">P1 on early discrepancy; P0 on settlement day if unresolved at cutoff</w:t>
            </w:r>
          </w:p>
        </w:tc>
      </w:tr>
      <w:tr>
        <w:tc>
          <w:tcPr/>
          <w:p>
            <w:pPr>
              <w:pStyle w:val="Compact"/>
            </w:pPr>
            <w:r>
              <w:rPr>
                <w:b/>
                <w:bCs/>
              </w:rPr>
              <w:t xml:space="preserve">CLI vs CDO/ADS fallback</w:t>
            </w:r>
          </w:p>
        </w:tc>
        <w:tc>
          <w:tcPr/>
          <w:p>
            <w:pPr>
              <w:pStyle w:val="Compact"/>
            </w:pPr>
            <w:r>
              <w:t xml:space="preserve">Compare CLI values to batch archive responses when available; separately label provisional vs archive-ready mismatches</w:t>
            </w:r>
          </w:p>
        </w:tc>
        <w:tc>
          <w:tcPr/>
          <w:p>
            <w:pPr>
              <w:pStyle w:val="Compact"/>
            </w:pPr>
            <w:r>
              <w:t xml:space="preserve">Observe while official CLI pending; P1 if batch parity disagrees; reopen incident if later archive-quality source contradicts prior settlement</w:t>
            </w:r>
          </w:p>
        </w:tc>
      </w:tr>
      <w:tr>
        <w:tc>
          <w:tcPr/>
          <w:p>
            <w:pPr>
              <w:pStyle w:val="Compact"/>
            </w:pPr>
            <w:r>
              <w:rPr>
                <w:b/>
                <w:bCs/>
              </w:rPr>
              <w:t xml:space="preserve">Neighbor consistency</w:t>
            </w:r>
          </w:p>
        </w:tc>
        <w:tc>
          <w:tcPr/>
          <w:p>
            <w:pPr>
              <w:pStyle w:val="Compact"/>
            </w:pPr>
            <w:r>
              <w:t xml:space="preserve">Buddy-check tradable stations against geographically appropriate peers using same local hour and elevation band</w:t>
            </w:r>
          </w:p>
        </w:tc>
        <w:tc>
          <w:tcPr/>
          <w:p>
            <w:pPr>
              <w:pStyle w:val="Compact"/>
            </w:pPr>
            <w:r>
              <w:t xml:space="preserve">P2 for isolated outlier, P1 if sustained, P0 only when it changes trading state</w:t>
            </w:r>
          </w:p>
        </w:tc>
      </w:tr>
    </w:tbl>
    <w:p>
      <w:pPr>
        <w:pStyle w:val="BodyText"/>
      </w:pPr>
      <w:r>
        <w:t xml:space="preserve">One current issue deserves a hard-coded source policy: the NWS API itself documents that station-observation endpoints currently show missing 24-hour max/min temperatures outside the central time zone due to a MADIS ingest bug. You should therefore</w:t>
      </w:r>
      <w:r>
        <w:t xml:space="preserve"> </w:t>
      </w:r>
      <w:r>
        <w:rPr>
          <w:b/>
          <w:bCs/>
        </w:rPr>
        <w:t xml:space="preserve">never</w:t>
      </w:r>
      <w:r>
        <w:t xml:space="preserve"> </w:t>
      </w:r>
      <w:r>
        <w:t xml:space="preserve">drive intraday max/min or settlement logic from those downstream 24-hour fields. Compute your own running climate-day aggregates from raw timestamped observations.</w:t>
      </w:r>
      <w:r>
        <w:t xml:space="preserve"> </w:t>
      </w:r>
      <w:hyperlink r:id="rId29">
        <w:r>
          <w:rPr>
            <w:rStyle w:val="Hyperlink"/>
          </w:rPr>
          <w:t xml:space="preserve">[14]</w:t>
        </w:r>
      </w:hyperlink>
    </w:p>
    <w:p>
      <w:pPr>
        <w:pStyle w:val="BodyText"/>
      </w:pPr>
      <w:r>
        <w:t xml:space="preserve">For anomaly detection, use a</w:t>
      </w:r>
      <w:r>
        <w:t xml:space="preserve"> </w:t>
      </w:r>
      <w:r>
        <w:rPr>
          <w:b/>
          <w:bCs/>
        </w:rPr>
        <w:t xml:space="preserve">deterministic layer followed by a contextual layer</w:t>
      </w:r>
      <w:r>
        <w:t xml:space="preserve">. That mirrors the official MADIS QC philosophy, which distinguishes static checks such as validity and internal consistency from dynamic checks such as temporal and spatial consistency. MADIS meteorological-surface documentation also provides concrete ideas for seed rules: dew point must not exceed temperature, observations carry pass/question/reject descriptors, and temporal consistency limits are documented for surface variables, including 35°F/hour for air temperature and dew point. Pair those rules with NCEI hourly climate normals and recent residual distributions by station, month, and local hour to handle regime shifts without suppressing genuine extremes.</w:t>
      </w:r>
      <w:r>
        <w:t xml:space="preserve"> </w:t>
      </w:r>
      <w:hyperlink r:id="rId22">
        <w:r>
          <w:rPr>
            <w:rStyle w:val="Hyperlink"/>
          </w:rPr>
          <w:t xml:space="preserve">[15]</w:t>
        </w:r>
      </w:hyperlink>
    </w:p>
    <w:p>
      <w:pPr>
        <w:pStyle w:val="BodyText"/>
      </w:pPr>
      <w:r>
        <w:t xml:space="preserve">A practical anomaly stack looks like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Detector family</w:t>
            </w:r>
          </w:p>
        </w:tc>
        <w:tc>
          <w:tcPr/>
          <w:p>
            <w:pPr>
              <w:pStyle w:val="Compact"/>
            </w:pPr>
            <w:r>
              <w:t xml:space="preserve">Example implementation</w:t>
            </w:r>
          </w:p>
        </w:tc>
        <w:tc>
          <w:tcPr/>
          <w:p>
            <w:pPr>
              <w:pStyle w:val="Compact"/>
            </w:pPr>
            <w:r>
              <w:t xml:space="preserve">Default action</w:t>
            </w:r>
          </w:p>
        </w:tc>
      </w:tr>
      <w:tr>
        <w:tc>
          <w:tcPr/>
          <w:p>
            <w:pPr>
              <w:pStyle w:val="Compact"/>
            </w:pPr>
            <w:r>
              <w:rPr>
                <w:b/>
                <w:bCs/>
              </w:rPr>
              <w:t xml:space="preserve">Impossible sequence</w:t>
            </w:r>
          </w:p>
        </w:tc>
        <w:tc>
          <w:tcPr/>
          <w:p>
            <w:pPr>
              <w:pStyle w:val="Compact"/>
            </w:pPr>
            <w:r>
              <w:t xml:space="preserve">dew point &gt; temperature; precipitation negative; malformed trace/missing coercion; forecast valid window inverted</w:t>
            </w:r>
          </w:p>
        </w:tc>
        <w:tc>
          <w:tcPr/>
          <w:p>
            <w:pPr>
              <w:pStyle w:val="Compact"/>
            </w:pPr>
            <w:r>
              <w:t xml:space="preserve">P0 if feature-affecting, otherwise P1</w:t>
            </w:r>
          </w:p>
        </w:tc>
      </w:tr>
      <w:tr>
        <w:tc>
          <w:tcPr/>
          <w:p>
            <w:pPr>
              <w:pStyle w:val="Compact"/>
            </w:pPr>
            <w:r>
              <w:rPr>
                <w:b/>
                <w:bCs/>
              </w:rPr>
              <w:t xml:space="preserve">Sudden jump</w:t>
            </w:r>
          </w:p>
        </w:tc>
        <w:tc>
          <w:tcPr/>
          <w:p>
            <w:pPr>
              <w:pStyle w:val="Compact"/>
            </w:pPr>
            <w:r>
              <w:t xml:space="preserve">temperature jump exceeds hard threshold or official MADIS-like hourly consistency limit</w:t>
            </w:r>
          </w:p>
        </w:tc>
        <w:tc>
          <w:tcPr/>
          <w:p>
            <w:pPr>
              <w:pStyle w:val="Compact"/>
            </w:pPr>
            <w:r>
              <w:t xml:space="preserve">P1 first, P0 if repeated and unreconciled</w:t>
            </w:r>
          </w:p>
        </w:tc>
      </w:tr>
      <w:tr>
        <w:tc>
          <w:tcPr/>
          <w:p>
            <w:pPr>
              <w:pStyle w:val="Compact"/>
            </w:pPr>
            <w:r>
              <w:rPr>
                <w:b/>
                <w:bCs/>
              </w:rPr>
              <w:t xml:space="preserve">Flatline / persistence</w:t>
            </w:r>
          </w:p>
        </w:tc>
        <w:tc>
          <w:tcPr/>
          <w:p>
            <w:pPr>
              <w:pStyle w:val="Compact"/>
            </w:pPr>
            <w:r>
              <w:t xml:space="preserve">identical full payload hash repeated too long; exact same temp-wind-pressure tuple across multiple routine cycles while neighbors move materially</w:t>
            </w:r>
          </w:p>
        </w:tc>
        <w:tc>
          <w:tcPr/>
          <w:p>
            <w:pPr>
              <w:pStyle w:val="Compact"/>
            </w:pPr>
            <w:r>
              <w:t xml:space="preserve">P1, escalate to P0 on tradable station</w:t>
            </w:r>
          </w:p>
        </w:tc>
      </w:tr>
      <w:tr>
        <w:tc>
          <w:tcPr/>
          <w:p>
            <w:pPr>
              <w:pStyle w:val="Compact"/>
            </w:pPr>
            <w:r>
              <w:rPr>
                <w:b/>
                <w:bCs/>
              </w:rPr>
              <w:t xml:space="preserve">Duplicate payload / replay confusion</w:t>
            </w:r>
          </w:p>
        </w:tc>
        <w:tc>
          <w:tcPr/>
          <w:p>
            <w:pPr>
              <w:pStyle w:val="Compact"/>
            </w:pPr>
            <w:r>
              <w:t xml:space="preserve">same payload hash under multiple issue times or same source timestamp with conflicting payloads</w:t>
            </w:r>
          </w:p>
        </w:tc>
        <w:tc>
          <w:tcPr/>
          <w:p>
            <w:pPr>
              <w:pStyle w:val="Compact"/>
            </w:pPr>
            <w:r>
              <w:t xml:space="preserve">P0</w:t>
            </w:r>
          </w:p>
        </w:tc>
      </w:tr>
      <w:tr>
        <w:tc>
          <w:tcPr/>
          <w:p>
            <w:pPr>
              <w:pStyle w:val="Compact"/>
            </w:pPr>
            <w:r>
              <w:rPr>
                <w:b/>
                <w:bCs/>
              </w:rPr>
              <w:t xml:space="preserve">Context anomaly</w:t>
            </w:r>
          </w:p>
        </w:tc>
        <w:tc>
          <w:tcPr/>
          <w:p>
            <w:pPr>
              <w:pStyle w:val="Compact"/>
            </w:pPr>
            <w:r>
              <w:t xml:space="preserve">robust z-score or quantile residual against station-specific hour/month band using 1991–2020 normals plus recent history</w:t>
            </w:r>
          </w:p>
        </w:tc>
        <w:tc>
          <w:tcPr/>
          <w:p>
            <w:pPr>
              <w:pStyle w:val="Compact"/>
            </w:pPr>
            <w:r>
              <w:t xml:space="preserve">P2 or P1 depending on corroboration</w:t>
            </w:r>
          </w:p>
        </w:tc>
      </w:tr>
      <w:tr>
        <w:tc>
          <w:tcPr/>
          <w:p>
            <w:pPr>
              <w:pStyle w:val="Compact"/>
            </w:pPr>
            <w:r>
              <w:rPr>
                <w:b/>
                <w:bCs/>
              </w:rPr>
              <w:t xml:space="preserve">Parser drift anomaly</w:t>
            </w:r>
          </w:p>
        </w:tc>
        <w:tc>
          <w:tcPr/>
          <w:p>
            <w:pPr>
              <w:pStyle w:val="Compact"/>
            </w:pPr>
            <w:r>
              <w:t xml:space="preserve">sudden rise in unknown tokens, optional field frequency, or null fields after upstream format change</w:t>
            </w:r>
          </w:p>
        </w:tc>
        <w:tc>
          <w:tcPr/>
          <w:p>
            <w:pPr>
              <w:pStyle w:val="Compact"/>
            </w:pPr>
            <w:r>
              <w:t xml:space="preserve">P1 for additive changes, P0 if required features break</w:t>
            </w:r>
          </w:p>
        </w:tc>
      </w:tr>
    </w:tbl>
    <w:bookmarkEnd w:id="30"/>
    <w:bookmarkStart w:id="31" w:name="X4f6b6956f8917dbc6d0094c0cf13c05fb7d6e86"/>
    <w:p>
      <w:pPr>
        <w:pStyle w:val="Heading2"/>
      </w:pPr>
      <w:r>
        <w:t xml:space="preserve">Lineage, guardrails, and operational reporting</w:t>
      </w:r>
    </w:p>
    <w:p>
      <w:pPr>
        <w:pStyle w:val="FirstParagraph"/>
      </w:pPr>
      <w:r>
        <w:t xml:space="preserve">Lineage has to be first-class. Every trade candidate should carry a complete provenance chain: raw payload hashes; source snapshot ids; parser image digest; canonical station id and alias version; timezone-rules version; feature build hash; QA rule hits; and the final</w:t>
      </w:r>
      <w:r>
        <w:t xml:space="preserve"> </w:t>
      </w:r>
      <w:r>
        <w:rPr>
          <w:rStyle w:val="VerbatimChar"/>
        </w:rPr>
        <w:t xml:space="preserve">qa_confidence</w:t>
      </w:r>
      <w:r>
        <w:t xml:space="preserve"> </w:t>
      </w:r>
      <w:r>
        <w:t xml:space="preserve">score used by the trade gate. Because official archive products themselves are versioned and revised, archive parity records should also store dataset versions and retrieval parameters, not just values.</w:t>
      </w:r>
      <w:r>
        <w:t xml:space="preserve"> </w:t>
      </w:r>
      <w:hyperlink r:id="rId24">
        <w:r>
          <w:rPr>
            <w:rStyle w:val="Hyperlink"/>
          </w:rPr>
          <w:t xml:space="preserve">[16]</w:t>
        </w:r>
      </w:hyperlink>
    </w:p>
    <w:p>
      <w:pPr>
        <w:pStyle w:val="BodyText"/>
      </w:pPr>
      <w:r>
        <w:t xml:space="preserve">I recommend a</w:t>
      </w:r>
      <w:r>
        <w:t xml:space="preserve"> </w:t>
      </w:r>
      <w:r>
        <w:rPr>
          <w:b/>
          <w:bCs/>
        </w:rPr>
        <w:t xml:space="preserve">scoped confidence model</w:t>
      </w:r>
      <w:r>
        <w:t xml:space="preserve"> </w:t>
      </w:r>
      <w:r>
        <w:t xml:space="preserve">instead of a single global kill-switch. Compute</w:t>
      </w:r>
      <w:r>
        <w:t xml:space="preserve"> </w:t>
      </w:r>
      <w:r>
        <w:rPr>
          <w:rStyle w:val="VerbatimChar"/>
        </w:rPr>
        <w:t xml:space="preserve">qa_confidence</w:t>
      </w:r>
      <w:r>
        <w:t xml:space="preserve"> </w:t>
      </w:r>
      <w:r>
        <w:t xml:space="preserve">at four scopes: station, station-day, contract, and strategy universe. A station-level parser failure should not global-halt the desk; a climate-day bucketing error for a settlement station should. A workable weight set is 25% contract integrity, 20% freshness, 25% reconciliation, 20% anomaly state, and 10% lineage completeness, with hysteresis requiring two clean cycles before re-enable.</w:t>
      </w:r>
    </w:p>
    <w:p>
      <w:pPr>
        <w:pStyle w:val="BodyText"/>
      </w:pPr>
      <w:r>
        <w:t xml:space="preserve">The priority policy should look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Typical trigger</w:t>
            </w:r>
          </w:p>
        </w:tc>
        <w:tc>
          <w:tcPr/>
          <w:p>
            <w:pPr>
              <w:pStyle w:val="Compact"/>
            </w:pPr>
            <w:r>
              <w:t xml:space="preserve">Automatic action</w:t>
            </w:r>
          </w:p>
        </w:tc>
        <w:tc>
          <w:tcPr/>
          <w:p>
            <w:pPr>
              <w:pStyle w:val="Compact"/>
            </w:pPr>
            <w:r>
              <w:t xml:space="preserve">Human escalation</w:t>
            </w:r>
          </w:p>
        </w:tc>
        <w:tc>
          <w:tcPr/>
          <w:p>
            <w:pPr>
              <w:pStyle w:val="Compact"/>
            </w:pPr>
            <w:r>
              <w:t xml:space="preserve">Exit condition</w:t>
            </w:r>
          </w:p>
        </w:tc>
      </w:tr>
      <w:tr>
        <w:tc>
          <w:tcPr/>
          <w:p>
            <w:pPr>
              <w:pStyle w:val="Compact"/>
            </w:pPr>
            <w:r>
              <w:rPr>
                <w:b/>
                <w:bCs/>
              </w:rPr>
              <w:t xml:space="preserve">P0 halt</w:t>
            </w:r>
          </w:p>
        </w:tc>
        <w:tc>
          <w:tcPr/>
          <w:p>
            <w:pPr>
              <w:pStyle w:val="Compact"/>
            </w:pPr>
            <w:r>
              <w:t xml:space="preserve">settlement source missing past cutoff; DST/LST reset bug; required-field parser failure; conflicting duplicate payloads; severe unresolved cross-source divergence; lineage incomplete for a live trade candidate</w:t>
            </w:r>
          </w:p>
        </w:tc>
        <w:tc>
          <w:tcPr/>
          <w:p>
            <w:pPr>
              <w:pStyle w:val="Compact"/>
            </w:pPr>
            <w:r>
              <w:t xml:space="preserve">Hold/cancel quoting for affected scope, disable order routing, switch affected models to shadow mode</w:t>
            </w:r>
          </w:p>
        </w:tc>
        <w:tc>
          <w:tcPr/>
          <w:p>
            <w:pPr>
              <w:pStyle w:val="Compact"/>
            </w:pPr>
            <w:r>
              <w:t xml:space="preserve">Page data on-call, trading on-call, and risk immediately</w:t>
            </w:r>
          </w:p>
        </w:tc>
        <w:tc>
          <w:tcPr/>
          <w:p>
            <w:pPr>
              <w:pStyle w:val="Compact"/>
            </w:pPr>
            <w:r>
              <w:t xml:space="preserve">Two clean cycles plus documented RCA, or official settlement value received and parity restored</w:t>
            </w:r>
          </w:p>
        </w:tc>
      </w:tr>
      <w:tr>
        <w:tc>
          <w:tcPr/>
          <w:p>
            <w:pPr>
              <w:pStyle w:val="Compact"/>
            </w:pPr>
            <w:r>
              <w:rPr>
                <w:b/>
                <w:bCs/>
              </w:rPr>
              <w:t xml:space="preserve">P1 warn</w:t>
            </w:r>
          </w:p>
        </w:tc>
        <w:tc>
          <w:tcPr/>
          <w:p>
            <w:pPr>
              <w:pStyle w:val="Compact"/>
            </w:pPr>
            <w:r>
              <w:t xml:space="preserve">soft freshness breach; limited single-station divergence; parser change affecting non-required fields; provisional archive mismatch; suspicious but unconfirmed anomaly cluster</w:t>
            </w:r>
          </w:p>
        </w:tc>
        <w:tc>
          <w:tcPr/>
          <w:p>
            <w:pPr>
              <w:pStyle w:val="Compact"/>
            </w:pPr>
            <w:r>
              <w:t xml:space="preserve">Keep trading only if confidence remains above threshold; optionally reduce size/notional cap</w:t>
            </w:r>
          </w:p>
        </w:tc>
        <w:tc>
          <w:tcPr/>
          <w:p>
            <w:pPr>
              <w:pStyle w:val="Compact"/>
            </w:pPr>
            <w:r>
              <w:t xml:space="preserve">Notify data on-call and desk channel</w:t>
            </w:r>
          </w:p>
        </w:tc>
        <w:tc>
          <w:tcPr/>
          <w:p>
            <w:pPr>
              <w:pStyle w:val="Compact"/>
            </w:pPr>
            <w:r>
              <w:t xml:space="preserve">Condition clears or is downgraded by corroboration</w:t>
            </w:r>
          </w:p>
        </w:tc>
      </w:tr>
      <w:tr>
        <w:tc>
          <w:tcPr/>
          <w:p>
            <w:pPr>
              <w:pStyle w:val="Compact"/>
            </w:pPr>
            <w:r>
              <w:rPr>
                <w:b/>
                <w:bCs/>
              </w:rPr>
              <w:t xml:space="preserve">P2 observe</w:t>
            </w:r>
          </w:p>
        </w:tc>
        <w:tc>
          <w:tcPr/>
          <w:p>
            <w:pPr>
              <w:pStyle w:val="Compact"/>
            </w:pPr>
            <w:r>
              <w:t xml:space="preserve">isolated contextual outlier; expected lag within historical band; additive upstream format changes not affecting required features</w:t>
            </w:r>
          </w:p>
        </w:tc>
        <w:tc>
          <w:tcPr/>
          <w:p>
            <w:pPr>
              <w:pStyle w:val="Compact"/>
            </w:pPr>
            <w:r>
              <w:t xml:space="preserve">Log, trend, include in scorecard</w:t>
            </w:r>
          </w:p>
        </w:tc>
        <w:tc>
          <w:tcPr/>
          <w:p>
            <w:pPr>
              <w:pStyle w:val="Compact"/>
            </w:pPr>
            <w:r>
              <w:t xml:space="preserve">Review next business cycle</w:t>
            </w:r>
          </w:p>
        </w:tc>
        <w:tc>
          <w:tcPr/>
          <w:p>
            <w:pPr>
              <w:pStyle w:val="Compact"/>
            </w:pPr>
            <w:r>
              <w:t xml:space="preserve">Resolved automatically or promoted if frequency rises</w:t>
            </w:r>
          </w:p>
        </w:tc>
      </w:tr>
    </w:tbl>
    <w:p>
      <w:pPr>
        <w:pStyle w:val="BodyText"/>
      </w:pPr>
      <w:r>
        <w:t xml:space="preserve">Alert payloads should be designed so that the responder can reconstruct the incident without another database lookup. The payload must include</w:t>
      </w:r>
      <w:r>
        <w:t xml:space="preserve"> </w:t>
      </w:r>
      <w:r>
        <w:rPr>
          <w:b/>
          <w:bCs/>
        </w:rPr>
        <w:t xml:space="preserve">scope, source snapshot ids, hashes, versions, the exact feature impact, and the gating decision</w:t>
      </w:r>
      <w:r>
        <w:t xml:space="preserve">.</w:t>
      </w:r>
    </w:p>
    <w:p>
      <w:pPr>
        <w:pStyle w:val="SourceCode"/>
      </w:pPr>
      <w:r>
        <w:rPr>
          <w:rStyle w:val="VerbatimChar"/>
        </w:rPr>
        <w:t xml:space="preserve">{</w:t>
      </w:r>
      <w:r>
        <w:br/>
      </w:r>
      <w:r>
        <w:rPr>
          <w:rStyle w:val="VerbatimChar"/>
        </w:rPr>
        <w:t xml:space="preserve">  "priority": "P0",</w:t>
      </w:r>
      <w:r>
        <w:br/>
      </w:r>
      <w:r>
        <w:rPr>
          <w:rStyle w:val="VerbatimChar"/>
        </w:rPr>
        <w:t xml:space="preserve">  "event_type": "settlement_parity_mismatch",</w:t>
      </w:r>
      <w:r>
        <w:br/>
      </w:r>
      <w:r>
        <w:rPr>
          <w:rStyle w:val="VerbatimChar"/>
        </w:rPr>
        <w:t xml:space="preserve">  "station_uid": "usa.knyc",</w:t>
      </w:r>
      <w:r>
        <w:br/>
      </w:r>
      <w:r>
        <w:rPr>
          <w:rStyle w:val="VerbatimChar"/>
        </w:rPr>
        <w:t xml:space="preserve">  "contract_scope": ["nyc_hdd_may26"],</w:t>
      </w:r>
      <w:r>
        <w:br/>
      </w:r>
      <w:r>
        <w:rPr>
          <w:rStyle w:val="VerbatimChar"/>
        </w:rPr>
        <w:t xml:space="preserve">  "climate_day_lstd": "2026-04-15",</w:t>
      </w:r>
      <w:r>
        <w:br/>
      </w:r>
      <w:r>
        <w:rPr>
          <w:rStyle w:val="VerbatimChar"/>
        </w:rPr>
        <w:t xml:space="preserve">  "official_source": "CLI",</w:t>
      </w:r>
      <w:r>
        <w:br/>
      </w:r>
      <w:r>
        <w:rPr>
          <w:rStyle w:val="VerbatimChar"/>
        </w:rPr>
        <w:t xml:space="preserve">  "official_issue_time": "2026-04-16T04:41:00-04:00",</w:t>
      </w:r>
      <w:r>
        <w:br/>
      </w:r>
      <w:r>
        <w:rPr>
          <w:rStyle w:val="VerbatimChar"/>
        </w:rPr>
        <w:t xml:space="preserve">  "internal_values": {"tmax_f": 63, "tmin_f": 48, "tavg_f": 56},</w:t>
      </w:r>
      <w:r>
        <w:br/>
      </w:r>
      <w:r>
        <w:rPr>
          <w:rStyle w:val="VerbatimChar"/>
        </w:rPr>
        <w:t xml:space="preserve">  "official_values": {"tmax_f": 62, "tmin_f": 48, "tavg_f": 55},</w:t>
      </w:r>
      <w:r>
        <w:br/>
      </w:r>
      <w:r>
        <w:rPr>
          <w:rStyle w:val="VerbatimChar"/>
        </w:rPr>
        <w:t xml:space="preserve">  "payload_hash": "sha256:9d1f...",</w:t>
      </w:r>
      <w:r>
        <w:br/>
      </w:r>
      <w:r>
        <w:rPr>
          <w:rStyle w:val="VerbatimChar"/>
        </w:rPr>
        <w:t xml:space="preserve">  "parser_version": "cli_parser@2.4.1",</w:t>
      </w:r>
      <w:r>
        <w:br/>
      </w:r>
      <w:r>
        <w:rPr>
          <w:rStyle w:val="VerbatimChar"/>
        </w:rPr>
        <w:t xml:space="preserve">  "station_mapping_version": "station_dim@2026-04-15",</w:t>
      </w:r>
      <w:r>
        <w:br/>
      </w:r>
      <w:r>
        <w:rPr>
          <w:rStyle w:val="VerbatimChar"/>
        </w:rPr>
        <w:t xml:space="preserve">  "timezone_rules_version": "tzdb@2026a",</w:t>
      </w:r>
      <w:r>
        <w:br/>
      </w:r>
      <w:r>
        <w:rPr>
          <w:rStyle w:val="VerbatimChar"/>
        </w:rPr>
        <w:t xml:space="preserve">  "qa_confidence": 0.41,</w:t>
      </w:r>
      <w:r>
        <w:br/>
      </w:r>
      <w:r>
        <w:rPr>
          <w:rStyle w:val="VerbatimChar"/>
        </w:rPr>
        <w:t xml:space="preserve">  "action": "HALT_AFFECTED_CONTRACTS_AND_ROUTE_TO_SHADOW"</w:t>
      </w:r>
      <w:r>
        <w:br/>
      </w:r>
      <w:r>
        <w:rPr>
          <w:rStyle w:val="VerbatimChar"/>
        </w:rPr>
        <w:t xml:space="preserve">}</w:t>
      </w:r>
    </w:p>
    <w:p>
      <w:pPr>
        <w:pStyle w:val="SourceCode"/>
      </w:pPr>
      <w:r>
        <w:rPr>
          <w:rStyle w:val="VerbatimChar"/>
        </w:rPr>
        <w:t xml:space="preserve">{</w:t>
      </w:r>
      <w:r>
        <w:br/>
      </w:r>
      <w:r>
        <w:rPr>
          <w:rStyle w:val="VerbatimChar"/>
        </w:rPr>
        <w:t xml:space="preserve">  "priority": "P1",</w:t>
      </w:r>
      <w:r>
        <w:br/>
      </w:r>
      <w:r>
        <w:rPr>
          <w:rStyle w:val="VerbatimChar"/>
        </w:rPr>
        <w:t xml:space="preserve">  "event_type": "source_freshness_breach",</w:t>
      </w:r>
      <w:r>
        <w:br/>
      </w:r>
      <w:r>
        <w:rPr>
          <w:rStyle w:val="VerbatimChar"/>
        </w:rPr>
        <w:t xml:space="preserve">  "source": "nws_obs_api",</w:t>
      </w:r>
      <w:r>
        <w:br/>
      </w:r>
      <w:r>
        <w:rPr>
          <w:rStyle w:val="VerbatimChar"/>
        </w:rPr>
        <w:t xml:space="preserve">  "station_uid": "usa.kdfw",</w:t>
      </w:r>
      <w:r>
        <w:br/>
      </w:r>
      <w:r>
        <w:rPr>
          <w:rStyle w:val="VerbatimChar"/>
        </w:rPr>
        <w:t xml:space="preserve">  "obs_age_seconds": 1980,</w:t>
      </w:r>
      <w:r>
        <w:br/>
      </w:r>
      <w:r>
        <w:rPr>
          <w:rStyle w:val="VerbatimChar"/>
        </w:rPr>
        <w:t xml:space="preserve">  "station_hour_bucket": "local_hour=14",</w:t>
      </w:r>
      <w:r>
        <w:br/>
      </w:r>
      <w:r>
        <w:rPr>
          <w:rStyle w:val="VerbatimChar"/>
        </w:rPr>
        <w:t xml:space="preserve">  "baseline_p95_age_seconds": 620,</w:t>
      </w:r>
      <w:r>
        <w:br/>
      </w:r>
      <w:r>
        <w:rPr>
          <w:rStyle w:val="VerbatimChar"/>
        </w:rPr>
        <w:t xml:space="preserve">  "cohort_stale_rate": 0.06,</w:t>
      </w:r>
      <w:r>
        <w:br/>
      </w:r>
      <w:r>
        <w:rPr>
          <w:rStyle w:val="VerbatimChar"/>
        </w:rPr>
        <w:t xml:space="preserve">  "last_good_snapshot": "nwsobs:2026-04-16T17:55:12Z",</w:t>
      </w:r>
      <w:r>
        <w:br/>
      </w:r>
      <w:r>
        <w:rPr>
          <w:rStyle w:val="VerbatimChar"/>
        </w:rPr>
        <w:t xml:space="preserve">  "payload_hash": "sha256:53ab...",</w:t>
      </w:r>
      <w:r>
        <w:br/>
      </w:r>
      <w:r>
        <w:rPr>
          <w:rStyle w:val="VerbatimChar"/>
        </w:rPr>
        <w:t xml:space="preserve">  "qa_confidence": 0.88,</w:t>
      </w:r>
      <w:r>
        <w:br/>
      </w:r>
      <w:r>
        <w:rPr>
          <w:rStyle w:val="VerbatimChar"/>
        </w:rPr>
        <w:t xml:space="preserve">  "action": "WARN_ONLY_NO_HALT"</w:t>
      </w:r>
      <w:r>
        <w:br/>
      </w:r>
      <w:r>
        <w:rPr>
          <w:rStyle w:val="VerbatimChar"/>
        </w:rPr>
        <w:t xml:space="preserve">}</w:t>
      </w:r>
    </w:p>
    <w:p>
      <w:pPr>
        <w:pStyle w:val="SourceCode"/>
      </w:pPr>
      <w:r>
        <w:rPr>
          <w:rStyle w:val="VerbatimChar"/>
        </w:rPr>
        <w:t xml:space="preserve">{</w:t>
      </w:r>
      <w:r>
        <w:br/>
      </w:r>
      <w:r>
        <w:rPr>
          <w:rStyle w:val="VerbatimChar"/>
        </w:rPr>
        <w:t xml:space="preserve">  "priority": "P0",</w:t>
      </w:r>
      <w:r>
        <w:br/>
      </w:r>
      <w:r>
        <w:rPr>
          <w:rStyle w:val="VerbatimChar"/>
        </w:rPr>
        <w:t xml:space="preserve">  "event_type": "timezone_bucket_reset_error",</w:t>
      </w:r>
      <w:r>
        <w:br/>
      </w:r>
      <w:r>
        <w:rPr>
          <w:rStyle w:val="VerbatimChar"/>
        </w:rPr>
        <w:t xml:space="preserve">  "station_uid": "usa.kbos",</w:t>
      </w:r>
      <w:r>
        <w:br/>
      </w:r>
      <w:r>
        <w:rPr>
          <w:rStyle w:val="VerbatimChar"/>
        </w:rPr>
        <w:t xml:space="preserve">  "contract_scope": ["bos_hdd_apr26"],</w:t>
      </w:r>
      <w:r>
        <w:br/>
      </w:r>
      <w:r>
        <w:rPr>
          <w:rStyle w:val="VerbatimChar"/>
        </w:rPr>
        <w:t xml:space="preserve">  "obs_time_utc": "2026-11-01T05:07:00Z",</w:t>
      </w:r>
      <w:r>
        <w:br/>
      </w:r>
      <w:r>
        <w:rPr>
          <w:rStyle w:val="VerbatimChar"/>
        </w:rPr>
        <w:t xml:space="preserve">  "derived_climate_day_lstd": "2026-11-01",</w:t>
      </w:r>
      <w:r>
        <w:br/>
      </w:r>
      <w:r>
        <w:rPr>
          <w:rStyle w:val="VerbatimChar"/>
        </w:rPr>
        <w:t xml:space="preserve">  "unexpected_reset_hour_local": "00",</w:t>
      </w:r>
      <w:r>
        <w:br/>
      </w:r>
      <w:r>
        <w:rPr>
          <w:rStyle w:val="VerbatimChar"/>
        </w:rPr>
        <w:t xml:space="preserve">  "expected_reset_hour_standard_clock": "01",</w:t>
      </w:r>
      <w:r>
        <w:br/>
      </w:r>
      <w:r>
        <w:rPr>
          <w:rStyle w:val="VerbatimChar"/>
        </w:rPr>
        <w:t xml:space="preserve">  "affected_features": ["running_tmax_f", "running_tmin_f", "hdd_estimate"],</w:t>
      </w:r>
      <w:r>
        <w:br/>
      </w:r>
      <w:r>
        <w:rPr>
          <w:rStyle w:val="VerbatimChar"/>
        </w:rPr>
        <w:t xml:space="preserve">  "payload_hash": "sha256:ab73...",</w:t>
      </w:r>
      <w:r>
        <w:br/>
      </w:r>
      <w:r>
        <w:rPr>
          <w:rStyle w:val="VerbatimChar"/>
        </w:rPr>
        <w:t xml:space="preserve">  "qa_confidence": 0.12,</w:t>
      </w:r>
      <w:r>
        <w:br/>
      </w:r>
      <w:r>
        <w:rPr>
          <w:rStyle w:val="VerbatimChar"/>
        </w:rPr>
        <w:t xml:space="preserve">  "action": "HALT_STATION_SCOPE_AND_SHADOW"</w:t>
      </w:r>
      <w:r>
        <w:br/>
      </w:r>
      <w:r>
        <w:rPr>
          <w:rStyle w:val="VerbatimChar"/>
        </w:rPr>
        <w:t xml:space="preserve">}</w:t>
      </w:r>
    </w:p>
    <w:p>
      <w:pPr>
        <w:pStyle w:val="FirstParagraph"/>
      </w:pPr>
      <w:r>
        <w:t xml:space="preserve">The escalation policy should be explicit and time-bound: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jc w:val="right"/>
            </w:pPr>
            <w:r>
              <w:t xml:space="preserve">Ack target</w:t>
            </w:r>
          </w:p>
        </w:tc>
        <w:tc>
          <w:tcPr/>
          <w:p>
            <w:pPr>
              <w:pStyle w:val="Compact"/>
            </w:pPr>
            <w:r>
              <w:t xml:space="preserve">First responders</w:t>
            </w:r>
          </w:p>
        </w:tc>
        <w:tc>
          <w:tcPr/>
          <w:p>
            <w:pPr>
              <w:pStyle w:val="Compact"/>
            </w:pPr>
            <w:r>
              <w:t xml:space="preserve">Channel</w:t>
            </w:r>
          </w:p>
        </w:tc>
        <w:tc>
          <w:tcPr/>
          <w:p>
            <w:pPr>
              <w:pStyle w:val="Compact"/>
            </w:pPr>
            <w:r>
              <w:t xml:space="preserve">Default scope</w:t>
            </w:r>
          </w:p>
        </w:tc>
      </w:tr>
      <w:tr>
        <w:tc>
          <w:tcPr/>
          <w:p>
            <w:pPr>
              <w:pStyle w:val="Compact"/>
            </w:pPr>
            <w:r>
              <w:rPr>
                <w:b/>
                <w:bCs/>
              </w:rPr>
              <w:t xml:space="preserve">P0</w:t>
            </w:r>
          </w:p>
        </w:tc>
        <w:tc>
          <w:tcPr/>
          <w:p>
            <w:pPr>
              <w:pStyle w:val="Compact"/>
              <w:jc w:val="right"/>
            </w:pPr>
            <w:r>
              <w:t xml:space="preserve">5 min</w:t>
            </w:r>
          </w:p>
        </w:tc>
        <w:tc>
          <w:tcPr/>
          <w:p>
            <w:pPr>
              <w:pStyle w:val="Compact"/>
            </w:pPr>
            <w:r>
              <w:t xml:space="preserve">data on-call, trading on-call, risk</w:t>
            </w:r>
          </w:p>
        </w:tc>
        <w:tc>
          <w:tcPr/>
          <w:p>
            <w:pPr>
              <w:pStyle w:val="Compact"/>
            </w:pPr>
            <w:r>
              <w:t xml:space="preserve">page + incident bridge</w:t>
            </w:r>
          </w:p>
        </w:tc>
        <w:tc>
          <w:tcPr/>
          <w:p>
            <w:pPr>
              <w:pStyle w:val="Compact"/>
            </w:pPr>
            <w:r>
              <w:t xml:space="preserve">station, contract, strategy, or global depending on cohort impact</w:t>
            </w:r>
          </w:p>
        </w:tc>
      </w:tr>
      <w:tr>
        <w:tc>
          <w:tcPr/>
          <w:p>
            <w:pPr>
              <w:pStyle w:val="Compact"/>
            </w:pPr>
            <w:r>
              <w:rPr>
                <w:b/>
                <w:bCs/>
              </w:rPr>
              <w:t xml:space="preserve">P1</w:t>
            </w:r>
          </w:p>
        </w:tc>
        <w:tc>
          <w:tcPr/>
          <w:p>
            <w:pPr>
              <w:pStyle w:val="Compact"/>
              <w:jc w:val="right"/>
            </w:pPr>
            <w:r>
              <w:t xml:space="preserve">30 min</w:t>
            </w:r>
          </w:p>
        </w:tc>
        <w:tc>
          <w:tcPr/>
          <w:p>
            <w:pPr>
              <w:pStyle w:val="Compact"/>
            </w:pPr>
            <w:r>
              <w:t xml:space="preserve">data on-call, desk ops</w:t>
            </w:r>
          </w:p>
        </w:tc>
        <w:tc>
          <w:tcPr/>
          <w:p>
            <w:pPr>
              <w:pStyle w:val="Compact"/>
            </w:pPr>
            <w:r>
              <w:t xml:space="preserve">chat + ticket</w:t>
            </w:r>
          </w:p>
        </w:tc>
        <w:tc>
          <w:tcPr/>
          <w:p>
            <w:pPr>
              <w:pStyle w:val="Compact"/>
            </w:pPr>
            <w:r>
              <w:t xml:space="preserve">usually station or source</w:t>
            </w:r>
          </w:p>
        </w:tc>
      </w:tr>
      <w:tr>
        <w:tc>
          <w:tcPr/>
          <w:p>
            <w:pPr>
              <w:pStyle w:val="Compact"/>
            </w:pPr>
            <w:r>
              <w:rPr>
                <w:b/>
                <w:bCs/>
              </w:rPr>
              <w:t xml:space="preserve">P2</w:t>
            </w:r>
          </w:p>
        </w:tc>
        <w:tc>
          <w:tcPr/>
          <w:p>
            <w:pPr>
              <w:pStyle w:val="Compact"/>
              <w:jc w:val="right"/>
            </w:pPr>
            <w:r>
              <w:t xml:space="preserve">next business cycle</w:t>
            </w:r>
          </w:p>
        </w:tc>
        <w:tc>
          <w:tcPr/>
          <w:p>
            <w:pPr>
              <w:pStyle w:val="Compact"/>
            </w:pPr>
            <w:r>
              <w:t xml:space="preserve">data quality owner</w:t>
            </w:r>
          </w:p>
        </w:tc>
        <w:tc>
          <w:tcPr/>
          <w:p>
            <w:pPr>
              <w:pStyle w:val="Compact"/>
            </w:pPr>
            <w:r>
              <w:t xml:space="preserve">scorecard queue</w:t>
            </w:r>
          </w:p>
        </w:tc>
        <w:tc>
          <w:tcPr/>
          <w:p>
            <w:pPr>
              <w:pStyle w:val="Compact"/>
            </w:pPr>
            <w:r>
              <w:t xml:space="preserve">observation only</w:t>
            </w:r>
          </w:p>
        </w:tc>
      </w:tr>
    </w:tbl>
    <w:p>
      <w:pPr>
        <w:pStyle w:val="BodyText"/>
      </w:pPr>
      <w:r>
        <w:t xml:space="preserve">Your daily QA scorecard should not just count errors; it should show whether the controls are preventing bad trades. A strong daily scorecard contains the following top 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Scorecard block</w:t>
            </w:r>
          </w:p>
        </w:tc>
        <w:tc>
          <w:tcPr/>
          <w:p>
            <w:pPr>
              <w:pStyle w:val="Compact"/>
            </w:pPr>
            <w:r>
              <w:t xml:space="preserve">What to report</w:t>
            </w:r>
          </w:p>
        </w:tc>
      </w:tr>
      <w:tr>
        <w:tc>
          <w:tcPr/>
          <w:p>
            <w:pPr>
              <w:pStyle w:val="Compact"/>
            </w:pPr>
            <w:r>
              <w:rPr>
                <w:b/>
                <w:bCs/>
              </w:rPr>
              <w:t xml:space="preserve">Coverage</w:t>
            </w:r>
          </w:p>
        </w:tc>
        <w:tc>
          <w:tcPr/>
          <w:p>
            <w:pPr>
              <w:pStyle w:val="Compact"/>
            </w:pPr>
            <w:r>
              <w:t xml:space="preserve">payload hash coverage, parser success rate, station alias resolution rate, lineage completeness</w:t>
            </w:r>
          </w:p>
        </w:tc>
      </w:tr>
      <w:tr>
        <w:tc>
          <w:tcPr/>
          <w:p>
            <w:pPr>
              <w:pStyle w:val="Compact"/>
            </w:pPr>
            <w:r>
              <w:rPr>
                <w:b/>
                <w:bCs/>
              </w:rPr>
              <w:t xml:space="preserve">Freshness</w:t>
            </w:r>
          </w:p>
        </w:tc>
        <w:tc>
          <w:tcPr/>
          <w:p>
            <w:pPr>
              <w:pStyle w:val="Compact"/>
            </w:pPr>
            <w:r>
              <w:t xml:space="preserve">per-source p50/p95 stale age, top failing stations, top failing local hours</w:t>
            </w:r>
          </w:p>
        </w:tc>
      </w:tr>
      <w:tr>
        <w:tc>
          <w:tcPr/>
          <w:p>
            <w:pPr>
              <w:pStyle w:val="Compact"/>
            </w:pPr>
            <w:r>
              <w:rPr>
                <w:b/>
                <w:bCs/>
              </w:rPr>
              <w:t xml:space="preserve">Reconciliation</w:t>
            </w:r>
          </w:p>
        </w:tc>
        <w:tc>
          <w:tcPr/>
          <w:p>
            <w:pPr>
              <w:pStyle w:val="Compact"/>
            </w:pPr>
            <w:r>
              <w:t xml:space="preserve">METAR-vs-NWS match rate, divergence counts by feature, unresolved parity exceptions</w:t>
            </w:r>
          </w:p>
        </w:tc>
      </w:tr>
      <w:tr>
        <w:tc>
          <w:tcPr/>
          <w:p>
            <w:pPr>
              <w:pStyle w:val="Compact"/>
            </w:pPr>
            <w:r>
              <w:rPr>
                <w:b/>
                <w:bCs/>
              </w:rPr>
              <w:t xml:space="preserve">Settlement</w:t>
            </w:r>
          </w:p>
        </w:tc>
        <w:tc>
          <w:tcPr/>
          <w:p>
            <w:pPr>
              <w:pStyle w:val="Compact"/>
            </w:pPr>
            <w:r>
              <w:t xml:space="preserve">CLI arrival timeliness, CLI-vs-internal parity rate, CLI-vs-CDO/ADS parity rate, open settlement holds</w:t>
            </w:r>
          </w:p>
        </w:tc>
      </w:tr>
      <w:tr>
        <w:tc>
          <w:tcPr/>
          <w:p>
            <w:pPr>
              <w:pStyle w:val="Compact"/>
            </w:pPr>
            <w:r>
              <w:rPr>
                <w:b/>
                <w:bCs/>
              </w:rPr>
              <w:t xml:space="preserve">Guardrails</w:t>
            </w:r>
          </w:p>
        </w:tc>
        <w:tc>
          <w:tcPr/>
          <w:p>
            <w:pPr>
              <w:pStyle w:val="Compact"/>
            </w:pPr>
            <w:r>
              <w:t xml:space="preserve">number of P0/P1/P2 events, halted minutes, shadow-mode minutes, prevented-trade count</w:t>
            </w:r>
          </w:p>
        </w:tc>
      </w:tr>
      <w:tr>
        <w:tc>
          <w:tcPr/>
          <w:p>
            <w:pPr>
              <w:pStyle w:val="Compact"/>
            </w:pPr>
            <w:r>
              <w:rPr>
                <w:b/>
                <w:bCs/>
              </w:rPr>
              <w:t xml:space="preserve">Root cause</w:t>
            </w:r>
          </w:p>
        </w:tc>
        <w:tc>
          <w:tcPr/>
          <w:p>
            <w:pPr>
              <w:pStyle w:val="Compact"/>
            </w:pPr>
            <w:r>
              <w:t xml:space="preserve">source outage, upstream QC delay, parser issue, station metadata drift, timezone bug, settlement lag, archive revision</w:t>
            </w:r>
          </w:p>
        </w:tc>
      </w:tr>
    </w:tbl>
    <w:p>
      <w:pPr>
        <w:pStyle w:val="BodyText"/>
      </w:pPr>
      <w:r>
        <w:t xml:space="preserve">Bucketization should be rule-based so that it is consistent over time. For example, if raw transport heartbeat disappears for many stations at once, classify as</w:t>
      </w:r>
      <w:r>
        <w:t xml:space="preserve"> </w:t>
      </w:r>
      <w:r>
        <w:rPr>
          <w:b/>
          <w:bCs/>
        </w:rPr>
        <w:t xml:space="preserve">source outage</w:t>
      </w:r>
      <w:r>
        <w:t xml:space="preserve">; if raw bytes arrive but parser failures spike after an upstream format change, classify as</w:t>
      </w:r>
      <w:r>
        <w:t xml:space="preserve"> </w:t>
      </w:r>
      <w:r>
        <w:rPr>
          <w:b/>
          <w:bCs/>
        </w:rPr>
        <w:t xml:space="preserve">parser issue</w:t>
      </w:r>
      <w:r>
        <w:t xml:space="preserve">; if failures cluster around reset boundaries or DST dates, classify as</w:t>
      </w:r>
      <w:r>
        <w:t xml:space="preserve"> </w:t>
      </w:r>
      <w:r>
        <w:rPr>
          <w:b/>
          <w:bCs/>
        </w:rPr>
        <w:t xml:space="preserve">timezone bug</w:t>
      </w:r>
      <w:r>
        <w:t xml:space="preserve">; if overnight CLI is late while observations continue normally, classify as</w:t>
      </w:r>
      <w:r>
        <w:t xml:space="preserve"> </w:t>
      </w:r>
      <w:r>
        <w:rPr>
          <w:b/>
          <w:bCs/>
        </w:rPr>
        <w:t xml:space="preserve">settlement lag</w:t>
      </w:r>
      <w:r>
        <w:t xml:space="preserve">; if NWS obs are stale while AWC current observations remain healthy, classify as</w:t>
      </w:r>
      <w:r>
        <w:t xml:space="preserve"> </w:t>
      </w:r>
      <w:r>
        <w:rPr>
          <w:b/>
          <w:bCs/>
        </w:rPr>
        <w:t xml:space="preserve">upstream QC delay</w:t>
      </w:r>
      <w:r>
        <w:t xml:space="preserve"> </w:t>
      </w:r>
      <w:r>
        <w:t xml:space="preserve">consistent with the documented MADIS-lag path; and if later archive values differ from provisional values inside the expected 45–60 day replacement window, classify as</w:t>
      </w:r>
      <w:r>
        <w:t xml:space="preserve"> </w:t>
      </w:r>
      <w:r>
        <w:rPr>
          <w:b/>
          <w:bCs/>
        </w:rPr>
        <w:t xml:space="preserve">archive revision</w:t>
      </w:r>
      <w:r>
        <w:t xml:space="preserve">, not production corruption.</w:t>
      </w:r>
      <w:r>
        <w:t xml:space="preserve"> </w:t>
      </w:r>
      <w:hyperlink r:id="rId29">
        <w:r>
          <w:rPr>
            <w:rStyle w:val="Hyperlink"/>
          </w:rPr>
          <w:t xml:space="preserve">[17]</w:t>
        </w:r>
      </w:hyperlink>
    </w:p>
    <w:bookmarkEnd w:id="31"/>
    <w:bookmarkStart w:id="32" w:name="thirty-day-rollout-and-reliability-kpis"/>
    <w:p>
      <w:pPr>
        <w:pStyle w:val="Heading2"/>
      </w:pPr>
      <w:r>
        <w:t xml:space="preserve">Thirty-day rollout and reliability KPIs</w:t>
      </w:r>
    </w:p>
    <w:p>
      <w:pPr>
        <w:pStyle w:val="FirstParagraph"/>
      </w:pPr>
      <w:r>
        <w:t xml:space="preserve">The lowest-risk rollout is to build the control plane in shadow first, then progressively bind more of the trading gate to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Days</w:t>
            </w:r>
          </w:p>
        </w:tc>
        <w:tc>
          <w:tcPr/>
          <w:p>
            <w:pPr>
              <w:pStyle w:val="Compact"/>
            </w:pPr>
            <w:r>
              <w:t xml:space="preserve">Deliverable</w:t>
            </w:r>
          </w:p>
        </w:tc>
        <w:tc>
          <w:tcPr/>
          <w:p>
            <w:pPr>
              <w:pStyle w:val="Compact"/>
            </w:pPr>
            <w:r>
              <w:t xml:space="preserve">What ships</w:t>
            </w:r>
          </w:p>
        </w:tc>
        <w:tc>
          <w:tcPr/>
          <w:p>
            <w:pPr>
              <w:pStyle w:val="Compact"/>
            </w:pPr>
            <w:r>
              <w:t xml:space="preserve">KPI gate</w:t>
            </w:r>
          </w:p>
        </w:tc>
      </w:tr>
      <w:tr>
        <w:tc>
          <w:tcPr/>
          <w:p>
            <w:pPr>
              <w:pStyle w:val="Compact"/>
            </w:pPr>
            <w:r>
              <w:rPr>
                <w:b/>
                <w:bCs/>
              </w:rPr>
              <w:t xml:space="preserve">Days 1–5</w:t>
            </w:r>
          </w:p>
        </w:tc>
        <w:tc>
          <w:tcPr/>
          <w:p>
            <w:pPr>
              <w:pStyle w:val="Compact"/>
            </w:pPr>
            <w:r>
              <w:t xml:space="preserve">Immutable landing zone and station registry</w:t>
            </w:r>
          </w:p>
        </w:tc>
        <w:tc>
          <w:tcPr/>
          <w:p>
            <w:pPr>
              <w:pStyle w:val="Compact"/>
            </w:pPr>
            <w:r>
              <w:t xml:space="preserve">Raw capture for AWC, NWS obs, CLI, CDO/ADS; SHA-256 hashing; canonical</w:t>
            </w:r>
            <w:r>
              <w:t xml:space="preserve"> </w:t>
            </w:r>
            <w:r>
              <w:rPr>
                <w:rStyle w:val="VerbatimChar"/>
              </w:rPr>
              <w:t xml:space="preserve">station_uid</w:t>
            </w:r>
            <w:r>
              <w:t xml:space="preserve">; effective alias map from HOMR</w:t>
            </w:r>
          </w:p>
        </w:tc>
        <w:tc>
          <w:tcPr/>
          <w:p>
            <w:pPr>
              <w:pStyle w:val="Compact"/>
            </w:pPr>
            <w:r>
              <w:t xml:space="preserve">100% payload hash coverage; 100% tradable stations resolve to a canonical ID</w:t>
            </w:r>
          </w:p>
        </w:tc>
      </w:tr>
      <w:tr>
        <w:tc>
          <w:tcPr/>
          <w:p>
            <w:pPr>
              <w:pStyle w:val="Compact"/>
            </w:pPr>
            <w:r>
              <w:rPr>
                <w:b/>
                <w:bCs/>
              </w:rPr>
              <w:t xml:space="preserve">Days 6–10</w:t>
            </w:r>
          </w:p>
        </w:tc>
        <w:tc>
          <w:tcPr/>
          <w:p>
            <w:pPr>
              <w:pStyle w:val="Compact"/>
            </w:pPr>
            <w:r>
              <w:t xml:space="preserve">Executable source contracts</w:t>
            </w:r>
          </w:p>
        </w:tc>
        <w:tc>
          <w:tcPr/>
          <w:p>
            <w:pPr>
              <w:pStyle w:val="Compact"/>
            </w:pPr>
            <w:r>
              <w:t xml:space="preserve">Schema checks, timestamp checks, missing/trace handling, parser versioning, quarantine queues</w:t>
            </w:r>
          </w:p>
        </w:tc>
        <w:tc>
          <w:tcPr/>
          <w:p>
            <w:pPr>
              <w:pStyle w:val="Compact"/>
            </w:pPr>
            <w:r>
              <w:t xml:space="preserve">Parser success rate &gt; 99.9% on replay; zero silent coercion of</w:t>
            </w:r>
            <w:r>
              <w:t xml:space="preserve"> </w:t>
            </w:r>
            <w:r>
              <w:rPr>
                <w:rStyle w:val="VerbatimChar"/>
              </w:rPr>
              <w:t xml:space="preserve">MM</w:t>
            </w:r>
            <w:r>
              <w:t xml:space="preserve">/</w:t>
            </w:r>
            <w:r>
              <w:rPr>
                <w:rStyle w:val="VerbatimChar"/>
              </w:rPr>
              <w:t xml:space="preserve">T</w:t>
            </w:r>
            <w:r>
              <w:t xml:space="preserve">; all tradable stations have tested timezone assignment</w:t>
            </w:r>
          </w:p>
        </w:tc>
      </w:tr>
      <w:tr>
        <w:tc>
          <w:tcPr/>
          <w:p>
            <w:pPr>
              <w:pStyle w:val="Compact"/>
            </w:pPr>
            <w:r>
              <w:rPr>
                <w:b/>
                <w:bCs/>
              </w:rPr>
              <w:t xml:space="preserve">Days 11–15</w:t>
            </w:r>
          </w:p>
        </w:tc>
        <w:tc>
          <w:tcPr/>
          <w:p>
            <w:pPr>
              <w:pStyle w:val="Compact"/>
            </w:pPr>
            <w:r>
              <w:t xml:space="preserve">Freshness and lag monitoring</w:t>
            </w:r>
          </w:p>
        </w:tc>
        <w:tc>
          <w:tcPr/>
          <w:p>
            <w:pPr>
              <w:pStyle w:val="Compact"/>
            </w:pPr>
            <w:r>
              <w:t xml:space="preserve">Source heartbeat monitors, per-station stale-age histograms by local hour, dashboards and alerts in shadow</w:t>
            </w:r>
          </w:p>
        </w:tc>
        <w:tc>
          <w:tcPr/>
          <w:p>
            <w:pPr>
              <w:pStyle w:val="Compact"/>
            </w:pPr>
            <w:r>
              <w:t xml:space="preserve">Detect synthetic feed stalls in &lt; 2 minutes; p95 false alert rate &lt; 2% of station-hours</w:t>
            </w:r>
          </w:p>
        </w:tc>
      </w:tr>
      <w:tr>
        <w:tc>
          <w:tcPr/>
          <w:p>
            <w:pPr>
              <w:pStyle w:val="Compact"/>
            </w:pPr>
            <w:r>
              <w:rPr>
                <w:b/>
                <w:bCs/>
              </w:rPr>
              <w:t xml:space="preserve">Days 16–20</w:t>
            </w:r>
          </w:p>
        </w:tc>
        <w:tc>
          <w:tcPr/>
          <w:p>
            <w:pPr>
              <w:pStyle w:val="Compact"/>
            </w:pPr>
            <w:r>
              <w:t xml:space="preserve">Reconciliation and anomaly layer</w:t>
            </w:r>
          </w:p>
        </w:tc>
        <w:tc>
          <w:tcPr/>
          <w:p>
            <w:pPr>
              <w:pStyle w:val="Compact"/>
            </w:pPr>
            <w:r>
              <w:t xml:space="preserve">METAR-vs-NWS matching, running max/min checks on LST clock, deterministic anomalies, contextual bands</w:t>
            </w:r>
          </w:p>
        </w:tc>
        <w:tc>
          <w:tcPr/>
          <w:p>
            <w:pPr>
              <w:pStyle w:val="Compact"/>
            </w:pPr>
            <w:r>
              <w:t xml:space="preserve">Catch all injected parser/timezone faults in replay; no uncaught synthetic max-reset bug; anomaly precision &gt; 80% on labeled incidents</w:t>
            </w:r>
          </w:p>
        </w:tc>
      </w:tr>
      <w:tr>
        <w:tc>
          <w:tcPr/>
          <w:p>
            <w:pPr>
              <w:pStyle w:val="Compact"/>
            </w:pPr>
            <w:r>
              <w:rPr>
                <w:b/>
                <w:bCs/>
              </w:rPr>
              <w:t xml:space="preserve">Days 21–25</w:t>
            </w:r>
          </w:p>
        </w:tc>
        <w:tc>
          <w:tcPr/>
          <w:p>
            <w:pPr>
              <w:pStyle w:val="Compact"/>
            </w:pPr>
            <w:r>
              <w:t xml:space="preserve">Guardrails and shadow execution</w:t>
            </w:r>
          </w:p>
        </w:tc>
        <w:tc>
          <w:tcPr/>
          <w:p>
            <w:pPr>
              <w:pStyle w:val="Compact"/>
            </w:pPr>
            <w:r>
              <w:rPr>
                <w:rStyle w:val="VerbatimChar"/>
              </w:rPr>
              <w:t xml:space="preserve">qa_confidence</w:t>
            </w:r>
            <w:r>
              <w:t xml:space="preserve">, scoped halt logic, shadow-mode router, prevented-trade audit trail</w:t>
            </w:r>
          </w:p>
        </w:tc>
        <w:tc>
          <w:tcPr/>
          <w:p>
            <w:pPr>
              <w:pStyle w:val="Compact"/>
            </w:pPr>
            <w:r>
              <w:t xml:space="preserve">100% lineage completeness for shadow trade candidates; halt scope correct in &gt; 95% of drills</w:t>
            </w:r>
          </w:p>
        </w:tc>
      </w:tr>
      <w:tr>
        <w:tc>
          <w:tcPr/>
          <w:p>
            <w:pPr>
              <w:pStyle w:val="Compact"/>
            </w:pPr>
            <w:r>
              <w:rPr>
                <w:b/>
                <w:bCs/>
              </w:rPr>
              <w:t xml:space="preserve">Days 26–30</w:t>
            </w:r>
          </w:p>
        </w:tc>
        <w:tc>
          <w:tcPr/>
          <w:p>
            <w:pPr>
              <w:pStyle w:val="Compact"/>
            </w:pPr>
            <w:r>
              <w:t xml:space="preserve">Settlement parity and go-live</w:t>
            </w:r>
          </w:p>
        </w:tc>
        <w:tc>
          <w:tcPr/>
          <w:p>
            <w:pPr>
              <w:pStyle w:val="Compact"/>
            </w:pPr>
            <w:r>
              <w:t xml:space="preserve">Overnight CLI parity, CDO/ADS/GHCNd re-audit, scorecard automation, low-notional production cutover</w:t>
            </w:r>
          </w:p>
        </w:tc>
        <w:tc>
          <w:tcPr/>
          <w:p>
            <w:pPr>
              <w:pStyle w:val="Compact"/>
            </w:pPr>
            <w:r>
              <w:t xml:space="preserve">Settlement mismatch escape rate = 0 in shadow; scorecard delivery by 08:00 local ≥ 99%; P0 ack median &lt; 5 min</w:t>
            </w:r>
          </w:p>
        </w:tc>
      </w:tr>
    </w:tbl>
    <w:p>
      <w:pPr>
        <w:pStyle w:val="BodyText"/>
      </w:pPr>
      <w:r>
        <w:t xml:space="preserve">By day 30, I would hold the system to these steady-state operating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jc w:val="right"/>
            </w:pPr>
            <w:r>
              <w:t xml:space="preserve">Day-30 target</w:t>
            </w:r>
          </w:p>
        </w:tc>
      </w:tr>
      <w:tr>
        <w:tc>
          <w:tcPr/>
          <w:p>
            <w:pPr>
              <w:pStyle w:val="Compact"/>
            </w:pPr>
            <w:r>
              <w:rPr>
                <w:b/>
                <w:bCs/>
              </w:rPr>
              <w:t xml:space="preserve">Silent corruption escape rate</w:t>
            </w:r>
          </w:p>
        </w:tc>
        <w:tc>
          <w:tcPr/>
          <w:p>
            <w:pPr>
              <w:pStyle w:val="Compact"/>
              <w:jc w:val="right"/>
            </w:pPr>
            <w:r>
              <w:rPr>
                <w:b/>
                <w:bCs/>
              </w:rPr>
              <w:t xml:space="preserve">0</w:t>
            </w:r>
            <w:r>
              <w:t xml:space="preserve"> </w:t>
            </w:r>
            <w:r>
              <w:t xml:space="preserve">production escapes</w:t>
            </w:r>
          </w:p>
        </w:tc>
      </w:tr>
      <w:tr>
        <w:tc>
          <w:tcPr/>
          <w:p>
            <w:pPr>
              <w:pStyle w:val="Compact"/>
            </w:pPr>
            <w:r>
              <w:rPr>
                <w:b/>
                <w:bCs/>
              </w:rPr>
              <w:t xml:space="preserve">Trade candidate lineage completeness</w:t>
            </w:r>
          </w:p>
        </w:tc>
        <w:tc>
          <w:tcPr/>
          <w:p>
            <w:pPr>
              <w:pStyle w:val="Compact"/>
              <w:jc w:val="right"/>
            </w:pPr>
            <w:r>
              <w:rPr>
                <w:b/>
                <w:bCs/>
              </w:rPr>
              <w:t xml:space="preserve">100%</w:t>
            </w:r>
          </w:p>
        </w:tc>
      </w:tr>
      <w:tr>
        <w:tc>
          <w:tcPr/>
          <w:p>
            <w:pPr>
              <w:pStyle w:val="Compact"/>
            </w:pPr>
            <w:r>
              <w:rPr>
                <w:b/>
                <w:bCs/>
              </w:rPr>
              <w:t xml:space="preserve">Stream outage detection latency</w:t>
            </w:r>
          </w:p>
        </w:tc>
        <w:tc>
          <w:tcPr/>
          <w:p>
            <w:pPr>
              <w:pStyle w:val="Compact"/>
              <w:jc w:val="right"/>
            </w:pPr>
            <w:r>
              <w:rPr>
                <w:b/>
                <w:bCs/>
              </w:rPr>
              <w:t xml:space="preserve">p95 &lt; 2 min</w:t>
            </w:r>
          </w:p>
        </w:tc>
      </w:tr>
      <w:tr>
        <w:tc>
          <w:tcPr/>
          <w:p>
            <w:pPr>
              <w:pStyle w:val="Compact"/>
            </w:pPr>
            <w:r>
              <w:rPr>
                <w:b/>
                <w:bCs/>
              </w:rPr>
              <w:t xml:space="preserve">Settlement parity unresolved rate</w:t>
            </w:r>
          </w:p>
        </w:tc>
        <w:tc>
          <w:tcPr/>
          <w:p>
            <w:pPr>
              <w:pStyle w:val="Compact"/>
              <w:jc w:val="right"/>
            </w:pPr>
            <w:r>
              <w:rPr>
                <w:b/>
                <w:bCs/>
              </w:rPr>
              <w:t xml:space="preserve">&lt; 0.1% of station-days</w:t>
            </w:r>
          </w:p>
        </w:tc>
      </w:tr>
      <w:tr>
        <w:tc>
          <w:tcPr/>
          <w:p>
            <w:pPr>
              <w:pStyle w:val="Compact"/>
            </w:pPr>
            <w:r>
              <w:rPr>
                <w:b/>
                <w:bCs/>
              </w:rPr>
              <w:t xml:space="preserve">False P0 halt rate</w:t>
            </w:r>
          </w:p>
        </w:tc>
        <w:tc>
          <w:tcPr/>
          <w:p>
            <w:pPr>
              <w:pStyle w:val="Compact"/>
              <w:jc w:val="right"/>
            </w:pPr>
            <w:r>
              <w:rPr>
                <w:b/>
                <w:bCs/>
              </w:rPr>
              <w:t xml:space="preserve">&lt; 1 per 500 station-days</w:t>
            </w:r>
          </w:p>
        </w:tc>
      </w:tr>
      <w:tr>
        <w:tc>
          <w:tcPr/>
          <w:p>
            <w:pPr>
              <w:pStyle w:val="Compact"/>
            </w:pPr>
            <w:r>
              <w:rPr>
                <w:b/>
                <w:bCs/>
              </w:rPr>
              <w:t xml:space="preserve">Parser regression detection</w:t>
            </w:r>
          </w:p>
        </w:tc>
        <w:tc>
          <w:tcPr/>
          <w:p>
            <w:pPr>
              <w:pStyle w:val="Compact"/>
              <w:jc w:val="right"/>
            </w:pPr>
            <w:r>
              <w:rPr>
                <w:b/>
                <w:bCs/>
              </w:rPr>
              <w:t xml:space="preserve">same trading session</w:t>
            </w:r>
          </w:p>
        </w:tc>
      </w:tr>
      <w:tr>
        <w:tc>
          <w:tcPr/>
          <w:p>
            <w:pPr>
              <w:pStyle w:val="Compact"/>
            </w:pPr>
            <w:r>
              <w:rPr>
                <w:b/>
                <w:bCs/>
              </w:rPr>
              <w:t xml:space="preserve">Scorecard on-time delivery</w:t>
            </w:r>
          </w:p>
        </w:tc>
        <w:tc>
          <w:tcPr/>
          <w:p>
            <w:pPr>
              <w:pStyle w:val="Compact"/>
              <w:jc w:val="right"/>
            </w:pPr>
            <w:r>
              <w:rPr>
                <w:b/>
                <w:bCs/>
              </w:rPr>
              <w:t xml:space="preserve">≥ 99%</w:t>
            </w:r>
          </w:p>
        </w:tc>
      </w:tr>
      <w:tr>
        <w:tc>
          <w:tcPr/>
          <w:p>
            <w:pPr>
              <w:pStyle w:val="Compact"/>
            </w:pPr>
            <w:r>
              <w:rPr>
                <w:b/>
                <w:bCs/>
              </w:rPr>
              <w:t xml:space="preserve">Shadow/production decision drift</w:t>
            </w:r>
          </w:p>
        </w:tc>
        <w:tc>
          <w:tcPr/>
          <w:p>
            <w:pPr>
              <w:pStyle w:val="Compact"/>
              <w:jc w:val="right"/>
            </w:pPr>
            <w:r>
              <w:rPr>
                <w:b/>
                <w:bCs/>
              </w:rPr>
              <w:t xml:space="preserve">&lt; 0.5% of candidates after cutover</w:t>
            </w:r>
          </w:p>
        </w:tc>
      </w:tr>
    </w:tbl>
    <w:p>
      <w:pPr>
        <w:pStyle w:val="BodyText"/>
      </w:pPr>
      <w:r>
        <w:t xml:space="preserve">The final design principle is simple:</w:t>
      </w:r>
      <w:r>
        <w:t xml:space="preserve"> </w:t>
      </w:r>
      <w:r>
        <w:rPr>
          <w:b/>
          <w:bCs/>
        </w:rPr>
        <w:t xml:space="preserve">do not let a single “latest weather value” become tradeable unless it has passed a contract, survived reconciliation, and is fully reconstructible later</w:t>
      </w:r>
      <w:r>
        <w:t xml:space="preserve">. In weather trading, the most dangerous failure mode is not a loud outage; it is a quiet timestamp or station-normalization error that looks plausible enough to trade. The control plane above is built specifically to stop that class of error before it becomes bad risk.</w:t>
      </w:r>
    </w:p>
    <w:bookmarkEnd w:id="32"/>
    <w:bookmarkEnd w:id="33"/>
    <w:bookmarkEnd w:id="34"/>
    <w:p>
      <w:r>
        <w:pict>
          <v:rect style="width:0;height:1.5pt" o:hralign="center" o:hrstd="t" o:hr="t"/>
        </w:pict>
      </w:r>
    </w:p>
    <w:bookmarkStart w:id="35"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r>
        <w:t xml:space="preserve">https://www.weather.gov/media/directives/010_pdfs/pd01010004curr.pdf</w:t>
      </w:r>
    </w:p>
    <w:p>
      <w:pPr>
        <w:pStyle w:val="BodyText"/>
      </w:pPr>
      <w:hyperlink r:id="rId21">
        <w:r>
          <w:rPr>
            <w:rStyle w:val="Hyperlink"/>
          </w:rPr>
          <w:t xml:space="preserve">https://www.weather.gov/media/directives/010_pdfs/pd01010004curr.pdf</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r>
        <w:t xml:space="preserve">https://madis.ncep.noaa.gov/madis_qc.shtml</w:t>
      </w:r>
    </w:p>
    <w:p>
      <w:pPr>
        <w:pStyle w:val="BodyText"/>
      </w:pPr>
      <w:hyperlink r:id="rId22">
        <w:r>
          <w:rPr>
            <w:rStyle w:val="Hyperlink"/>
          </w:rPr>
          <w:t xml:space="preserve">https://madis.ncep.noaa.gov/madis_qc.shtml</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[5]</w:t>
        </w:r>
      </w:hyperlink>
      <w:r>
        <w:t xml:space="preserve"> </w:t>
      </w:r>
      <w:hyperlink r:id="rId23">
        <w:r>
          <w:rPr>
            <w:rStyle w:val="Hyperlink"/>
          </w:rPr>
          <w:t xml:space="preserve">[6]</w:t>
        </w:r>
      </w:hyperlink>
      <w:r>
        <w:t xml:space="preserve"> </w:t>
      </w:r>
      <w:hyperlink r:id="rId23">
        <w:r>
          <w:rPr>
            <w:rStyle w:val="Hyperlink"/>
          </w:rPr>
          <w:t xml:space="preserve">[12]</w:t>
        </w:r>
      </w:hyperlink>
      <w:r>
        <w:t xml:space="preserve"> </w:t>
      </w:r>
      <w:r>
        <w:t xml:space="preserve">https://aviationweather.gov/data/api/</w:t>
      </w:r>
    </w:p>
    <w:p>
      <w:pPr>
        <w:pStyle w:val="BodyText"/>
      </w:pPr>
      <w:hyperlink r:id="rId23">
        <w:r>
          <w:rPr>
            <w:rStyle w:val="Hyperlink"/>
          </w:rPr>
          <w:t xml:space="preserve">https://aviationweather.gov/data/api/</w:t>
        </w:r>
      </w:hyperlink>
    </w:p>
    <w:p>
      <w:pPr>
        <w:pStyle w:val="BodyText"/>
      </w:pPr>
      <w:hyperlink r:id="rId24">
        <w:r>
          <w:rPr>
            <w:rStyle w:val="Hyperlink"/>
          </w:rPr>
          <w:t xml:space="preserve">[7]</w:t>
        </w:r>
      </w:hyperlink>
      <w:r>
        <w:t xml:space="preserve"> </w:t>
      </w:r>
      <w:hyperlink r:id="rId24">
        <w:r>
          <w:rPr>
            <w:rStyle w:val="Hyperlink"/>
          </w:rPr>
          <w:t xml:space="preserve">[16]</w:t>
        </w:r>
      </w:hyperlink>
      <w:r>
        <w:t xml:space="preserve"> </w:t>
      </w:r>
      <w:r>
        <w:t xml:space="preserve">https://www.ncei.noaa.gov/products/land-based-station/global-historical-climatology-network-daily</w:t>
      </w:r>
    </w:p>
    <w:p>
      <w:pPr>
        <w:pStyle w:val="BodyText"/>
      </w:pPr>
      <w:hyperlink r:id="rId24">
        <w:r>
          <w:rPr>
            <w:rStyle w:val="Hyperlink"/>
          </w:rPr>
          <w:t xml:space="preserve">https://www.ncei.noaa.gov/products/land-based-station/global-historical-climatology-network-daily</w:t>
        </w:r>
      </w:hyperlink>
    </w:p>
    <w:p>
      <w:pPr>
        <w:pStyle w:val="BodyText"/>
      </w:pPr>
      <w:hyperlink r:id="rId26">
        <w:r>
          <w:rPr>
            <w:rStyle w:val="Hyperlink"/>
          </w:rPr>
          <w:t xml:space="preserve">[8]</w:t>
        </w:r>
      </w:hyperlink>
      <w:r>
        <w:t xml:space="preserve"> </w:t>
      </w:r>
      <w:r>
        <w:t xml:space="preserve">https://www.ncei.noaa.gov/access/homr/</w:t>
      </w:r>
    </w:p>
    <w:p>
      <w:pPr>
        <w:pStyle w:val="BodyText"/>
      </w:pPr>
      <w:hyperlink r:id="rId26">
        <w:r>
          <w:rPr>
            <w:rStyle w:val="Hyperlink"/>
          </w:rPr>
          <w:t xml:space="preserve">https://www.ncei.noaa.gov/access/homr/</w:t>
        </w:r>
      </w:hyperlink>
    </w:p>
    <w:p>
      <w:pPr>
        <w:pStyle w:val="BodyText"/>
      </w:pPr>
      <w:hyperlink r:id="rId28">
        <w:r>
          <w:rPr>
            <w:rStyle w:val="Hyperlink"/>
          </w:rPr>
          <w:t xml:space="preserve">[13]</w:t>
        </w:r>
      </w:hyperlink>
      <w:r>
        <w:t xml:space="preserve"> </w:t>
      </w:r>
      <w:r>
        <w:t xml:space="preserve">https://www.weather.gov/media/asos/aum-toc.pdf</w:t>
      </w:r>
    </w:p>
    <w:p>
      <w:pPr>
        <w:pStyle w:val="BodyText"/>
      </w:pPr>
      <w:hyperlink r:id="rId28">
        <w:r>
          <w:rPr>
            <w:rStyle w:val="Hyperlink"/>
          </w:rPr>
          <w:t xml:space="preserve">https://www.weather.gov/media/asos/aum-toc.pdf</w:t>
        </w:r>
      </w:hyperlink>
    </w:p>
    <w:p>
      <w:pPr>
        <w:pStyle w:val="BodyText"/>
      </w:pPr>
      <w:hyperlink r:id="rId29">
        <w:r>
          <w:rPr>
            <w:rStyle w:val="Hyperlink"/>
          </w:rPr>
          <w:t xml:space="preserve">[14]</w:t>
        </w:r>
      </w:hyperlink>
      <w:r>
        <w:t xml:space="preserve"> </w:t>
      </w:r>
      <w:hyperlink r:id="rId29">
        <w:r>
          <w:rPr>
            <w:rStyle w:val="Hyperlink"/>
          </w:rPr>
          <w:t xml:space="preserve">[17]</w:t>
        </w:r>
      </w:hyperlink>
      <w:r>
        <w:t xml:space="preserve"> </w:t>
      </w:r>
      <w:r>
        <w:t xml:space="preserve">https://www.weather.gov/documentation/services-web-api</w:t>
      </w:r>
    </w:p>
    <w:p>
      <w:pPr>
        <w:pStyle w:val="BodyText"/>
      </w:pPr>
      <w:hyperlink r:id="rId29">
        <w:r>
          <w:rPr>
            <w:rStyle w:val="Hyperlink"/>
          </w:rPr>
          <w:t xml:space="preserve">https://www.weather.gov/documentation/services-web-api</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viationweather.gov/data/api/" TargetMode="External" /><Relationship Type="http://schemas.openxmlformats.org/officeDocument/2006/relationships/hyperlink" Id="rId22" Target="https://madis.ncep.noaa.gov/madis_qc.shtml" TargetMode="External" /><Relationship Type="http://schemas.openxmlformats.org/officeDocument/2006/relationships/hyperlink" Id="rId26" Target="https://www.ncei.noaa.gov/access/homr/" TargetMode="External" /><Relationship Type="http://schemas.openxmlformats.org/officeDocument/2006/relationships/hyperlink" Id="rId24" Target="https://www.ncei.noaa.gov/products/land-based-station/global-historical-climatology-network-daily" TargetMode="External" /><Relationship Type="http://schemas.openxmlformats.org/officeDocument/2006/relationships/hyperlink" Id="rId29" Target="https://www.weather.gov/documentation/services-web-api" TargetMode="External" /><Relationship Type="http://schemas.openxmlformats.org/officeDocument/2006/relationships/hyperlink" Id="rId28" Target="https://www.weather.gov/media/asos/aum-toc.pdf" TargetMode="External" /><Relationship Type="http://schemas.openxmlformats.org/officeDocument/2006/relationships/hyperlink" Id="rId21" Target="https://www.weather.gov/media/directives/010_pdfs/pd01010004curr.pdf" TargetMode="External" /></Relationships>
</file>

<file path=word/_rels/footnotes.xml.rels><?xml version="1.0" encoding="UTF-8"?><Relationships xmlns="http://schemas.openxmlformats.org/package/2006/relationships"><Relationship Type="http://schemas.openxmlformats.org/officeDocument/2006/relationships/hyperlink" Id="rId23" Target="https://aviationweather.gov/data/api/" TargetMode="External" /><Relationship Type="http://schemas.openxmlformats.org/officeDocument/2006/relationships/hyperlink" Id="rId22" Target="https://madis.ncep.noaa.gov/madis_qc.shtml" TargetMode="External" /><Relationship Type="http://schemas.openxmlformats.org/officeDocument/2006/relationships/hyperlink" Id="rId26" Target="https://www.ncei.noaa.gov/access/homr/" TargetMode="External" /><Relationship Type="http://schemas.openxmlformats.org/officeDocument/2006/relationships/hyperlink" Id="rId24" Target="https://www.ncei.noaa.gov/products/land-based-station/global-historical-climatology-network-daily" TargetMode="External" /><Relationship Type="http://schemas.openxmlformats.org/officeDocument/2006/relationships/hyperlink" Id="rId29" Target="https://www.weather.gov/documentation/services-web-api" TargetMode="External" /><Relationship Type="http://schemas.openxmlformats.org/officeDocument/2006/relationships/hyperlink" Id="rId28" Target="https://www.weather.gov/media/asos/aum-toc.pdf" TargetMode="External" /><Relationship Type="http://schemas.openxmlformats.org/officeDocument/2006/relationships/hyperlink" Id="rId21" Target="https://www.weather.gov/media/directives/010_pdfs/pd01010004cur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2026-04-16T17:00:45Z</dcterms:created>
  <dcterms:modified xsi:type="dcterms:W3CDTF">2026-04-16T17:00:45Z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