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890e0d8d4607fce2b80e86c3ac1cd44662976b7"/>
    <w:p>
      <w:pPr>
        <w:pStyle w:val="Heading1"/>
      </w:pPr>
      <w:r>
        <w:t xml:space="preserve">Production-Grade Research Plan for Extracting Temperature Edge From METAR, SPECI, TAF, and Daily Climate Settlement Data</w:t>
      </w:r>
    </w:p>
    <w:bookmarkStart w:id="26" w:name="recommended-system-design"/>
    <w:p>
      <w:pPr>
        <w:pStyle w:val="Heading2"/>
      </w:pPr>
      <w:r>
        <w:t xml:space="preserve">Recommended system design</w:t>
      </w:r>
    </w:p>
    <w:p>
      <w:pPr>
        <w:pStyle w:val="FirstParagraph"/>
      </w:pPr>
      <w:r>
        <w:t xml:space="preserve">The right production design is</w:t>
      </w:r>
      <w:r>
        <w:t xml:space="preserve"> </w:t>
      </w:r>
      <w:r>
        <w:rPr>
          <w:b/>
          <w:bCs/>
        </w:rPr>
        <w:t xml:space="preserve">not</w:t>
      </w:r>
      <w:r>
        <w:t xml:space="preserve"> </w:t>
      </w:r>
      <w:r>
        <w:t xml:space="preserve">a separate binary model for every strike. It is a</w:t>
      </w:r>
      <w:r>
        <w:t xml:space="preserve"> </w:t>
      </w:r>
      <w:r>
        <w:rPr>
          <w:b/>
          <w:bCs/>
        </w:rPr>
        <w:t xml:space="preserve">single coherent settlement-distribution model</w:t>
      </w:r>
      <w:r>
        <w:t xml:space="preserve"> </w:t>
      </w:r>
      <w:r>
        <w:t xml:space="preserve">for each station-day and decision time, with probabilities for every strike side derived from that one distribution. That keeps probabilities monotone across strikes, prevents repeated entries on the same underlying outcome, and makes calibration, validation, and execution controls much cleaner. This is especially important because the exchange settles on the</w:t>
      </w:r>
      <w:r>
        <w:t xml:space="preserve"> </w:t>
      </w:r>
      <w:r>
        <w:rPr>
          <w:b/>
          <w:bCs/>
        </w:rPr>
        <w:t xml:space="preserve">final daily climate report issued the following morning</w:t>
      </w:r>
      <w:r>
        <w:t xml:space="preserve">, while the weather products you can trade on arrive throughout the day and use different cadences and clocks.</w:t>
      </w:r>
      <w:r>
        <w:t xml:space="preserve"> </w:t>
      </w:r>
      <w:hyperlink r:id="rId21">
        <w:r>
          <w:rPr>
            <w:rStyle w:val="Hyperlink"/>
          </w:rPr>
          <w:t xml:space="preserve">[1]</w:t>
        </w:r>
      </w:hyperlink>
    </w:p>
    <w:p>
      <w:pPr>
        <w:pStyle w:val="BodyText"/>
      </w:pPr>
      <w:r>
        <w:t xml:space="preserve">The live data backbone should be built around the Aviation Weather Center</w:t>
      </w:r>
      <w:hyperlink r:id="rId22">
        <w:r>
          <w:rPr>
            <w:rStyle w:val="Hyperlink"/>
          </w:rPr>
          <w:t xml:space="preserve">[2]</w:t>
        </w:r>
      </w:hyperlink>
      <w:r>
        <w:t xml:space="preserve"> </w:t>
      </w:r>
      <w:r>
        <w:t xml:space="preserve">Data API for METAR and TAF ingestion, plus your own real-time product archive. That is necessary because the official aviation API only exposes up to the previous 15 days, and the weather.gov text-product database only keeps about 7 days of text products. For historical backfill and QA, use the official archive at National Centers for Environmental Information</w:t>
      </w:r>
      <w:hyperlink r:id="rId23">
        <w:r>
          <w:rPr>
            <w:rStyle w:val="Hyperlink"/>
          </w:rPr>
          <w:t xml:space="preserve">[3]</w:t>
        </w:r>
      </w:hyperlink>
      <w:r>
        <w:t xml:space="preserve"> </w:t>
      </w:r>
      <w:r>
        <w:t xml:space="preserve">and a convenience backfill layer from the Iowa Environmental Mesonet</w:t>
      </w:r>
      <w:hyperlink r:id="rId21">
        <w:r>
          <w:rPr>
            <w:rStyle w:val="Hyperlink"/>
          </w:rPr>
          <w:t xml:space="preserve">[4]</w:t>
        </w:r>
      </w:hyperlink>
      <w:r>
        <w:t xml:space="preserve">, but do not rely on delayed one-minute archives for live features because those are explicitly not real time and usually lag by roughly 18–36 hours or one to two days.</w:t>
      </w:r>
      <w:r>
        <w:t xml:space="preserve"> </w:t>
      </w:r>
      <w:hyperlink r:id="rId24">
        <w:r>
          <w:rPr>
            <w:rStyle w:val="Hyperlink"/>
          </w:rPr>
          <w:t xml:space="preserve">[5]</w:t>
        </w:r>
      </w:hyperlink>
    </w:p>
    <w:p>
      <w:pPr>
        <w:pStyle w:val="BodyText"/>
      </w:pPr>
      <w:r>
        <w:t xml:space="preserve">The practical modeling objective should therefore be:</w:t>
      </w:r>
      <w:r>
        <w:t xml:space="preserve"> </w:t>
      </w:r>
      <w:r>
        <w:rPr>
          <w:b/>
          <w:bCs/>
        </w:rPr>
        <w:t xml:space="preserve">at any decision timestamp, estimate the full conditional distribution of the settled daily high or low temperature, then map that distribution to every tradeable side, together with a calibrated confidence band and a confidence score that widens when data are stale, regime is unstable, or source quality degrades.</w:t>
      </w:r>
      <w:r>
        <w:t xml:space="preserve"> </w:t>
      </w:r>
      <w:r>
        <w:t xml:space="preserve">Proper scoring-rule and calibration literature strongly supports optimizing and evaluating probability forecasts in that form rather than relying on raw classifiers alone.</w:t>
      </w:r>
      <w:r>
        <w:t xml:space="preserve"> </w:t>
      </w:r>
      <w:hyperlink r:id="rId25">
        <w:r>
          <w:rPr>
            <w:rStyle w:val="Hyperlink"/>
          </w:rPr>
          <w:t xml:space="preserve">[6]</w:t>
        </w:r>
      </w:hyperlink>
    </w:p>
    <w:bookmarkEnd w:id="26"/>
    <w:bookmarkStart w:id="29" w:name="settlement-parity-and-data-contract"/>
    <w:p>
      <w:pPr>
        <w:pStyle w:val="Heading2"/>
      </w:pPr>
      <w:r>
        <w:t xml:space="preserve">Settlement parity and data contract</w:t>
      </w:r>
    </w:p>
    <w:p>
      <w:pPr>
        <w:pStyle w:val="FirstParagraph"/>
      </w:pPr>
      <w:r>
        <w:t xml:space="preserve">Your label definition has to match settlement exactly:</w:t>
      </w:r>
      <w:r>
        <w:t xml:space="preserve"> </w:t>
      </w:r>
      <w:r>
        <w:rPr>
          <w:b/>
          <w:bCs/>
        </w:rPr>
        <w:t xml:space="preserve">the final daily climate report for the relevant market source, not a later certified revision, not a consumer weather app, and not a generic daily summary pulled from another database.</w:t>
      </w:r>
      <w:r>
        <w:t xml:space="preserve"> </w:t>
      </w:r>
      <w:r>
        <w:t xml:space="preserve">The exchange’s own help text says settlement is based on the final daily climate report, that determination can be delayed if the final value conflicts with METAR 6-hour or 24-hour highs or if the final report is below the prior preliminary report, and that the relevant source is linked in the market rules. Separately, the NOWData FAQ states that NOWData is not “official” and may reflect preliminary holdings before later synchronization or certification. For trading research, that means your truth set should be the exact overnight text product used for settlement, stored immutably with issue timestamp, product ID, and checksum.</w:t>
      </w:r>
      <w:r>
        <w:t xml:space="preserve"> </w:t>
      </w:r>
      <w:hyperlink r:id="rId21">
        <w:r>
          <w:rPr>
            <w:rStyle w:val="Hyperlink"/>
          </w:rPr>
          <w:t xml:space="preserve">[7]</w:t>
        </w:r>
      </w:hyperlink>
    </w:p>
    <w:p>
      <w:pPr>
        <w:pStyle w:val="BodyText"/>
      </w:pPr>
      <w:r>
        <w:t xml:space="preserve">The most important engineering choice is to represent each market day in</w:t>
      </w:r>
      <w:r>
        <w:t xml:space="preserve"> </w:t>
      </w:r>
      <w:r>
        <w:rPr>
          <w:b/>
          <w:bCs/>
        </w:rPr>
        <w:t xml:space="preserve">local standard time</w:t>
      </w:r>
      <w:r>
        <w:t xml:space="preserve">, not local civil time. NWS climate documentation is explicit that the daily climate day runs from</w:t>
      </w:r>
      <w:r>
        <w:t xml:space="preserve"> </w:t>
      </w:r>
      <w:r>
        <w:rPr>
          <w:rStyle w:val="VerbatimChar"/>
        </w:rPr>
        <w:t xml:space="preserve">0000–2359 Local Standard Time</w:t>
      </w:r>
      <w:r>
        <w:t xml:space="preserve">, which during daylight saving time corresponds to</w:t>
      </w:r>
      <w:r>
        <w:t xml:space="preserve"> </w:t>
      </w:r>
      <w:r>
        <w:rPr>
          <w:rStyle w:val="VerbatimChar"/>
        </w:rPr>
        <w:t xml:space="preserve">0100–0059</w:t>
      </w:r>
      <w:r>
        <w:t xml:space="preserve"> </w:t>
      </w:r>
      <w:r>
        <w:t xml:space="preserve">local daylight time. The daily CLI pages for Central Park</w:t>
      </w:r>
      <w:hyperlink r:id="rId23">
        <w:r>
          <w:rPr>
            <w:rStyle w:val="Hyperlink"/>
          </w:rPr>
          <w:t xml:space="preserve">[8]</w:t>
        </w:r>
      </w:hyperlink>
      <w:r>
        <w:t xml:space="preserve"> </w:t>
      </w:r>
      <w:r>
        <w:t xml:space="preserve">make the same point and show that the overnight “daily” report is issued after midnight local civil time while summarizing the prior</w:t>
      </w:r>
      <w:r>
        <w:t xml:space="preserve"> </w:t>
      </w:r>
      <w:r>
        <w:rPr>
          <w:b/>
          <w:bCs/>
        </w:rPr>
        <w:t xml:space="preserve">local-standard</w:t>
      </w:r>
      <w:r>
        <w:t xml:space="preserve"> </w:t>
      </w:r>
      <w:r>
        <w:t xml:space="preserve">day. The clean implementation is a fixed-offset station timezone such as</w:t>
      </w:r>
      <w:r>
        <w:t xml:space="preserve"> </w:t>
      </w:r>
      <w:r>
        <w:rPr>
          <w:rStyle w:val="VerbatimChar"/>
        </w:rPr>
        <w:t xml:space="preserve">UTC-5</w:t>
      </w:r>
      <w:r>
        <w:t xml:space="preserve">,</w:t>
      </w:r>
      <w:r>
        <w:t xml:space="preserve"> </w:t>
      </w:r>
      <w:r>
        <w:rPr>
          <w:rStyle w:val="VerbatimChar"/>
        </w:rPr>
        <w:t xml:space="preserve">UTC-6</w:t>
      </w:r>
      <w:r>
        <w:t xml:space="preserve">,</w:t>
      </w:r>
      <w:r>
        <w:t xml:space="preserve"> </w:t>
      </w:r>
      <w:r>
        <w:rPr>
          <w:rStyle w:val="VerbatimChar"/>
        </w:rPr>
        <w:t xml:space="preserve">UTC-8</w:t>
      </w:r>
      <w:r>
        <w:t xml:space="preserve">, etc., with the settlement day assigned by that fixed standard offset; do</w:t>
      </w:r>
      <w:r>
        <w:t xml:space="preserve"> </w:t>
      </w:r>
      <w:r>
        <w:rPr>
          <w:b/>
          <w:bCs/>
        </w:rPr>
        <w:t xml:space="preserve">not</w:t>
      </w:r>
      <w:r>
        <w:t xml:space="preserve"> </w:t>
      </w:r>
      <w:r>
        <w:t xml:space="preserve">bucket by</w:t>
      </w:r>
      <w:r>
        <w:t xml:space="preserve"> </w:t>
      </w:r>
      <w:r>
        <w:rPr>
          <w:rStyle w:val="VerbatimChar"/>
        </w:rPr>
        <w:t xml:space="preserve">America/New_York</w:t>
      </w:r>
      <w:r>
        <w:t xml:space="preserve">,</w:t>
      </w:r>
      <w:r>
        <w:t xml:space="preserve"> </w:t>
      </w:r>
      <w:r>
        <w:rPr>
          <w:rStyle w:val="VerbatimChar"/>
        </w:rPr>
        <w:t xml:space="preserve">America/Chicago</w:t>
      </w:r>
      <w:r>
        <w:t xml:space="preserve">, and so on, because that will create off-by-one-day errors around DST boundaries.</w:t>
      </w:r>
      <w:r>
        <w:t xml:space="preserve"> </w:t>
      </w:r>
      <w:hyperlink r:id="rId22">
        <w:r>
          <w:rPr>
            <w:rStyle w:val="Hyperlink"/>
          </w:rPr>
          <w:t xml:space="preserve">[9]</w:t>
        </w:r>
      </w:hyperlink>
    </w:p>
    <w:p>
      <w:pPr>
        <w:pStyle w:val="BodyText"/>
      </w:pPr>
      <w:r>
        <w:t xml:space="preserve">You should maintain a</w:t>
      </w:r>
      <w:r>
        <w:t xml:space="preserve"> </w:t>
      </w:r>
      <w:r>
        <w:rPr>
          <w:b/>
          <w:bCs/>
        </w:rPr>
        <w:t xml:space="preserve">station registry</w:t>
      </w:r>
      <w:r>
        <w:t xml:space="preserve"> </w:t>
      </w:r>
      <w:r>
        <w:t xml:space="preserve">at the market-source level, not the city-name level. Each row should include market family, settlement station/product, climate product code, forecast office, ICAO/METAR station, fixed standard UTC offset, whether the station observes DST, and a test suite of historical DST boundary dates. That registry should also preserve site-history metadata because NCEI notes that long climate records can contain artificial shifts when human observations and ASOS-era observations are merged, and their station-history system exists precisely to document “where and under what circumstances the observations were taken.”</w:t>
      </w:r>
      <w:r>
        <w:t xml:space="preserve"> </w:t>
      </w:r>
      <w:hyperlink r:id="rId27">
        <w:r>
          <w:rPr>
            <w:rStyle w:val="Hyperlink"/>
          </w:rPr>
          <w:t xml:space="preserve">[10]</w:t>
        </w:r>
      </w:hyperlink>
    </w:p>
    <w:p>
      <w:pPr>
        <w:pStyle w:val="BodyText"/>
      </w:pPr>
      <w:r>
        <w:t xml:space="preserve">For parity QA, every label build should compare four objects: the preliminary afternoon CLI, the final overnight CLI, the current-day cumulative max reconstructed from available METAR/SPECI temperatures, and parsed 6-hour or 24-hour temperature groups from METAR remarks. If any of those disagree, the day should be flagged as “parity-risk” and excluded from immediate model promotion until manually resolved or automatically reconciled. That mirrors the exchange’s own delayed-determination conditions and materially reduces false alpha created by label noise.</w:t>
      </w:r>
      <w:r>
        <w:t xml:space="preserve"> </w:t>
      </w:r>
      <w:hyperlink r:id="rId21">
        <w:r>
          <w:rPr>
            <w:rStyle w:val="Hyperlink"/>
          </w:rPr>
          <w:t xml:space="preserve">[11]</w:t>
        </w:r>
      </w:hyperlink>
    </w:p>
    <w:p>
      <w:pPr>
        <w:pStyle w:val="BodyText"/>
      </w:pPr>
      <w:r>
        <w:t xml:space="preserve">One-minute ASOS archives are extremely valuable for</w:t>
      </w:r>
      <w:r>
        <w:t xml:space="preserve"> </w:t>
      </w:r>
      <w:r>
        <w:rPr>
          <w:b/>
          <w:bCs/>
        </w:rPr>
        <w:t xml:space="preserve">offline QA</w:t>
      </w:r>
      <w:r>
        <w:t xml:space="preserve">, but not for live prediction. Official and quasi-official documentation says those archives are delayed, sometimes by 18–36 hours or one to two days. So use one-minute data to estimate how often sub-hourly or sub-METAR peaks would have changed your understanding of the intraday path, but keep the live feature set restricted to products that were actually available at the decision timestamp.</w:t>
      </w:r>
      <w:r>
        <w:t xml:space="preserve"> </w:t>
      </w:r>
      <w:hyperlink r:id="rId28">
        <w:r>
          <w:rPr>
            <w:rStyle w:val="Hyperlink"/>
          </w:rPr>
          <w:t xml:space="preserve">[12]</w:t>
        </w:r>
      </w:hyperlink>
    </w:p>
    <w:bookmarkEnd w:id="29"/>
    <w:bookmarkStart w:id="33" w:name="ranked-feature-stack-and-transferability"/>
    <w:p>
      <w:pPr>
        <w:pStyle w:val="Heading2"/>
      </w:pPr>
      <w:r>
        <w:t xml:space="preserve">Ranked feature stack and transferability</w:t>
      </w:r>
    </w:p>
    <w:p>
      <w:pPr>
        <w:pStyle w:val="FirstParagraph"/>
      </w:pPr>
      <w:r>
        <w:t xml:space="preserve">The feature priorities below are</w:t>
      </w:r>
      <w:r>
        <w:t xml:space="preserve"> </w:t>
      </w:r>
      <w:r>
        <w:rPr>
          <w:b/>
          <w:bCs/>
        </w:rPr>
        <w:t xml:space="preserve">planning priors</w:t>
      </w:r>
      <w:r>
        <w:t xml:space="preserve">, not measured results. They are ranked by expected marginal impact on independent market-side probability quality, given how METAR, SPECI, TAF, and settlement products are defined and issued. METARs are hourly and valid for one hour; SPECIs are unscheduled reports issued as soon as qualifying changes occur; TAFs are six-hourly scheduled forecasts with amendments and a structured path of FM, TEMPO, and PROB groups; daily settlement is anchored to local standard time.</w:t>
      </w:r>
      <w:r>
        <w:t xml:space="preserve"> </w:t>
      </w:r>
      <w:hyperlink r:id="rId30">
        <w:r>
          <w:rPr>
            <w:rStyle w:val="Hyperlink"/>
          </w:rPr>
          <w:t xml:space="preserve">[13]</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Feature family</w:t>
            </w:r>
          </w:p>
        </w:tc>
        <w:tc>
          <w:tcPr/>
          <w:p>
            <w:pPr>
              <w:pStyle w:val="Compact"/>
              <w:jc w:val="right"/>
            </w:pPr>
            <w:r>
              <w:t xml:space="preserve">Expected impact</w:t>
            </w:r>
          </w:p>
        </w:tc>
        <w:tc>
          <w:tcPr/>
          <w:p>
            <w:pPr>
              <w:pStyle w:val="Compact"/>
            </w:pPr>
            <w:r>
              <w:t xml:space="preserve">Why it matters</w:t>
            </w:r>
          </w:p>
        </w:tc>
        <w:tc>
          <w:tcPr/>
          <w:p>
            <w:pPr>
              <w:pStyle w:val="Compact"/>
            </w:pPr>
            <w:r>
              <w:t xml:space="preserve">Transferability</w:t>
            </w:r>
          </w:p>
        </w:tc>
      </w:tr>
      <w:tr>
        <w:tc>
          <w:tcPr/>
          <w:p>
            <w:pPr>
              <w:pStyle w:val="Compact"/>
            </w:pPr>
            <w:r>
              <w:t xml:space="preserve">1</w:t>
            </w:r>
          </w:p>
        </w:tc>
        <w:tc>
          <w:tcPr/>
          <w:p>
            <w:pPr>
              <w:pStyle w:val="Compact"/>
            </w:pPr>
            <w:r>
              <w:rPr>
                <w:b/>
                <w:bCs/>
              </w:rPr>
              <w:t xml:space="preserve">Settlement-aware intraday state</w:t>
            </w:r>
            <w:r>
              <w:t xml:space="preserve">: current temp, day-so-far max/min, minutes since settlement-day start, current temp minus day-so-far max, slope over 15/30/60/180 min, time since last local max</w:t>
            </w:r>
          </w:p>
        </w:tc>
        <w:tc>
          <w:tcPr/>
          <w:p>
            <w:pPr>
              <w:pStyle w:val="Compact"/>
              <w:jc w:val="right"/>
            </w:pPr>
            <w:r>
              <w:t xml:space="preserve">Very high</w:t>
            </w:r>
          </w:p>
        </w:tc>
        <w:tc>
          <w:tcPr/>
          <w:p>
            <w:pPr>
              <w:pStyle w:val="Compact"/>
            </w:pPr>
            <w:r>
              <w:t xml:space="preserve">This is the closest causal proxy to the final max/min target</w:t>
            </w:r>
          </w:p>
        </w:tc>
        <w:tc>
          <w:tcPr/>
          <w:p>
            <w:pPr>
              <w:pStyle w:val="Compact"/>
            </w:pPr>
            <w:r>
              <w:t xml:space="preserve">High</w:t>
            </w:r>
          </w:p>
        </w:tc>
      </w:tr>
      <w:tr>
        <w:tc>
          <w:tcPr/>
          <w:p>
            <w:pPr>
              <w:pStyle w:val="Compact"/>
            </w:pPr>
            <w:r>
              <w:t xml:space="preserve">2</w:t>
            </w:r>
          </w:p>
        </w:tc>
        <w:tc>
          <w:tcPr/>
          <w:p>
            <w:pPr>
              <w:pStyle w:val="Compact"/>
            </w:pPr>
            <w:r>
              <w:rPr>
                <w:b/>
                <w:bCs/>
              </w:rPr>
              <w:t xml:space="preserve">TAF remainder-of-day path</w:t>
            </w:r>
            <w:r>
              <w:t xml:space="preserve">: latest active TAF/AMD, count and timing of pending FM/TEMPO/PROB groups, forecast wind shifts, cloud/ceiling trajectory, precip/thunder path, amended-vs-prior deltas</w:t>
            </w:r>
          </w:p>
        </w:tc>
        <w:tc>
          <w:tcPr/>
          <w:p>
            <w:pPr>
              <w:pStyle w:val="Compact"/>
              <w:jc w:val="right"/>
            </w:pPr>
            <w:r>
              <w:t xml:space="preserve">Very high</w:t>
            </w:r>
          </w:p>
        </w:tc>
        <w:tc>
          <w:tcPr/>
          <w:p>
            <w:pPr>
              <w:pStyle w:val="Compact"/>
            </w:pPr>
            <w:r>
              <w:t xml:space="preserve">Gives forward-looking regime and timing, especially before the daily max is realized</w:t>
            </w:r>
          </w:p>
        </w:tc>
        <w:tc>
          <w:tcPr/>
          <w:p>
            <w:pPr>
              <w:pStyle w:val="Compact"/>
            </w:pPr>
            <w:r>
              <w:t xml:space="preserve">High</w:t>
            </w:r>
          </w:p>
        </w:tc>
      </w:tr>
      <w:tr>
        <w:tc>
          <w:tcPr/>
          <w:p>
            <w:pPr>
              <w:pStyle w:val="Compact"/>
            </w:pPr>
            <w:r>
              <w:t xml:space="preserve">3</w:t>
            </w:r>
          </w:p>
        </w:tc>
        <w:tc>
          <w:tcPr/>
          <w:p>
            <w:pPr>
              <w:pStyle w:val="Compact"/>
            </w:pPr>
            <w:r>
              <w:rPr>
                <w:b/>
                <w:bCs/>
              </w:rPr>
              <w:t xml:space="preserve">SPECI jump features</w:t>
            </w:r>
            <w:r>
              <w:t xml:space="preserve">: recent SPECI count, temp/dewpoint/wind/pressure jumps vs prior obs, TS start/end remarks, precipitation timing changes, post-SPECI reversal flags</w:t>
            </w:r>
          </w:p>
        </w:tc>
        <w:tc>
          <w:tcPr/>
          <w:p>
            <w:pPr>
              <w:pStyle w:val="Compact"/>
              <w:jc w:val="right"/>
            </w:pPr>
            <w:r>
              <w:t xml:space="preserve">High</w:t>
            </w:r>
          </w:p>
        </w:tc>
        <w:tc>
          <w:tcPr/>
          <w:p>
            <w:pPr>
              <w:pStyle w:val="Compact"/>
            </w:pPr>
            <w:r>
              <w:t xml:space="preserve">Captures volatility and regime transitions that hourly METARs smear out</w:t>
            </w:r>
          </w:p>
        </w:tc>
        <w:tc>
          <w:tcPr/>
          <w:p>
            <w:pPr>
              <w:pStyle w:val="Compact"/>
            </w:pPr>
            <w:r>
              <w:t xml:space="preserve">High</w:t>
            </w:r>
          </w:p>
        </w:tc>
      </w:tr>
      <w:tr>
        <w:tc>
          <w:tcPr/>
          <w:p>
            <w:pPr>
              <w:pStyle w:val="Compact"/>
            </w:pPr>
            <w:r>
              <w:t xml:space="preserve">4</w:t>
            </w:r>
          </w:p>
        </w:tc>
        <w:tc>
          <w:tcPr/>
          <w:p>
            <w:pPr>
              <w:pStyle w:val="Compact"/>
            </w:pPr>
            <w:r>
              <w:rPr>
                <w:b/>
                <w:bCs/>
              </w:rPr>
              <w:t xml:space="preserve">Station/hour freshness</w:t>
            </w:r>
            <w:r>
              <w:t xml:space="preserve">: minutes since last METAR, since last SPECI, since TAF issuance, since last TAF amendment, expected-hourly-report lateness, missing-product flags</w:t>
            </w:r>
          </w:p>
        </w:tc>
        <w:tc>
          <w:tcPr/>
          <w:p>
            <w:pPr>
              <w:pStyle w:val="Compact"/>
              <w:jc w:val="right"/>
            </w:pPr>
            <w:r>
              <w:t xml:space="preserve">High</w:t>
            </w:r>
          </w:p>
        </w:tc>
        <w:tc>
          <w:tcPr/>
          <w:p>
            <w:pPr>
              <w:pStyle w:val="Compact"/>
            </w:pPr>
            <w:r>
              <w:t xml:space="preserve">Staleness itself predicts error bars and should directly widen uncertainty</w:t>
            </w:r>
          </w:p>
        </w:tc>
        <w:tc>
          <w:tcPr/>
          <w:p>
            <w:pPr>
              <w:pStyle w:val="Compact"/>
            </w:pPr>
            <w:r>
              <w:t xml:space="preserve">High</w:t>
            </w:r>
          </w:p>
        </w:tc>
      </w:tr>
      <w:tr>
        <w:tc>
          <w:tcPr/>
          <w:p>
            <w:pPr>
              <w:pStyle w:val="Compact"/>
            </w:pPr>
            <w:r>
              <w:t xml:space="preserve">5</w:t>
            </w:r>
          </w:p>
        </w:tc>
        <w:tc>
          <w:tcPr/>
          <w:p>
            <w:pPr>
              <w:pStyle w:val="Compact"/>
            </w:pPr>
            <w:r>
              <w:rPr>
                <w:b/>
                <w:bCs/>
              </w:rPr>
              <w:t xml:space="preserve">Frontal-passage tag</w:t>
            </w:r>
            <w:r>
              <w:t xml:space="preserve">: WSHFT, FROPA, rapid temp drop, dewpoint drop, pressure rise, gust burst</w:t>
            </w:r>
          </w:p>
        </w:tc>
        <w:tc>
          <w:tcPr/>
          <w:p>
            <w:pPr>
              <w:pStyle w:val="Compact"/>
              <w:jc w:val="right"/>
            </w:pPr>
            <w:r>
              <w:t xml:space="preserve">High on transition days</w:t>
            </w:r>
          </w:p>
        </w:tc>
        <w:tc>
          <w:tcPr/>
          <w:p>
            <w:pPr>
              <w:pStyle w:val="Compact"/>
            </w:pPr>
            <w:r>
              <w:t xml:space="preserve">Frontal passages change the temperature path abruptly and often dominate the day’s terminal max/min outcome</w:t>
            </w:r>
          </w:p>
        </w:tc>
        <w:tc>
          <w:tcPr/>
          <w:p>
            <w:pPr>
              <w:pStyle w:val="Compact"/>
            </w:pPr>
            <w:r>
              <w:t xml:space="preserve">Medium-high</w:t>
            </w:r>
          </w:p>
        </w:tc>
      </w:tr>
      <w:tr>
        <w:tc>
          <w:tcPr/>
          <w:p>
            <w:pPr>
              <w:pStyle w:val="Compact"/>
            </w:pPr>
            <w:r>
              <w:t xml:space="preserve">6</w:t>
            </w:r>
          </w:p>
        </w:tc>
        <w:tc>
          <w:tcPr/>
          <w:p>
            <w:pPr>
              <w:pStyle w:val="Compact"/>
            </w:pPr>
            <w:r>
              <w:rPr>
                <w:b/>
                <w:bCs/>
              </w:rPr>
              <w:t xml:space="preserve">Convective-risk tag</w:t>
            </w:r>
            <w:r>
              <w:t xml:space="preserve">: latest SPC outlook category/probability, TAF TS/CB/VRB-G group path, SPECI thunder/visibility/ceiling deterioration</w:t>
            </w:r>
          </w:p>
        </w:tc>
        <w:tc>
          <w:tcPr/>
          <w:p>
            <w:pPr>
              <w:pStyle w:val="Compact"/>
              <w:jc w:val="right"/>
            </w:pPr>
            <w:r>
              <w:t xml:space="preserve">High in warm season</w:t>
            </w:r>
          </w:p>
        </w:tc>
        <w:tc>
          <w:tcPr/>
          <w:p>
            <w:pPr>
              <w:pStyle w:val="Compact"/>
            </w:pPr>
            <w:r>
              <w:t xml:space="preserve">Strongly affects clouds, outflows, gust fronts, and whether a hot day stops warming early</w:t>
            </w:r>
          </w:p>
        </w:tc>
        <w:tc>
          <w:tcPr/>
          <w:p>
            <w:pPr>
              <w:pStyle w:val="Compact"/>
            </w:pPr>
            <w:r>
              <w:t xml:space="preserve">High</w:t>
            </w:r>
          </w:p>
        </w:tc>
      </w:tr>
      <w:tr>
        <w:tc>
          <w:tcPr/>
          <w:p>
            <w:pPr>
              <w:pStyle w:val="Compact"/>
            </w:pPr>
            <w:r>
              <w:t xml:space="preserve">7</w:t>
            </w:r>
          </w:p>
        </w:tc>
        <w:tc>
          <w:tcPr/>
          <w:p>
            <w:pPr>
              <w:pStyle w:val="Compact"/>
            </w:pPr>
            <w:r>
              <w:rPr>
                <w:b/>
                <w:bCs/>
              </w:rPr>
              <w:t xml:space="preserve">Marine-layer / coastal stratus tag</w:t>
            </w:r>
            <w:r>
              <w:t xml:space="preserve">: onshore sector winds, low stratus/fog/ceiling combinations, visibility depression, weak inland heating, slow morning burn-off</w:t>
            </w:r>
          </w:p>
        </w:tc>
        <w:tc>
          <w:tcPr/>
          <w:p>
            <w:pPr>
              <w:pStyle w:val="Compact"/>
              <w:jc w:val="right"/>
            </w:pPr>
            <w:r>
              <w:t xml:space="preserve">High at coastal stations</w:t>
            </w:r>
          </w:p>
        </w:tc>
        <w:tc>
          <w:tcPr/>
          <w:p>
            <w:pPr>
              <w:pStyle w:val="Compact"/>
            </w:pPr>
            <w:r>
              <w:t xml:space="preserve">Often decides whether the day underachieves by several degrees despite warm broader-scale conditions</w:t>
            </w:r>
          </w:p>
        </w:tc>
        <w:tc>
          <w:tcPr/>
          <w:p>
            <w:pPr>
              <w:pStyle w:val="Compact"/>
            </w:pPr>
            <w:r>
              <w:t xml:space="preserve">Low to medium</w:t>
            </w:r>
          </w:p>
        </w:tc>
      </w:tr>
      <w:tr>
        <w:tc>
          <w:tcPr/>
          <w:p>
            <w:pPr>
              <w:pStyle w:val="Compact"/>
            </w:pPr>
            <w:r>
              <w:t xml:space="preserve">8</w:t>
            </w:r>
          </w:p>
        </w:tc>
        <w:tc>
          <w:tcPr/>
          <w:p>
            <w:pPr>
              <w:pStyle w:val="Compact"/>
            </w:pPr>
            <w:r>
              <w:rPr>
                <w:b/>
                <w:bCs/>
              </w:rPr>
              <w:t xml:space="preserve">TAF disagreement features</w:t>
            </w:r>
            <w:r>
              <w:t xml:space="preserve">: changed threat timing, changed wind sector, cloud-base revisions, removed thunder, removed low cloud</w:t>
            </w:r>
          </w:p>
        </w:tc>
        <w:tc>
          <w:tcPr/>
          <w:p>
            <w:pPr>
              <w:pStyle w:val="Compact"/>
              <w:jc w:val="right"/>
            </w:pPr>
            <w:r>
              <w:t xml:space="preserve">Medium-high</w:t>
            </w:r>
          </w:p>
        </w:tc>
        <w:tc>
          <w:tcPr/>
          <w:p>
            <w:pPr>
              <w:pStyle w:val="Compact"/>
            </w:pPr>
            <w:r>
              <w:t xml:space="preserve">Forecast revisions are informative even when absolute TAF state is similar</w:t>
            </w:r>
          </w:p>
        </w:tc>
        <w:tc>
          <w:tcPr/>
          <w:p>
            <w:pPr>
              <w:pStyle w:val="Compact"/>
            </w:pPr>
            <w:r>
              <w:t xml:space="preserve">High</w:t>
            </w:r>
          </w:p>
        </w:tc>
      </w:tr>
      <w:tr>
        <w:tc>
          <w:tcPr/>
          <w:p>
            <w:pPr>
              <w:pStyle w:val="Compact"/>
            </w:pPr>
            <w:r>
              <w:t xml:space="preserve">9</w:t>
            </w:r>
          </w:p>
        </w:tc>
        <w:tc>
          <w:tcPr/>
          <w:p>
            <w:pPr>
              <w:pStyle w:val="Compact"/>
            </w:pPr>
            <w:r>
              <w:rPr>
                <w:b/>
                <w:bCs/>
              </w:rPr>
              <w:t xml:space="preserve">Sensor/augmentation health flags</w:t>
            </w:r>
            <w:r>
              <w:t xml:space="preserve">: maintenance indicator</w:t>
            </w:r>
            <w:r>
              <w:t xml:space="preserve"> </w:t>
            </w:r>
            <w:r>
              <w:rPr>
                <w:rStyle w:val="VerbatimChar"/>
              </w:rPr>
              <w:t xml:space="preserve">$</w:t>
            </w:r>
            <w:r>
              <w:t xml:space="preserve">,</w:t>
            </w:r>
            <w:r>
              <w:t xml:space="preserve"> </w:t>
            </w:r>
            <w:r>
              <w:rPr>
                <w:rStyle w:val="VerbatimChar"/>
              </w:rPr>
              <w:t xml:space="preserve">RVRNO</w:t>
            </w:r>
            <w:r>
              <w:t xml:space="preserve">,</w:t>
            </w:r>
            <w:r>
              <w:t xml:space="preserve"> </w:t>
            </w:r>
            <w:r>
              <w:rPr>
                <w:rStyle w:val="VerbatimChar"/>
              </w:rPr>
              <w:t xml:space="preserve">PWINO</w:t>
            </w:r>
            <w:r>
              <w:t xml:space="preserve">,</w:t>
            </w:r>
            <w:r>
              <w:t xml:space="preserve"> </w:t>
            </w:r>
            <w:r>
              <w:rPr>
                <w:rStyle w:val="VerbatimChar"/>
              </w:rPr>
              <w:t xml:space="preserve">PNO</w:t>
            </w:r>
            <w:r>
              <w:t xml:space="preserve">,</w:t>
            </w:r>
            <w:r>
              <w:t xml:space="preserve"> </w:t>
            </w:r>
            <w:r>
              <w:rPr>
                <w:rStyle w:val="VerbatimChar"/>
              </w:rPr>
              <w:t xml:space="preserve">FZRANO</w:t>
            </w:r>
            <w:r>
              <w:t xml:space="preserve">,</w:t>
            </w:r>
            <w:r>
              <w:t xml:space="preserve"> </w:t>
            </w:r>
            <w:r>
              <w:rPr>
                <w:rStyle w:val="VerbatimChar"/>
              </w:rPr>
              <w:t xml:space="preserve">TSNO</w:t>
            </w:r>
            <w:r>
              <w:t xml:space="preserve">, missing fields, unusual manual augmentation patterns</w:t>
            </w:r>
          </w:p>
        </w:tc>
        <w:tc>
          <w:tcPr/>
          <w:p>
            <w:pPr>
              <w:pStyle w:val="Compact"/>
              <w:jc w:val="right"/>
            </w:pPr>
            <w:r>
              <w:t xml:space="preserve">Medium</w:t>
            </w:r>
          </w:p>
        </w:tc>
        <w:tc>
          <w:tcPr/>
          <w:p>
            <w:pPr>
              <w:pStyle w:val="Compact"/>
            </w:pPr>
            <w:r>
              <w:t xml:space="preserve">Degrades trust in raw observations and should reduce trade aggressiveness</w:t>
            </w:r>
          </w:p>
        </w:tc>
        <w:tc>
          <w:tcPr/>
          <w:p>
            <w:pPr>
              <w:pStyle w:val="Compact"/>
            </w:pPr>
            <w:r>
              <w:t xml:space="preserve">Medium</w:t>
            </w:r>
          </w:p>
        </w:tc>
      </w:tr>
      <w:tr>
        <w:tc>
          <w:tcPr/>
          <w:p>
            <w:pPr>
              <w:pStyle w:val="Compact"/>
            </w:pPr>
            <w:r>
              <w:t xml:space="preserve">10</w:t>
            </w:r>
          </w:p>
        </w:tc>
        <w:tc>
          <w:tcPr/>
          <w:p>
            <w:pPr>
              <w:pStyle w:val="Compact"/>
            </w:pPr>
            <w:r>
              <w:rPr>
                <w:b/>
                <w:bCs/>
              </w:rPr>
              <w:t xml:space="preserve">Station-history / exposure metadata</w:t>
            </w:r>
            <w:r>
              <w:t xml:space="preserve">: elevation, water proximity, site moves, instrument-era changes, airport-vs-urban location</w:t>
            </w:r>
          </w:p>
        </w:tc>
        <w:tc>
          <w:tcPr/>
          <w:p>
            <w:pPr>
              <w:pStyle w:val="Compact"/>
              <w:jc w:val="right"/>
            </w:pPr>
            <w:r>
              <w:t xml:space="preserve">Medium</w:t>
            </w:r>
          </w:p>
        </w:tc>
        <w:tc>
          <w:tcPr/>
          <w:p>
            <w:pPr>
              <w:pStyle w:val="Compact"/>
            </w:pPr>
            <w:r>
              <w:t xml:space="preserve">Supports transfer learning and era segmentation</w:t>
            </w:r>
          </w:p>
        </w:tc>
        <w:tc>
          <w:tcPr/>
          <w:p>
            <w:pPr>
              <w:pStyle w:val="Compact"/>
            </w:pPr>
            <w:r>
              <w:t xml:space="preserve">Low to medium</w:t>
            </w:r>
          </w:p>
        </w:tc>
      </w:tr>
    </w:tbl>
    <w:p>
      <w:pPr>
        <w:pStyle w:val="BodyText"/>
      </w:pPr>
      <w:r>
        <w:t xml:space="preserve">Two implementation nuances matter a lot here. First, U.S. domestic TAFs are useful</w:t>
      </w:r>
      <w:r>
        <w:t xml:space="preserve"> </w:t>
      </w:r>
      <w:r>
        <w:rPr>
          <w:b/>
          <w:bCs/>
        </w:rPr>
        <w:t xml:space="preserve">even though they do not directly forecast temperature</w:t>
      </w:r>
      <w:r>
        <w:t xml:space="preserve">. They forecast the latent path that drives temperature realization: wind sector, cloud cover, visibility, precipitation, convection, low-level wind shear, and the timing of regime changes. In the U.S. format, the features you care about most are FM, TEMPO, and PROB30 timing and content, plus whether an amended TAF superseded a prior forecast.</w:t>
      </w:r>
      <w:r>
        <w:t xml:space="preserve"> </w:t>
      </w:r>
      <w:hyperlink r:id="rId31">
        <w:r>
          <w:rPr>
            <w:rStyle w:val="Hyperlink"/>
          </w:rPr>
          <w:t xml:space="preserve">[14]</w:t>
        </w:r>
      </w:hyperlink>
    </w:p>
    <w:p>
      <w:pPr>
        <w:pStyle w:val="BodyText"/>
      </w:pPr>
      <w:r>
        <w:t xml:space="preserve">Second, features do</w:t>
      </w:r>
      <w:r>
        <w:t xml:space="preserve"> </w:t>
      </w:r>
      <w:r>
        <w:rPr>
          <w:b/>
          <w:bCs/>
        </w:rPr>
        <w:t xml:space="preserve">not</w:t>
      </w:r>
      <w:r>
        <w:t xml:space="preserve"> </w:t>
      </w:r>
      <w:r>
        <w:t xml:space="preserve">transfer equally well across stations. The best-transfer features are those tied to universal product mechanics and generic physics: freshness, realized intraday state, SPECI arrival density, frontal signatures, convective signatures, and TAF path structure. The least-transfer features are tied to exposure and geography: marine-layer thresholds, sea-breeze wind sectors, urban retention, elevation, runway configuration, local water influence, and station-era changes. That is an inference from NCEI station-history guidance, the NWS note that forecast zones differ because of elevation and proximity to water, and the well-documented coastal marine-layer physics. The practical implication is a</w:t>
      </w:r>
      <w:r>
        <w:t xml:space="preserve"> </w:t>
      </w:r>
      <w:r>
        <w:rPr>
          <w:b/>
          <w:bCs/>
        </w:rPr>
        <w:t xml:space="preserve">global model with station-level random effects or embeddings</w:t>
      </w:r>
      <w:r>
        <w:t xml:space="preserve">, not a pooled model with no station identity and not a fully separate model per station unless you already have very deep history.</w:t>
      </w:r>
      <w:r>
        <w:t xml:space="preserve"> </w:t>
      </w:r>
      <w:hyperlink r:id="rId27">
        <w:r>
          <w:rPr>
            <w:rStyle w:val="Hyperlink"/>
          </w:rPr>
          <w:t xml:space="preserve">[15]</w:t>
        </w:r>
      </w:hyperlink>
    </w:p>
    <w:p>
      <w:pPr>
        <w:pStyle w:val="BodyText"/>
      </w:pPr>
      <w:r>
        <w:t xml:space="preserve">For regime tags, I would implement a three-layer system. Layer one is hard product-based tagging:</w:t>
      </w:r>
      <w:r>
        <w:t xml:space="preserve"> </w:t>
      </w:r>
      <w:r>
        <w:rPr>
          <w:rStyle w:val="VerbatimChar"/>
        </w:rPr>
        <w:t xml:space="preserve">FROPA</w:t>
      </w:r>
      <w:r>
        <w:t xml:space="preserve">,</w:t>
      </w:r>
      <w:r>
        <w:t xml:space="preserve"> </w:t>
      </w:r>
      <w:r>
        <w:rPr>
          <w:rStyle w:val="VerbatimChar"/>
        </w:rPr>
        <w:t xml:space="preserve">WSHFT</w:t>
      </w:r>
      <w:r>
        <w:t xml:space="preserve">, thunder, CB, low visibility, low ceiling, and active forecast change groups. Layer two is synoptic support from the Storm Prediction Center</w:t>
      </w:r>
      <w:hyperlink r:id="rId32">
        <w:r>
          <w:rPr>
            <w:rStyle w:val="Hyperlink"/>
          </w:rPr>
          <w:t xml:space="preserve">[16]</w:t>
        </w:r>
      </w:hyperlink>
      <w:r>
        <w:t xml:space="preserve"> </w:t>
      </w:r>
      <w:r>
        <w:t xml:space="preserve">and the Weather Prediction Center</w:t>
      </w:r>
      <w:hyperlink r:id="rId27">
        <w:r>
          <w:rPr>
            <w:rStyle w:val="Hyperlink"/>
          </w:rPr>
          <w:t xml:space="preserve">[17]</w:t>
        </w:r>
      </w:hyperlink>
      <w:r>
        <w:t xml:space="preserve">: convective outlook category/probability and surface front proximity/timing. Layer three is station-specific coastal logic for marine layers and sea-breeze fronts.</w:t>
      </w:r>
      <w:r>
        <w:t xml:space="preserve"> </w:t>
      </w:r>
      <w:hyperlink r:id="rId23">
        <w:r>
          <w:rPr>
            <w:rStyle w:val="Hyperlink"/>
          </w:rPr>
          <w:t xml:space="preserve">[18]</w:t>
        </w:r>
      </w:hyperlink>
    </w:p>
    <w:bookmarkEnd w:id="33"/>
    <w:bookmarkStart w:id="36" w:name="Xaf951368477e8d5bd9dbf275aa278849b4ce746"/>
    <w:p>
      <w:pPr>
        <w:pStyle w:val="Heading2"/>
      </w:pPr>
      <w:r>
        <w:t xml:space="preserve">Modeling, calibration, validation, and ablation</w:t>
      </w:r>
    </w:p>
    <w:p>
      <w:pPr>
        <w:pStyle w:val="FirstParagraph"/>
      </w:pPr>
      <w:r>
        <w:t xml:space="preserve">The core target should be the</w:t>
      </w:r>
      <w:r>
        <w:t xml:space="preserve"> </w:t>
      </w:r>
      <w:r>
        <w:rPr>
          <w:b/>
          <w:bCs/>
        </w:rPr>
        <w:t xml:space="preserve">settled integer temperature</w:t>
      </w:r>
      <w:r>
        <w:t xml:space="preserve">, not “yes/no at strike K.” From that, derive a full discrete CDF over plausible settled temperatures. Every contract side then becomes a simple transformation of that CDF:</w:t>
      </w:r>
      <w:r>
        <w:t xml:space="preserve"> </w:t>
      </w:r>
      <w:r>
        <w:rPr>
          <w:rStyle w:val="VerbatimChar"/>
        </w:rPr>
        <w:t xml:space="preserve">P(high &gt;= K)</w:t>
      </w:r>
      <w:r>
        <w:t xml:space="preserve">,</w:t>
      </w:r>
      <w:r>
        <w:t xml:space="preserve"> </w:t>
      </w:r>
      <w:r>
        <w:rPr>
          <w:rStyle w:val="VerbatimChar"/>
        </w:rPr>
        <w:t xml:space="preserve">P(high &lt;= K)</w:t>
      </w:r>
      <w:r>
        <w:t xml:space="preserve">, or</w:t>
      </w:r>
      <w:r>
        <w:t xml:space="preserve"> </w:t>
      </w:r>
      <w:r>
        <w:rPr>
          <w:rStyle w:val="VerbatimChar"/>
        </w:rPr>
        <w:t xml:space="preserve">P(a &lt;= high &lt;= b)</w:t>
      </w:r>
      <w:r>
        <w:t xml:space="preserve">. This single-target design guarantees coherence across strikes and lets you rank candidate trades without double-counting the same weather edge. It also makes the calibration problem much more manageable because you are calibrating one settlement distribution rather than a stack of independently drifting binary models.</w:t>
      </w:r>
    </w:p>
    <w:p>
      <w:pPr>
        <w:pStyle w:val="BodyText"/>
      </w:pPr>
      <w:r>
        <w:t xml:space="preserve">A good baseline stack is: a strong nonlinear tabular model for the conditional center of the settled temperature, a residual/distribution layer to convert that center into a full settlement distribution, and then a</w:t>
      </w:r>
      <w:r>
        <w:t xml:space="preserve"> </w:t>
      </w:r>
      <w:r>
        <w:rPr>
          <w:b/>
          <w:bCs/>
        </w:rPr>
        <w:t xml:space="preserve">post-hoc calibration layer</w:t>
      </w:r>
      <w:r>
        <w:t xml:space="preserve"> </w:t>
      </w:r>
      <w:r>
        <w:t xml:space="preserve">fit on a strictly later calibration split. Calibration literature is clear that raw ML scores often are not well calibrated, that reliability diagrams are the right diagnostic, and that Platt scaling and isotonic regression are practical corrections when used on an independent calibration set rather than the training set itself.</w:t>
      </w:r>
      <w:r>
        <w:t xml:space="preserve"> </w:t>
      </w:r>
      <w:hyperlink r:id="rId32">
        <w:r>
          <w:rPr>
            <w:rStyle w:val="Hyperlink"/>
          </w:rPr>
          <w:t xml:space="preserve">[19]</w:t>
        </w:r>
      </w:hyperlink>
    </w:p>
    <w:p>
      <w:pPr>
        <w:pStyle w:val="BodyText"/>
      </w:pPr>
      <w:r>
        <w:t xml:space="preserve">The uncertainty layer should be separate from plain probability calibration. For the settled temperature itself, use sequential uncertainty quantification such as bootstrap-based or conformalized prediction intervals designed for dynamic time series, then map those intervals into strike-side probability bands. A practical output object for every strike side is therefore:</w:t>
      </w:r>
      <w:r>
        <w:t xml:space="preserve"> </w:t>
      </w:r>
      <w:r>
        <w:rPr>
          <w:rStyle w:val="VerbatimChar"/>
        </w:rPr>
        <w:t xml:space="preserve">p_hat</w:t>
      </w:r>
      <w:r>
        <w:t xml:space="preserve">,</w:t>
      </w:r>
      <w:r>
        <w:t xml:space="preserve"> </w:t>
      </w:r>
      <w:r>
        <w:rPr>
          <w:rStyle w:val="VerbatimChar"/>
        </w:rPr>
        <w:t xml:space="preserve">p_low</w:t>
      </w:r>
      <w:r>
        <w:t xml:space="preserve">,</w:t>
      </w:r>
      <w:r>
        <w:t xml:space="preserve"> </w:t>
      </w:r>
      <w:r>
        <w:rPr>
          <w:rStyle w:val="VerbatimChar"/>
        </w:rPr>
        <w:t xml:space="preserve">p_high</w:t>
      </w:r>
      <w:r>
        <w:t xml:space="preserve">, and</w:t>
      </w:r>
      <w:r>
        <w:t xml:space="preserve"> </w:t>
      </w:r>
      <w:r>
        <w:rPr>
          <w:rStyle w:val="VerbatimChar"/>
        </w:rPr>
        <w:t xml:space="preserve">confidence_score</w:t>
      </w:r>
      <w:r>
        <w:t xml:space="preserve">, where the width of the interval is allowed to widen under stale data, severe regime instability, or source-quality issues. Dynamic conformal work for time series is especially relevant here because classic exchangeability assumptions do not hold cleanly in weather sequences.</w:t>
      </w:r>
      <w:r>
        <w:t xml:space="preserve"> </w:t>
      </w:r>
      <w:hyperlink r:id="rId34">
        <w:r>
          <w:rPr>
            <w:rStyle w:val="Hyperlink"/>
          </w:rPr>
          <w:t xml:space="preserve">[20]</w:t>
        </w:r>
      </w:hyperlink>
    </w:p>
    <w:p>
      <w:pPr>
        <w:pStyle w:val="BodyText"/>
      </w:pPr>
      <w:r>
        <w:t xml:space="preserve">Validation should be</w:t>
      </w:r>
      <w:r>
        <w:t xml:space="preserve"> </w:t>
      </w:r>
      <w:r>
        <w:rPr>
          <w:b/>
          <w:bCs/>
        </w:rPr>
        <w:t xml:space="preserve">strictly time-ordered</w:t>
      </w:r>
      <w:r>
        <w:t xml:space="preserve">. Use a walk-forward or repeated out-of-sample design for model selection, then reserve a final fully out-of-time block as the promotion holdout. Time-series evaluation literature shows that in non-stationary settings, methods that preserve chronology generally produce more trustworthy performance estimates than naive random cross-validation. For metrics, use Brier score and log loss for each strike side, reliability curves and expected calibration error by station and hour, plus hit rate and realized edge by station, hour, and regime bucket. Proper scoring-rule literature supports Brier and log loss as valid probability-forecast objectives and evaluation metrics.</w:t>
      </w:r>
      <w:r>
        <w:t xml:space="preserve"> </w:t>
      </w:r>
      <w:hyperlink r:id="rId35">
        <w:r>
          <w:rPr>
            <w:rStyle w:val="Hyperlink"/>
          </w:rPr>
          <w:t xml:space="preserve">[21]</w:t>
        </w:r>
      </w:hyperlink>
    </w:p>
    <w:p>
      <w:pPr>
        <w:pStyle w:val="BodyText"/>
      </w:pPr>
      <w:r>
        <w:t xml:space="preserve">The right ablation program is not just “does the score improve overall?” It is “where does the source improve the score, and does that improvement survive out-of-time testing?” The table below gives</w:t>
      </w:r>
      <w:r>
        <w:t xml:space="preserve"> </w:t>
      </w:r>
      <w:r>
        <w:rPr>
          <w:b/>
          <w:bCs/>
        </w:rPr>
        <w:t xml:space="preserve">promotion thresholds</w:t>
      </w:r>
      <w:r>
        <w:t xml:space="preserve"> </w:t>
      </w:r>
      <w:r>
        <w:t xml:space="preserve">I would use as the research plan’s quantitative gates.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Ablation stage</w:t>
            </w:r>
          </w:p>
        </w:tc>
        <w:tc>
          <w:tcPr/>
          <w:p>
            <w:pPr>
              <w:pStyle w:val="Compact"/>
            </w:pPr>
            <w:r>
              <w:t xml:space="preserve">What is added</w:t>
            </w:r>
          </w:p>
        </w:tc>
        <w:tc>
          <w:tcPr/>
          <w:p>
            <w:pPr>
              <w:pStyle w:val="Compact"/>
            </w:pPr>
            <w:r>
              <w:t xml:space="preserve">Planning target for marginal edge</w:t>
            </w:r>
          </w:p>
        </w:tc>
        <w:tc>
          <w:tcPr/>
          <w:p>
            <w:pPr>
              <w:pStyle w:val="Compact"/>
            </w:pPr>
            <w:r>
              <w:t xml:space="preserve">Promotion gate</w:t>
            </w:r>
          </w:p>
        </w:tc>
      </w:tr>
      <w:tr>
        <w:tc>
          <w:tcPr/>
          <w:p>
            <w:pPr>
              <w:pStyle w:val="Compact"/>
            </w:pPr>
            <w:r>
              <w:t xml:space="preserve">METAR only</w:t>
            </w:r>
          </w:p>
        </w:tc>
        <w:tc>
          <w:tcPr/>
          <w:p>
            <w:pPr>
              <w:pStyle w:val="Compact"/>
            </w:pPr>
            <w:r>
              <w:t xml:space="preserve">Hourly observations, realized intraday state, freshness</w:t>
            </w:r>
          </w:p>
        </w:tc>
        <w:tc>
          <w:tcPr/>
          <w:p>
            <w:pPr>
              <w:pStyle w:val="Compact"/>
            </w:pPr>
            <w:r>
              <w:t xml:space="preserve">Baseline</w:t>
            </w:r>
          </w:p>
        </w:tc>
        <w:tc>
          <w:tcPr/>
          <w:p>
            <w:pPr>
              <w:pStyle w:val="Compact"/>
            </w:pPr>
            <w:r>
              <w:t xml:space="preserve">Must produce coherent strike probabilities, pass leakage tests, and establish station/hour baseline Brier and log loss</w:t>
            </w:r>
          </w:p>
        </w:tc>
      </w:tr>
      <w:tr>
        <w:tc>
          <w:tcPr/>
          <w:p>
            <w:pPr>
              <w:pStyle w:val="Compact"/>
            </w:pPr>
            <w:r>
              <w:t xml:space="preserve">METAR + SPECI</w:t>
            </w:r>
          </w:p>
        </w:tc>
        <w:tc>
          <w:tcPr/>
          <w:p>
            <w:pPr>
              <w:pStyle w:val="Compact"/>
            </w:pPr>
            <w:r>
              <w:t xml:space="preserve">Jump features, event density, fast transitions</w:t>
            </w:r>
          </w:p>
        </w:tc>
        <w:tc>
          <w:tcPr/>
          <w:p>
            <w:pPr>
              <w:pStyle w:val="Compact"/>
            </w:pPr>
            <w:r>
              <w:t xml:space="preserve">Target</w:t>
            </w:r>
            <w:r>
              <w:t xml:space="preserve"> </w:t>
            </w:r>
            <w:r>
              <w:rPr>
                <w:b/>
                <w:bCs/>
              </w:rPr>
              <w:t xml:space="preserve">2–5% relative Brier improvement overall</w:t>
            </w:r>
            <w:r>
              <w:t xml:space="preserve">,</w:t>
            </w:r>
            <w:r>
              <w:t xml:space="preserve"> </w:t>
            </w:r>
            <w:r>
              <w:rPr>
                <w:b/>
                <w:bCs/>
              </w:rPr>
              <w:t xml:space="preserve">5%+ on frontal/convective buckets</w:t>
            </w:r>
          </w:p>
        </w:tc>
        <w:tc>
          <w:tcPr/>
          <w:p>
            <w:pPr>
              <w:pStyle w:val="Compact"/>
            </w:pPr>
            <w:r>
              <w:t xml:space="preserve">Promote only if gains survive out-of-time holdout and reliability does not worsen</w:t>
            </w:r>
          </w:p>
        </w:tc>
      </w:tr>
      <w:tr>
        <w:tc>
          <w:tcPr/>
          <w:p>
            <w:pPr>
              <w:pStyle w:val="Compact"/>
            </w:pPr>
            <w:r>
              <w:t xml:space="preserve">METAR + SPECI + TAF</w:t>
            </w:r>
          </w:p>
        </w:tc>
        <w:tc>
          <w:tcPr/>
          <w:p>
            <w:pPr>
              <w:pStyle w:val="Compact"/>
            </w:pPr>
            <w:r>
              <w:t xml:space="preserve">Forward-looking path and amendment deltas</w:t>
            </w:r>
          </w:p>
        </w:tc>
        <w:tc>
          <w:tcPr/>
          <w:p>
            <w:pPr>
              <w:pStyle w:val="Compact"/>
            </w:pPr>
            <w:r>
              <w:t xml:space="preserve">Target additional</w:t>
            </w:r>
            <w:r>
              <w:t xml:space="preserve"> </w:t>
            </w:r>
            <w:r>
              <w:rPr>
                <w:b/>
                <w:bCs/>
              </w:rPr>
              <w:t xml:space="preserve">3–7% relative Brier improvement overall</w:t>
            </w:r>
            <w:r>
              <w:t xml:space="preserve">, largest in morning and pre-transition windows</w:t>
            </w:r>
          </w:p>
        </w:tc>
        <w:tc>
          <w:tcPr/>
          <w:p>
            <w:pPr>
              <w:pStyle w:val="Compact"/>
            </w:pPr>
            <w:r>
              <w:t xml:space="preserve">Promote only if pre-noon and pre-max decision windows improve materially in both Brier and log loss</w:t>
            </w:r>
          </w:p>
        </w:tc>
      </w:tr>
      <w:tr>
        <w:tc>
          <w:tcPr/>
          <w:p>
            <w:pPr>
              <w:pStyle w:val="Compact"/>
            </w:pPr>
            <w:r>
              <w:t xml:space="preserve">Add settlement alignment</w:t>
            </w:r>
          </w:p>
        </w:tc>
        <w:tc>
          <w:tcPr/>
          <w:p>
            <w:pPr>
              <w:pStyle w:val="Compact"/>
            </w:pPr>
            <w:r>
              <w:t xml:space="preserve">Exact LST day handling, overnight final-CLI labels, parity QA</w:t>
            </w:r>
          </w:p>
        </w:tc>
        <w:tc>
          <w:tcPr/>
          <w:p>
            <w:pPr>
              <w:pStyle w:val="Compact"/>
            </w:pPr>
            <w:r>
              <w:t xml:space="preserve">Not mainly “alpha”; mainly</w:t>
            </w:r>
            <w:r>
              <w:t xml:space="preserve"> </w:t>
            </w:r>
            <w:r>
              <w:rPr>
                <w:b/>
                <w:bCs/>
              </w:rPr>
              <w:t xml:space="preserve">label-noise removal</w:t>
            </w:r>
            <w:r>
              <w:t xml:space="preserve"> </w:t>
            </w:r>
            <w:r>
              <w:t xml:space="preserve">and false-edge reduction</w:t>
            </w:r>
          </w:p>
        </w:tc>
        <w:tc>
          <w:tcPr/>
          <w:p>
            <w:pPr>
              <w:pStyle w:val="Compact"/>
            </w:pPr>
            <w:r>
              <w:t xml:space="preserve">Mandatory if it reduces parity mismatches to near zero and removes DST/day-boundary errors</w:t>
            </w:r>
          </w:p>
        </w:tc>
      </w:tr>
      <w:tr>
        <w:tc>
          <w:tcPr/>
          <w:p>
            <w:pPr>
              <w:pStyle w:val="Compact"/>
            </w:pPr>
            <w:r>
              <w:t xml:space="preserve">Add regime tags</w:t>
            </w:r>
          </w:p>
        </w:tc>
        <w:tc>
          <w:tcPr/>
          <w:p>
            <w:pPr>
              <w:pStyle w:val="Compact"/>
            </w:pPr>
            <w:r>
              <w:t xml:space="preserve">Frontal, convective, marine-layer, sea-breeze logic</w:t>
            </w:r>
          </w:p>
        </w:tc>
        <w:tc>
          <w:tcPr/>
          <w:p>
            <w:pPr>
              <w:pStyle w:val="Compact"/>
            </w:pPr>
            <w:r>
              <w:t xml:space="preserve">Target improved calibration and confidence ranking more than raw mean score</w:t>
            </w:r>
          </w:p>
        </w:tc>
        <w:tc>
          <w:tcPr/>
          <w:p>
            <w:pPr>
              <w:pStyle w:val="Compact"/>
            </w:pPr>
            <w:r>
              <w:t xml:space="preserve">Promote only if confidence deciles become more monotone and regime-specific reliability improves</w:t>
            </w:r>
          </w:p>
        </w:tc>
      </w:tr>
    </w:tbl>
    <w:p>
      <w:pPr>
        <w:pStyle w:val="BodyText"/>
      </w:pPr>
      <w:r>
        <w:t xml:space="preserve">The key point is that</w:t>
      </w:r>
      <w:r>
        <w:t xml:space="preserve"> </w:t>
      </w:r>
      <w:r>
        <w:rPr>
          <w:b/>
          <w:bCs/>
        </w:rPr>
        <w:t xml:space="preserve">settlement alignment is not optional</w:t>
      </w:r>
      <w:r>
        <w:t xml:space="preserve">, even if it only modestly changes average backtest scores. A model that looks slightly better on misaligned labels is not tradable; it is just overfit to the wrong day definition.</w:t>
      </w:r>
      <w:r>
        <w:t xml:space="preserve"> </w:t>
      </w:r>
      <w:hyperlink r:id="rId21">
        <w:r>
          <w:rPr>
            <w:rStyle w:val="Hyperlink"/>
          </w:rPr>
          <w:t xml:space="preserve">[22]</w:t>
        </w:r>
      </w:hyperlink>
    </w:p>
    <w:bookmarkEnd w:id="36"/>
    <w:bookmarkStart w:id="37" w:name="real-time-feature-pipeline-pseudocode"/>
    <w:p>
      <w:pPr>
        <w:pStyle w:val="Heading2"/>
      </w:pPr>
      <w:r>
        <w:t xml:space="preserve">Real-time feature pipeline pseudocode</w:t>
      </w:r>
    </w:p>
    <w:p>
      <w:pPr>
        <w:pStyle w:val="FirstParagraph"/>
      </w:pPr>
      <w:r>
        <w:t xml:space="preserve">Because the live official endpoints have shallow history, the real-time system should archive every raw text product as it arrives, then featureize only the subset whose issue time is less than or equal to the model decision time. That is the simplest way to enforce causal availability and to make post-trade replay exact.</w:t>
      </w:r>
      <w:r>
        <w:t xml:space="preserve"> </w:t>
      </w:r>
      <w:hyperlink r:id="rId24">
        <w:r>
          <w:rPr>
            <w:rStyle w:val="Hyperlink"/>
          </w:rPr>
          <w:t xml:space="preserve">[5]</w:t>
        </w:r>
      </w:hyperlink>
    </w:p>
    <w:p>
      <w:pPr>
        <w:pStyle w:val="SourceCode"/>
      </w:pPr>
      <w:r>
        <w:rPr>
          <w:rStyle w:val="VerbatimChar"/>
        </w:rPr>
        <w:t xml:space="preserve">def predict_market_family(now_utc, open_markets, station_registry, models):</w:t>
      </w:r>
      <w:r>
        <w:br/>
      </w:r>
      <w:r>
        <w:rPr>
          <w:rStyle w:val="VerbatimChar"/>
        </w:rPr>
        <w:t xml:space="preserve">    predictions = []</w:t>
      </w:r>
      <w:r>
        <w:br/>
      </w:r>
      <w:r>
        <w:br/>
      </w:r>
      <w:r>
        <w:rPr>
          <w:rStyle w:val="VerbatimChar"/>
        </w:rPr>
        <w:t xml:space="preserve">    for market in open_markets:</w:t>
      </w:r>
      <w:r>
        <w:br/>
      </w:r>
      <w:r>
        <w:rPr>
          <w:rStyle w:val="VerbatimChar"/>
        </w:rPr>
        <w:t xml:space="preserve">        station = station_registry[market.market_source_id]</w:t>
      </w:r>
      <w:r>
        <w:br/>
      </w:r>
      <w:r>
        <w:rPr>
          <w:rStyle w:val="VerbatimChar"/>
        </w:rPr>
        <w:t xml:space="preserve">        settlement_day = to_local_standard_date(now_utc, station.std_utc_offset_hours)</w:t>
      </w:r>
      <w:r>
        <w:br/>
      </w:r>
      <w:r>
        <w:br/>
      </w:r>
      <w:r>
        <w:rPr>
          <w:rStyle w:val="VerbatimChar"/>
        </w:rPr>
        <w:t xml:space="preserve">        # 1) Pull or read live products already archived</w:t>
      </w:r>
      <w:r>
        <w:br/>
      </w:r>
      <w:r>
        <w:rPr>
          <w:rStyle w:val="VerbatimChar"/>
        </w:rPr>
        <w:t xml:space="preserve">        metar_stream = archive.read_products(</w:t>
      </w:r>
      <w:r>
        <w:br/>
      </w:r>
      <w:r>
        <w:rPr>
          <w:rStyle w:val="VerbatimChar"/>
        </w:rPr>
        <w:t xml:space="preserve">            product_type="METAR_OR_SPECI",</w:t>
      </w:r>
      <w:r>
        <w:br/>
      </w:r>
      <w:r>
        <w:rPr>
          <w:rStyle w:val="VerbatimChar"/>
        </w:rPr>
        <w:t xml:space="preserve">            station_id=station.icao,</w:t>
      </w:r>
      <w:r>
        <w:br/>
      </w:r>
      <w:r>
        <w:rPr>
          <w:rStyle w:val="VerbatimChar"/>
        </w:rPr>
        <w:t xml:space="preserve">            issued_at_lte=now_utc,</w:t>
      </w:r>
      <w:r>
        <w:br/>
      </w:r>
      <w:r>
        <w:rPr>
          <w:rStyle w:val="VerbatimChar"/>
        </w:rPr>
        <w:t xml:space="preserve">            settlement_day=settlement_day,</w:t>
      </w:r>
      <w:r>
        <w:br/>
      </w:r>
      <w:r>
        <w:rPr>
          <w:rStyle w:val="VerbatimChar"/>
        </w:rPr>
        <w:t xml:space="preserve">        )</w:t>
      </w:r>
      <w:r>
        <w:br/>
      </w:r>
      <w:r>
        <w:rPr>
          <w:rStyle w:val="VerbatimChar"/>
        </w:rPr>
        <w:t xml:space="preserve">        taf_stream = archive.read_products(</w:t>
      </w:r>
      <w:r>
        <w:br/>
      </w:r>
      <w:r>
        <w:rPr>
          <w:rStyle w:val="VerbatimChar"/>
        </w:rPr>
        <w:t xml:space="preserve">            product_type="TAF",</w:t>
      </w:r>
      <w:r>
        <w:br/>
      </w:r>
      <w:r>
        <w:rPr>
          <w:rStyle w:val="VerbatimChar"/>
        </w:rPr>
        <w:t xml:space="preserve">            station_id=station.icao,</w:t>
      </w:r>
      <w:r>
        <w:br/>
      </w:r>
      <w:r>
        <w:rPr>
          <w:rStyle w:val="VerbatimChar"/>
        </w:rPr>
        <w:t xml:space="preserve">            issued_at_lte=now_utc,</w:t>
      </w:r>
      <w:r>
        <w:br/>
      </w:r>
      <w:r>
        <w:rPr>
          <w:rStyle w:val="VerbatimChar"/>
        </w:rPr>
        <w:t xml:space="preserve">        )</w:t>
      </w:r>
      <w:r>
        <w:br/>
      </w:r>
      <w:r>
        <w:rPr>
          <w:rStyle w:val="VerbatimChar"/>
        </w:rPr>
        <w:t xml:space="preserve">        climate_stream = archive.read_products(</w:t>
      </w:r>
      <w:r>
        <w:br/>
      </w:r>
      <w:r>
        <w:rPr>
          <w:rStyle w:val="VerbatimChar"/>
        </w:rPr>
        <w:t xml:space="preserve">            product_type="CLI",</w:t>
      </w:r>
      <w:r>
        <w:br/>
      </w:r>
      <w:r>
        <w:rPr>
          <w:rStyle w:val="VerbatimChar"/>
        </w:rPr>
        <w:t xml:space="preserve">            climate_id=station.cli_id,</w:t>
      </w:r>
      <w:r>
        <w:br/>
      </w:r>
      <w:r>
        <w:rPr>
          <w:rStyle w:val="VerbatimChar"/>
        </w:rPr>
        <w:t xml:space="preserve">            issued_at_lte=now_utc,</w:t>
      </w:r>
      <w:r>
        <w:br/>
      </w:r>
      <w:r>
        <w:rPr>
          <w:rStyle w:val="VerbatimChar"/>
        </w:rPr>
        <w:t xml:space="preserve">        )</w:t>
      </w:r>
      <w:r>
        <w:br/>
      </w:r>
      <w:r>
        <w:rPr>
          <w:rStyle w:val="VerbatimChar"/>
        </w:rPr>
        <w:t xml:space="preserve">        regime_stream = archive.read_products(</w:t>
      </w:r>
      <w:r>
        <w:br/>
      </w:r>
      <w:r>
        <w:rPr>
          <w:rStyle w:val="VerbatimChar"/>
        </w:rPr>
        <w:t xml:space="preserve">            product_type=["SPC_OUTLOOK", "WPC_SURFACE", "AFD"],</w:t>
      </w:r>
      <w:r>
        <w:br/>
      </w:r>
      <w:r>
        <w:rPr>
          <w:rStyle w:val="VerbatimChar"/>
        </w:rPr>
        <w:t xml:space="preserve">            location_key=station.region_key,</w:t>
      </w:r>
      <w:r>
        <w:br/>
      </w:r>
      <w:r>
        <w:rPr>
          <w:rStyle w:val="VerbatimChar"/>
        </w:rPr>
        <w:t xml:space="preserve">            issued_at_lte=now_utc,</w:t>
      </w:r>
      <w:r>
        <w:br/>
      </w:r>
      <w:r>
        <w:rPr>
          <w:rStyle w:val="VerbatimChar"/>
        </w:rPr>
        <w:t xml:space="preserve">        )</w:t>
      </w:r>
      <w:r>
        <w:br/>
      </w:r>
      <w:r>
        <w:br/>
      </w:r>
      <w:r>
        <w:rPr>
          <w:rStyle w:val="VerbatimChar"/>
        </w:rPr>
        <w:t xml:space="preserve">        # 2) Parse exact raw text into causal state objects</w:t>
      </w:r>
      <w:r>
        <w:br/>
      </w:r>
      <w:r>
        <w:rPr>
          <w:rStyle w:val="VerbatimChar"/>
        </w:rPr>
        <w:t xml:space="preserve">        obs = parse_metar_speci(metar_stream)</w:t>
      </w:r>
      <w:r>
        <w:br/>
      </w:r>
      <w:r>
        <w:rPr>
          <w:rStyle w:val="VerbatimChar"/>
        </w:rPr>
        <w:t xml:space="preserve">        taf = parse_taf(taf_stream)              # latest active TAF/AMD as of now_utc</w:t>
      </w:r>
      <w:r>
        <w:br/>
      </w:r>
      <w:r>
        <w:rPr>
          <w:rStyle w:val="VerbatimChar"/>
        </w:rPr>
        <w:t xml:space="preserve">        cli = parse_cli(climate_stream)          # prelims exist intraday; final used only for labels after issuance</w:t>
      </w:r>
      <w:r>
        <w:br/>
      </w:r>
      <w:r>
        <w:rPr>
          <w:rStyle w:val="VerbatimChar"/>
        </w:rPr>
        <w:t xml:space="preserve">        regime = parse_regime_products(regime_stream)</w:t>
      </w:r>
      <w:r>
        <w:br/>
      </w:r>
      <w:r>
        <w:br/>
      </w:r>
      <w:r>
        <w:rPr>
          <w:rStyle w:val="VerbatimChar"/>
        </w:rPr>
        <w:t xml:space="preserve">        # 3) Build settlement-aware state</w:t>
      </w:r>
      <w:r>
        <w:br/>
      </w:r>
      <w:r>
        <w:rPr>
          <w:rStyle w:val="VerbatimChar"/>
        </w:rPr>
        <w:t xml:space="preserve">        day_state = build_intraday_state(</w:t>
      </w:r>
      <w:r>
        <w:br/>
      </w:r>
      <w:r>
        <w:rPr>
          <w:rStyle w:val="VerbatimChar"/>
        </w:rPr>
        <w:t xml:space="preserve">            obs=obs,</w:t>
      </w:r>
      <w:r>
        <w:br/>
      </w:r>
      <w:r>
        <w:rPr>
          <w:rStyle w:val="VerbatimChar"/>
        </w:rPr>
        <w:t xml:space="preserve">            settlement_day=settlement_day,</w:t>
      </w:r>
      <w:r>
        <w:br/>
      </w:r>
      <w:r>
        <w:rPr>
          <w:rStyle w:val="VerbatimChar"/>
        </w:rPr>
        <w:t xml:space="preserve">            station_std_offset=station.std_utc_offset_hours,</w:t>
      </w:r>
      <w:r>
        <w:br/>
      </w:r>
      <w:r>
        <w:rPr>
          <w:rStyle w:val="VerbatimChar"/>
        </w:rPr>
        <w:t xml:space="preserve">        )</w:t>
      </w:r>
      <w:r>
        <w:br/>
      </w:r>
      <w:r>
        <w:br/>
      </w:r>
      <w:r>
        <w:rPr>
          <w:rStyle w:val="VerbatimChar"/>
        </w:rPr>
        <w:t xml:space="preserve">        # 4) Feature engineering</w:t>
      </w:r>
      <w:r>
        <w:br/>
      </w:r>
      <w:r>
        <w:rPr>
          <w:rStyle w:val="VerbatimChar"/>
        </w:rPr>
        <w:t xml:space="preserve">        x = {}</w:t>
      </w:r>
      <w:r>
        <w:br/>
      </w:r>
      <w:r>
        <w:rPr>
          <w:rStyle w:val="VerbatimChar"/>
        </w:rPr>
        <w:t xml:space="preserve">        x.update(make_freshness_features(obs, taf, now_utc))</w:t>
      </w:r>
      <w:r>
        <w:br/>
      </w:r>
      <w:r>
        <w:rPr>
          <w:rStyle w:val="VerbatimChar"/>
        </w:rPr>
        <w:t xml:space="preserve">        x.update(make_speci_jump_features(obs))</w:t>
      </w:r>
      <w:r>
        <w:br/>
      </w:r>
      <w:r>
        <w:rPr>
          <w:rStyle w:val="VerbatimChar"/>
        </w:rPr>
        <w:t xml:space="preserve">        x.update(make_intraday_progression_features(day_state, now_utc))</w:t>
      </w:r>
      <w:r>
        <w:br/>
      </w:r>
      <w:r>
        <w:rPr>
          <w:rStyle w:val="VerbatimChar"/>
        </w:rPr>
        <w:t xml:space="preserve">        x.update(make_taf_remainder_of_day_features(taf, now_utc, settlement_day))</w:t>
      </w:r>
      <w:r>
        <w:br/>
      </w:r>
      <w:r>
        <w:rPr>
          <w:rStyle w:val="VerbatimChar"/>
        </w:rPr>
        <w:t xml:space="preserve">        x.update(make_regime_tags(obs, taf, regime, station))</w:t>
      </w:r>
      <w:r>
        <w:br/>
      </w:r>
      <w:r>
        <w:rPr>
          <w:rStyle w:val="VerbatimChar"/>
        </w:rPr>
        <w:t xml:space="preserve">        x.update(make_station_metadata_features(station))</w:t>
      </w:r>
      <w:r>
        <w:br/>
      </w:r>
      <w:r>
        <w:br/>
      </w:r>
      <w:r>
        <w:rPr>
          <w:rStyle w:val="VerbatimChar"/>
        </w:rPr>
        <w:t xml:space="preserve">        # 5) Leakage guardrails</w:t>
      </w:r>
      <w:r>
        <w:br/>
      </w:r>
      <w:r>
        <w:rPr>
          <w:rStyle w:val="VerbatimChar"/>
        </w:rPr>
        <w:t xml:space="preserve">        assert max(feature_source_issue_times(x)) &lt;= now_utc</w:t>
      </w:r>
      <w:r>
        <w:br/>
      </w:r>
      <w:r>
        <w:rPr>
          <w:rStyle w:val="VerbatimChar"/>
        </w:rPr>
        <w:t xml:space="preserve">        assert no_final_cli_used_before_issue(x, cli, now_utc)</w:t>
      </w:r>
      <w:r>
        <w:br/>
      </w:r>
      <w:r>
        <w:rPr>
          <w:rStyle w:val="VerbatimChar"/>
        </w:rPr>
        <w:t xml:space="preserve">        assert no_delayed_one_minute_data_used_live(x)</w:t>
      </w:r>
      <w:r>
        <w:br/>
      </w:r>
      <w:r>
        <w:br/>
      </w:r>
      <w:r>
        <w:rPr>
          <w:rStyle w:val="VerbatimChar"/>
        </w:rPr>
        <w:t xml:space="preserve">        # 6) Predict full settlement distribution</w:t>
      </w:r>
      <w:r>
        <w:br/>
      </w:r>
      <w:r>
        <w:rPr>
          <w:rStyle w:val="VerbatimChar"/>
        </w:rPr>
        <w:t xml:space="preserve">        temp_dist = models.distribution_model.predict(x)</w:t>
      </w:r>
      <w:r>
        <w:br/>
      </w:r>
      <w:r>
        <w:br/>
      </w:r>
      <w:r>
        <w:rPr>
          <w:rStyle w:val="VerbatimChar"/>
        </w:rPr>
        <w:t xml:space="preserve">        # 7) Calibrate probabilities and attach uncertainty</w:t>
      </w:r>
      <w:r>
        <w:br/>
      </w:r>
      <w:r>
        <w:rPr>
          <w:rStyle w:val="VerbatimChar"/>
        </w:rPr>
        <w:t xml:space="preserve">        temp_dist_cal = models.distribution_calibrator.apply(</w:t>
      </w:r>
      <w:r>
        <w:br/>
      </w:r>
      <w:r>
        <w:rPr>
          <w:rStyle w:val="VerbatimChar"/>
        </w:rPr>
        <w:t xml:space="preserve">            temp_dist,</w:t>
      </w:r>
      <w:r>
        <w:br/>
      </w:r>
      <w:r>
        <w:rPr>
          <w:rStyle w:val="VerbatimChar"/>
        </w:rPr>
        <w:t xml:space="preserve">            station_id=station.station_id,</w:t>
      </w:r>
      <w:r>
        <w:br/>
      </w:r>
      <w:r>
        <w:rPr>
          <w:rStyle w:val="VerbatimChar"/>
        </w:rPr>
        <w:t xml:space="preserve">            local_hour=to_local_standard_hour(now_utc, station.std_utc_offset_hours),</w:t>
      </w:r>
      <w:r>
        <w:br/>
      </w:r>
      <w:r>
        <w:rPr>
          <w:rStyle w:val="VerbatimChar"/>
        </w:rPr>
        <w:t xml:space="preserve">        )</w:t>
      </w:r>
      <w:r>
        <w:br/>
      </w:r>
      <w:r>
        <w:rPr>
          <w:rStyle w:val="VerbatimChar"/>
        </w:rPr>
        <w:t xml:space="preserve">        interval = models.uncertainty_wrapper.predict_interval(x, temp_dist_cal)</w:t>
      </w:r>
      <w:r>
        <w:br/>
      </w:r>
      <w:r>
        <w:br/>
      </w:r>
      <w:r>
        <w:rPr>
          <w:rStyle w:val="VerbatimChar"/>
        </w:rPr>
        <w:t xml:space="preserve">        # 8) Map to market sides</w:t>
      </w:r>
      <w:r>
        <w:br/>
      </w:r>
      <w:r>
        <w:rPr>
          <w:rStyle w:val="VerbatimChar"/>
        </w:rPr>
        <w:t xml:space="preserve">        strike_probs = dist_to_strike_side_probs(temp_dist_cal, market.strike_grid)</w:t>
      </w:r>
      <w:r>
        <w:br/>
      </w:r>
      <w:r>
        <w:rPr>
          <w:rStyle w:val="VerbatimChar"/>
        </w:rPr>
        <w:t xml:space="preserve">        strike_bands = dist_interval_to_prob_bands(interval, market.strike_grid)</w:t>
      </w:r>
      <w:r>
        <w:br/>
      </w:r>
      <w:r>
        <w:br/>
      </w:r>
      <w:r>
        <w:rPr>
          <w:rStyle w:val="VerbatimChar"/>
        </w:rPr>
        <w:t xml:space="preserve">        # 9) Apply execution-level independence rules</w:t>
      </w:r>
      <w:r>
        <w:br/>
      </w:r>
      <w:r>
        <w:rPr>
          <w:rStyle w:val="VerbatimChar"/>
        </w:rPr>
        <w:t xml:space="preserve">        candidate_sides = rank_expected_value(</w:t>
      </w:r>
      <w:r>
        <w:br/>
      </w:r>
      <w:r>
        <w:rPr>
          <w:rStyle w:val="VerbatimChar"/>
        </w:rPr>
        <w:t xml:space="preserve">            market.orderbook,</w:t>
      </w:r>
      <w:r>
        <w:br/>
      </w:r>
      <w:r>
        <w:rPr>
          <w:rStyle w:val="VerbatimChar"/>
        </w:rPr>
        <w:t xml:space="preserve">            strike_probs,</w:t>
      </w:r>
      <w:r>
        <w:br/>
      </w:r>
      <w:r>
        <w:rPr>
          <w:rStyle w:val="VerbatimChar"/>
        </w:rPr>
        <w:t xml:space="preserve">            strike_bands,</w:t>
      </w:r>
      <w:r>
        <w:br/>
      </w:r>
      <w:r>
        <w:rPr>
          <w:rStyle w:val="VerbatimChar"/>
        </w:rPr>
        <w:t xml:space="preserve">            fees=market.fee_schedule,</w:t>
      </w:r>
      <w:r>
        <w:br/>
      </w:r>
      <w:r>
        <w:rPr>
          <w:rStyle w:val="VerbatimChar"/>
        </w:rPr>
        <w:t xml:space="preserve">        )</w:t>
      </w:r>
      <w:r>
        <w:br/>
      </w:r>
      <w:r>
        <w:rPr>
          <w:rStyle w:val="VerbatimChar"/>
        </w:rPr>
        <w:t xml:space="preserve">        candidate_sides = enforce_one_distribution_many_strikes_rule(candidate_sides)</w:t>
      </w:r>
      <w:r>
        <w:br/>
      </w:r>
      <w:r>
        <w:br/>
      </w:r>
      <w:r>
        <w:rPr>
          <w:rStyle w:val="VerbatimChar"/>
        </w:rPr>
        <w:t xml:space="preserve">        predictions.append({</w:t>
      </w:r>
      <w:r>
        <w:br/>
      </w:r>
      <w:r>
        <w:rPr>
          <w:rStyle w:val="VerbatimChar"/>
        </w:rPr>
        <w:t xml:space="preserve">            "market_id": market.market_id,</w:t>
      </w:r>
      <w:r>
        <w:br/>
      </w:r>
      <w:r>
        <w:rPr>
          <w:rStyle w:val="VerbatimChar"/>
        </w:rPr>
        <w:t xml:space="preserve">            "station_id": station.station_id,</w:t>
      </w:r>
      <w:r>
        <w:br/>
      </w:r>
      <w:r>
        <w:rPr>
          <w:rStyle w:val="VerbatimChar"/>
        </w:rPr>
        <w:t xml:space="preserve">            "decision_ts_utc": now_utc,</w:t>
      </w:r>
      <w:r>
        <w:br/>
      </w:r>
      <w:r>
        <w:rPr>
          <w:rStyle w:val="VerbatimChar"/>
        </w:rPr>
        <w:t xml:space="preserve">            "settlement_day_lstd": settlement_day,</w:t>
      </w:r>
      <w:r>
        <w:br/>
      </w:r>
      <w:r>
        <w:rPr>
          <w:rStyle w:val="VerbatimChar"/>
        </w:rPr>
        <w:t xml:space="preserve">            "strike_probs": strike_probs,</w:t>
      </w:r>
      <w:r>
        <w:br/>
      </w:r>
      <w:r>
        <w:rPr>
          <w:rStyle w:val="VerbatimChar"/>
        </w:rPr>
        <w:t xml:space="preserve">            "strike_bands": strike_bands,</w:t>
      </w:r>
      <w:r>
        <w:br/>
      </w:r>
      <w:r>
        <w:rPr>
          <w:rStyle w:val="VerbatimChar"/>
        </w:rPr>
        <w:t xml:space="preserve">            "top_candidates": candidate_sides,</w:t>
      </w:r>
      <w:r>
        <w:br/>
      </w:r>
      <w:r>
        <w:rPr>
          <w:rStyle w:val="VerbatimChar"/>
        </w:rPr>
        <w:t xml:space="preserve">            "feature_snapshot": x,</w:t>
      </w:r>
      <w:r>
        <w:br/>
      </w:r>
      <w:r>
        <w:rPr>
          <w:rStyle w:val="VerbatimChar"/>
        </w:rPr>
        <w:t xml:space="preserve">        })</w:t>
      </w:r>
      <w:r>
        <w:br/>
      </w:r>
      <w:r>
        <w:br/>
      </w:r>
      <w:r>
        <w:rPr>
          <w:rStyle w:val="VerbatimChar"/>
        </w:rPr>
        <w:t xml:space="preserve">    return predictions</w:t>
      </w:r>
    </w:p>
    <w:p>
      <w:pPr>
        <w:pStyle w:val="FirstParagraph"/>
      </w:pPr>
      <w:r>
        <w:t xml:space="preserve">The operational rule hiding in that pseudocode is the most important one:</w:t>
      </w:r>
      <w:r>
        <w:t xml:space="preserve"> </w:t>
      </w:r>
      <w:r>
        <w:rPr>
          <w:b/>
          <w:bCs/>
        </w:rPr>
        <w:t xml:space="preserve">one archived reality, one causal feature snapshot, one settlement distribution, many strike probabilities</w:t>
      </w:r>
      <w:r>
        <w:t xml:space="preserve">. That is the correct way to maximize independent market-side prediction quality.</w:t>
      </w:r>
    </w:p>
    <w:bookmarkEnd w:id="37"/>
    <w:bookmarkStart w:id="38" w:name="X818e90084c3018b4eb1142a89ee3f1d6b4b9ca1"/>
    <w:p>
      <w:pPr>
        <w:pStyle w:val="Heading2"/>
      </w:pPr>
      <w:r>
        <w:t xml:space="preserve">Thirty-day implementation roadmap with test gates</w:t>
      </w:r>
    </w:p>
    <w:p>
      <w:pPr>
        <w:pStyle w:val="FirstParagraph"/>
      </w:pPr>
      <w:r>
        <w:t xml:space="preserve">The roadmap below is built so that parity and leak control land</w:t>
      </w:r>
      <w:r>
        <w:t xml:space="preserve"> </w:t>
      </w:r>
      <w:r>
        <w:rPr>
          <w:b/>
          <w:bCs/>
        </w:rPr>
        <w:t xml:space="preserve">before</w:t>
      </w:r>
      <w:r>
        <w:t xml:space="preserve"> </w:t>
      </w:r>
      <w:r>
        <w:t xml:space="preserve">search for alpha. That order matters; otherwise the first backtests will be contaminated by wrong labels or impossible features.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 range</w:t>
            </w:r>
          </w:p>
        </w:tc>
        <w:tc>
          <w:tcPr/>
          <w:p>
            <w:pPr>
              <w:pStyle w:val="Compact"/>
            </w:pPr>
            <w:r>
              <w:t xml:space="preserve">Milestone</w:t>
            </w:r>
          </w:p>
        </w:tc>
        <w:tc>
          <w:tcPr/>
          <w:p>
            <w:pPr>
              <w:pStyle w:val="Compact"/>
            </w:pPr>
            <w:r>
              <w:t xml:space="preserve">Primary output</w:t>
            </w:r>
          </w:p>
        </w:tc>
        <w:tc>
          <w:tcPr/>
          <w:p>
            <w:pPr>
              <w:pStyle w:val="Compact"/>
            </w:pPr>
            <w:r>
              <w:t xml:space="preserve">Test gate</w:t>
            </w:r>
          </w:p>
        </w:tc>
      </w:tr>
      <w:tr>
        <w:tc>
          <w:tcPr/>
          <w:p>
            <w:pPr>
              <w:pStyle w:val="Compact"/>
            </w:pPr>
            <w:r>
              <w:t xml:space="preserve">Days 1–5</w:t>
            </w:r>
          </w:p>
        </w:tc>
        <w:tc>
          <w:tcPr/>
          <w:p>
            <w:pPr>
              <w:pStyle w:val="Compact"/>
            </w:pPr>
            <w:r>
              <w:t xml:space="preserve">Data contract and source registry</w:t>
            </w:r>
          </w:p>
        </w:tc>
        <w:tc>
          <w:tcPr/>
          <w:p>
            <w:pPr>
              <w:pStyle w:val="Compact"/>
            </w:pPr>
            <w:r>
              <w:t xml:space="preserve">Station registry, climate product mapping, fixed-standard-time clock library, raw product archiver</w:t>
            </w:r>
          </w:p>
        </w:tc>
        <w:tc>
          <w:tcPr/>
          <w:p>
            <w:pPr>
              <w:pStyle w:val="Compact"/>
            </w:pPr>
            <w:r>
              <w:t xml:space="preserve">Pass DST boundary unit tests on spring-forward and fall-back dates; 100% of target markets mapped to exact settlement source</w:t>
            </w:r>
          </w:p>
        </w:tc>
      </w:tr>
      <w:tr>
        <w:tc>
          <w:tcPr/>
          <w:p>
            <w:pPr>
              <w:pStyle w:val="Compact"/>
            </w:pPr>
            <w:r>
              <w:t xml:space="preserve">Days 6–10</w:t>
            </w:r>
          </w:p>
        </w:tc>
        <w:tc>
          <w:tcPr/>
          <w:p>
            <w:pPr>
              <w:pStyle w:val="Compact"/>
            </w:pPr>
            <w:r>
              <w:t xml:space="preserve">Historical backfill and label builder</w:t>
            </w:r>
          </w:p>
        </w:tc>
        <w:tc>
          <w:tcPr/>
          <w:p>
            <w:pPr>
              <w:pStyle w:val="Compact"/>
            </w:pPr>
            <w:r>
              <w:t xml:space="preserve">Final-CLI label store, preliminary-vs-final comparison table, parity QA rules</w:t>
            </w:r>
          </w:p>
        </w:tc>
        <w:tc>
          <w:tcPr/>
          <w:p>
            <w:pPr>
              <w:pStyle w:val="Compact"/>
            </w:pPr>
            <w:r>
              <w:t xml:space="preserve">Fewer than 0.25% unresolved label mismatches; every label reproducible from raw archived text</w:t>
            </w:r>
          </w:p>
        </w:tc>
      </w:tr>
      <w:tr>
        <w:tc>
          <w:tcPr/>
          <w:p>
            <w:pPr>
              <w:pStyle w:val="Compact"/>
            </w:pPr>
            <w:r>
              <w:t xml:space="preserve">Days 11–15</w:t>
            </w:r>
          </w:p>
        </w:tc>
        <w:tc>
          <w:tcPr/>
          <w:p>
            <w:pPr>
              <w:pStyle w:val="Compact"/>
            </w:pPr>
            <w:r>
              <w:t xml:space="preserve">METAR-only baseline</w:t>
            </w:r>
          </w:p>
        </w:tc>
        <w:tc>
          <w:tcPr/>
          <w:p>
            <w:pPr>
              <w:pStyle w:val="Compact"/>
            </w:pPr>
            <w:r>
              <w:t xml:space="preserve">Intraday-state features, freshness features, first walk-forward model</w:t>
            </w:r>
          </w:p>
        </w:tc>
        <w:tc>
          <w:tcPr/>
          <w:p>
            <w:pPr>
              <w:pStyle w:val="Compact"/>
            </w:pPr>
            <w:r>
              <w:t xml:space="preserve">No leakage violations; coherent monotone strike probabilities; baseline Brier/log loss by station/hour published</w:t>
            </w:r>
          </w:p>
        </w:tc>
      </w:tr>
      <w:tr>
        <w:tc>
          <w:tcPr/>
          <w:p>
            <w:pPr>
              <w:pStyle w:val="Compact"/>
            </w:pPr>
            <w:r>
              <w:t xml:space="preserve">Days 16–20</w:t>
            </w:r>
          </w:p>
        </w:tc>
        <w:tc>
          <w:tcPr/>
          <w:p>
            <w:pPr>
              <w:pStyle w:val="Compact"/>
            </w:pPr>
            <w:r>
              <w:t xml:space="preserve">Add SPECI, TAF, and regime tags</w:t>
            </w:r>
          </w:p>
        </w:tc>
        <w:tc>
          <w:tcPr/>
          <w:p>
            <w:pPr>
              <w:pStyle w:val="Compact"/>
            </w:pPr>
            <w:r>
              <w:t xml:space="preserve">SPECI parser, TAF path features, frontal/convective/marine taggers</w:t>
            </w:r>
          </w:p>
        </w:tc>
        <w:tc>
          <w:tcPr/>
          <w:p>
            <w:pPr>
              <w:pStyle w:val="Compact"/>
            </w:pPr>
            <w:r>
              <w:rPr>
                <w:rStyle w:val="VerbatimChar"/>
              </w:rPr>
              <w:t xml:space="preserve">+SPECI</w:t>
            </w:r>
            <w:r>
              <w:t xml:space="preserve"> </w:t>
            </w:r>
            <w:r>
              <w:t xml:space="preserve">and</w:t>
            </w:r>
            <w:r>
              <w:t xml:space="preserve"> </w:t>
            </w:r>
            <w:r>
              <w:rPr>
                <w:rStyle w:val="VerbatimChar"/>
              </w:rPr>
              <w:t xml:space="preserve">+TAF</w:t>
            </w:r>
            <w:r>
              <w:t xml:space="preserve"> </w:t>
            </w:r>
            <w:r>
              <w:t xml:space="preserve">must hit planned ablation gates on walk-forward and survive first out-of-time check</w:t>
            </w:r>
          </w:p>
        </w:tc>
      </w:tr>
      <w:tr>
        <w:tc>
          <w:tcPr/>
          <w:p>
            <w:pPr>
              <w:pStyle w:val="Compact"/>
            </w:pPr>
            <w:r>
              <w:t xml:space="preserve">Days 21–25</w:t>
            </w:r>
          </w:p>
        </w:tc>
        <w:tc>
          <w:tcPr/>
          <w:p>
            <w:pPr>
              <w:pStyle w:val="Compact"/>
            </w:pPr>
            <w:r>
              <w:t xml:space="preserve">Calibration and uncertainty</w:t>
            </w:r>
          </w:p>
        </w:tc>
        <w:tc>
          <w:tcPr/>
          <w:p>
            <w:pPr>
              <w:pStyle w:val="Compact"/>
            </w:pPr>
            <w:r>
              <w:t xml:space="preserve">Independent calibration split, reliability curves, probability intervals/confidence score</w:t>
            </w:r>
          </w:p>
        </w:tc>
        <w:tc>
          <w:tcPr/>
          <w:p>
            <w:pPr>
              <w:pStyle w:val="Compact"/>
            </w:pPr>
            <w:r>
              <w:t xml:space="preserve">Reliability curves materially improve after calibration; uncertainty width is monotone with empirical error</w:t>
            </w:r>
          </w:p>
        </w:tc>
      </w:tr>
      <w:tr>
        <w:tc>
          <w:tcPr/>
          <w:p>
            <w:pPr>
              <w:pStyle w:val="Compact"/>
            </w:pPr>
            <w:r>
              <w:t xml:space="preserve">Days 26–30</w:t>
            </w:r>
          </w:p>
        </w:tc>
        <w:tc>
          <w:tcPr/>
          <w:p>
            <w:pPr>
              <w:pStyle w:val="Compact"/>
            </w:pPr>
            <w:r>
              <w:t xml:space="preserve">Shadow deployment and monitoring</w:t>
            </w:r>
          </w:p>
        </w:tc>
        <w:tc>
          <w:tcPr/>
          <w:p>
            <w:pPr>
              <w:pStyle w:val="Compact"/>
            </w:pPr>
            <w:r>
              <w:t xml:space="preserve">End-to-end replay, live shadow predictions, alerting, dashboard</w:t>
            </w:r>
          </w:p>
        </w:tc>
        <w:tc>
          <w:tcPr/>
          <w:p>
            <w:pPr>
              <w:pStyle w:val="Compact"/>
            </w:pPr>
            <w:r>
              <w:t xml:space="preserve">Median inference latency within target; stale-data alerts fire correctly; top-confidence buckets outperform low-confidence buckets</w:t>
            </w:r>
          </w:p>
        </w:tc>
      </w:tr>
    </w:tbl>
    <w:p>
      <w:pPr>
        <w:pStyle w:val="BodyText"/>
      </w:pPr>
      <w:r>
        <w:t xml:space="preserve">The “shadow deployment” here should include exact late-day and overnight replays. That is where most production mistakes show up: wrong settlement-day assignment, using a TAF amendment before it was issued, or accidentally letting a final CLI leak backward into same-day decisions.</w:t>
      </w:r>
    </w:p>
    <w:bookmarkEnd w:id="38"/>
    <w:bookmarkStart w:id="39" w:name="failure-modes-and-monitoring-alerts"/>
    <w:p>
      <w:pPr>
        <w:pStyle w:val="Heading2"/>
      </w:pPr>
      <w:r>
        <w:t xml:space="preserve">Failure modes and monitoring alerts</w:t>
      </w:r>
    </w:p>
    <w:p>
      <w:pPr>
        <w:pStyle w:val="FirstParagraph"/>
      </w:pPr>
      <w:r>
        <w:t xml:space="preserve">A production system like this usually fails in a small number of predictable ways, and they are monitorable. The first class is</w:t>
      </w:r>
      <w:r>
        <w:t xml:space="preserve"> </w:t>
      </w:r>
      <w:r>
        <w:rPr>
          <w:b/>
          <w:bCs/>
        </w:rPr>
        <w:t xml:space="preserve">parity failure</w:t>
      </w:r>
      <w:r>
        <w:t xml:space="preserve">: wrong station, wrong product, wrong day clock, wrong CLI version. The second is</w:t>
      </w:r>
      <w:r>
        <w:t xml:space="preserve"> </w:t>
      </w:r>
      <w:r>
        <w:rPr>
          <w:b/>
          <w:bCs/>
        </w:rPr>
        <w:t xml:space="preserve">causal failure</w:t>
      </w:r>
      <w:r>
        <w:t xml:space="preserve">: features timestamped after the decision time, especially around TAF amendments and overnight final CLI issuance. The third is</w:t>
      </w:r>
      <w:r>
        <w:t xml:space="preserve"> </w:t>
      </w:r>
      <w:r>
        <w:rPr>
          <w:b/>
          <w:bCs/>
        </w:rPr>
        <w:t xml:space="preserve">source-quality failure</w:t>
      </w:r>
      <w:r>
        <w:t xml:space="preserve">: stale or missing observations, maintenance flags, or product parser drift. The fourth is</w:t>
      </w:r>
      <w:r>
        <w:t xml:space="preserve"> </w:t>
      </w:r>
      <w:r>
        <w:rPr>
          <w:b/>
          <w:bCs/>
        </w:rPr>
        <w:t xml:space="preserve">structural drift</w:t>
      </w:r>
      <w:r>
        <w:t xml:space="preserve">: station relocation or instrument/observer regime changes that alter the mapping from product signals to settlement. Official documentation supports all four concerns directly.</w:t>
      </w:r>
      <w:r>
        <w:t xml:space="preserve"> </w:t>
      </w:r>
      <w:hyperlink r:id="rId21">
        <w:r>
          <w:rPr>
            <w:rStyle w:val="Hyperlink"/>
          </w:rPr>
          <w:t xml:space="preserve">[23]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Failure mode</w:t>
            </w:r>
          </w:p>
        </w:tc>
        <w:tc>
          <w:tcPr/>
          <w:p>
            <w:pPr>
              <w:pStyle w:val="Compact"/>
            </w:pPr>
            <w:r>
              <w:t xml:space="preserve">Typical symptom</w:t>
            </w:r>
          </w:p>
        </w:tc>
        <w:tc>
          <w:tcPr/>
          <w:p>
            <w:pPr>
              <w:pStyle w:val="Compact"/>
            </w:pPr>
            <w:r>
              <w:t xml:space="preserve">Monitoring alert</w:t>
            </w:r>
          </w:p>
        </w:tc>
        <w:tc>
          <w:tcPr/>
          <w:p>
            <w:pPr>
              <w:pStyle w:val="Compact"/>
            </w:pPr>
            <w:r>
              <w:t xml:space="preserve">Immediate action</w:t>
            </w:r>
          </w:p>
        </w:tc>
      </w:tr>
      <w:tr>
        <w:tc>
          <w:tcPr/>
          <w:p>
            <w:pPr>
              <w:pStyle w:val="Compact"/>
            </w:pPr>
            <w:r>
              <w:t xml:space="preserve">Wrong settlement-day bucketing</w:t>
            </w:r>
          </w:p>
        </w:tc>
        <w:tc>
          <w:tcPr/>
          <w:p>
            <w:pPr>
              <w:pStyle w:val="Compact"/>
            </w:pPr>
            <w:r>
              <w:t xml:space="preserve">Off-by-one labels around DST, especially in March/November</w:t>
            </w:r>
          </w:p>
        </w:tc>
        <w:tc>
          <w:tcPr/>
          <w:p>
            <w:pPr>
              <w:pStyle w:val="Compact"/>
            </w:pPr>
            <w:r>
              <w:t xml:space="preserve">Alert if any day is built using local civil midnight rather than fixed standard-time midnight</w:t>
            </w:r>
          </w:p>
        </w:tc>
        <w:tc>
          <w:tcPr/>
          <w:p>
            <w:pPr>
              <w:pStyle w:val="Compact"/>
            </w:pPr>
            <w:r>
              <w:t xml:space="preserve">Block promotion; rebuild labels with standard-time clock</w:t>
            </w:r>
          </w:p>
        </w:tc>
      </w:tr>
      <w:tr>
        <w:tc>
          <w:tcPr/>
          <w:p>
            <w:pPr>
              <w:pStyle w:val="Compact"/>
            </w:pPr>
            <w:r>
              <w:t xml:space="preserve">Final/preliminary CLI mismatch</w:t>
            </w:r>
          </w:p>
        </w:tc>
        <w:tc>
          <w:tcPr/>
          <w:p>
            <w:pPr>
              <w:pStyle w:val="Compact"/>
            </w:pPr>
            <w:r>
              <w:t xml:space="preserve">Overnight settlement differs from afternoon view</w:t>
            </w:r>
          </w:p>
        </w:tc>
        <w:tc>
          <w:tcPr/>
          <w:p>
            <w:pPr>
              <w:pStyle w:val="Compact"/>
            </w:pPr>
            <w:r>
              <w:t xml:space="preserve">Alert on any prelim-final delta or final below prelim</w:t>
            </w:r>
          </w:p>
        </w:tc>
        <w:tc>
          <w:tcPr/>
          <w:p>
            <w:pPr>
              <w:pStyle w:val="Compact"/>
            </w:pPr>
            <w:r>
              <w:t xml:space="preserve">Hold label for manual or rules-based reconciliation</w:t>
            </w:r>
          </w:p>
        </w:tc>
      </w:tr>
      <w:tr>
        <w:tc>
          <w:tcPr/>
          <w:p>
            <w:pPr>
              <w:pStyle w:val="Compact"/>
            </w:pPr>
            <w:r>
              <w:t xml:space="preserve">METAR/SPECI staleness</w:t>
            </w:r>
          </w:p>
        </w:tc>
        <w:tc>
          <w:tcPr/>
          <w:p>
            <w:pPr>
              <w:pStyle w:val="Compact"/>
            </w:pPr>
            <w:r>
              <w:t xml:space="preserve">Model becomes overconfident on old data</w:t>
            </w:r>
          </w:p>
        </w:tc>
        <w:tc>
          <w:tcPr/>
          <w:p>
            <w:pPr>
              <w:pStyle w:val="Compact"/>
            </w:pPr>
            <w:r>
              <w:t xml:space="preserve">Alert if no hourly observation for &gt;75 min or no new product when expected</w:t>
            </w:r>
          </w:p>
        </w:tc>
        <w:tc>
          <w:tcPr/>
          <w:p>
            <w:pPr>
              <w:pStyle w:val="Compact"/>
            </w:pPr>
            <w:r>
              <w:t xml:space="preserve">Widen uncertainty, reduce confidence, optionally pause trading</w:t>
            </w:r>
          </w:p>
        </w:tc>
      </w:tr>
      <w:tr>
        <w:tc>
          <w:tcPr/>
          <w:p>
            <w:pPr>
              <w:pStyle w:val="Compact"/>
            </w:pPr>
            <w:r>
              <w:t xml:space="preserve">TAF supersession error</w:t>
            </w:r>
          </w:p>
        </w:tc>
        <w:tc>
          <w:tcPr/>
          <w:p>
            <w:pPr>
              <w:pStyle w:val="Compact"/>
            </w:pPr>
            <w:r>
              <w:t xml:space="preserve">Forecast says old regime despite AMD issuance</w:t>
            </w:r>
          </w:p>
        </w:tc>
        <w:tc>
          <w:tcPr/>
          <w:p>
            <w:pPr>
              <w:pStyle w:val="Compact"/>
            </w:pPr>
            <w:r>
              <w:t xml:space="preserve">Alert if active TAF in features is not latest issued product as of decision time</w:t>
            </w:r>
          </w:p>
        </w:tc>
        <w:tc>
          <w:tcPr/>
          <w:p>
            <w:pPr>
              <w:pStyle w:val="Compact"/>
            </w:pPr>
            <w:r>
              <w:t xml:space="preserve">Recompute feature snapshot immediately</w:t>
            </w:r>
          </w:p>
        </w:tc>
      </w:tr>
      <w:tr>
        <w:tc>
          <w:tcPr/>
          <w:p>
            <w:pPr>
              <w:pStyle w:val="Compact"/>
            </w:pPr>
            <w:r>
              <w:t xml:space="preserve">Parser drift</w:t>
            </w:r>
          </w:p>
        </w:tc>
        <w:tc>
          <w:tcPr/>
          <w:p>
            <w:pPr>
              <w:pStyle w:val="Compact"/>
            </w:pPr>
            <w:r>
              <w:t xml:space="preserve">Sudden missing FM/TEMPO/PROB groups, malformed remarks</w:t>
            </w:r>
          </w:p>
        </w:tc>
        <w:tc>
          <w:tcPr/>
          <w:p>
            <w:pPr>
              <w:pStyle w:val="Compact"/>
            </w:pPr>
            <w:r>
              <w:t xml:space="preserve">Alert on parse-failure rate, missing essential fields, or schema mismatch</w:t>
            </w:r>
          </w:p>
        </w:tc>
        <w:tc>
          <w:tcPr/>
          <w:p>
            <w:pPr>
              <w:pStyle w:val="Compact"/>
            </w:pPr>
            <w:r>
              <w:t xml:space="preserve">Fail closed and route raw text for manual inspection</w:t>
            </w:r>
          </w:p>
        </w:tc>
      </w:tr>
      <w:tr>
        <w:tc>
          <w:tcPr/>
          <w:p>
            <w:pPr>
              <w:pStyle w:val="Compact"/>
            </w:pPr>
            <w:r>
              <w:t xml:space="preserve">Sensor-status degradation</w:t>
            </w:r>
          </w:p>
        </w:tc>
        <w:tc>
          <w:tcPr/>
          <w:p>
            <w:pPr>
              <w:pStyle w:val="Compact"/>
            </w:pPr>
            <w:r>
              <w:t xml:space="preserve">Present weather or precip features become unreliable</w:t>
            </w:r>
          </w:p>
        </w:tc>
        <w:tc>
          <w:tcPr/>
          <w:p>
            <w:pPr>
              <w:pStyle w:val="Compact"/>
            </w:pPr>
            <w:r>
              <w:t xml:space="preserve">Alert on</w:t>
            </w:r>
            <w:r>
              <w:t xml:space="preserve"> </w:t>
            </w:r>
            <w:r>
              <w:rPr>
                <w:rStyle w:val="VerbatimChar"/>
              </w:rPr>
              <w:t xml:space="preserve">$</w:t>
            </w:r>
            <w:r>
              <w:t xml:space="preserve">,</w:t>
            </w:r>
            <w:r>
              <w:t xml:space="preserve"> </w:t>
            </w:r>
            <w:r>
              <w:rPr>
                <w:rStyle w:val="VerbatimChar"/>
              </w:rPr>
              <w:t xml:space="preserve">PNO</w:t>
            </w:r>
            <w:r>
              <w:t xml:space="preserve">,</w:t>
            </w:r>
            <w:r>
              <w:t xml:space="preserve"> </w:t>
            </w:r>
            <w:r>
              <w:rPr>
                <w:rStyle w:val="VerbatimChar"/>
              </w:rPr>
              <w:t xml:space="preserve">PWINO</w:t>
            </w:r>
            <w:r>
              <w:t xml:space="preserve">,</w:t>
            </w:r>
            <w:r>
              <w:t xml:space="preserve"> </w:t>
            </w:r>
            <w:r>
              <w:rPr>
                <w:rStyle w:val="VerbatimChar"/>
              </w:rPr>
              <w:t xml:space="preserve">TSNO</w:t>
            </w:r>
            <w:r>
              <w:t xml:space="preserve">,</w:t>
            </w:r>
            <w:r>
              <w:t xml:space="preserve"> </w:t>
            </w:r>
            <w:r>
              <w:rPr>
                <w:rStyle w:val="VerbatimChar"/>
              </w:rPr>
              <w:t xml:space="preserve">FZRANO</w:t>
            </w:r>
            <w:r>
              <w:t xml:space="preserve">, or repeated missing fields</w:t>
            </w:r>
          </w:p>
        </w:tc>
        <w:tc>
          <w:tcPr/>
          <w:p>
            <w:pPr>
              <w:pStyle w:val="Compact"/>
            </w:pPr>
            <w:r>
              <w:t xml:space="preserve">Downweight affected feature families and widen confidence interval</w:t>
            </w:r>
          </w:p>
        </w:tc>
      </w:tr>
      <w:tr>
        <w:tc>
          <w:tcPr/>
          <w:p>
            <w:pPr>
              <w:pStyle w:val="Compact"/>
            </w:pPr>
            <w:r>
              <w:t xml:space="preserve">Station-history break</w:t>
            </w:r>
          </w:p>
        </w:tc>
        <w:tc>
          <w:tcPr/>
          <w:p>
            <w:pPr>
              <w:pStyle w:val="Compact"/>
            </w:pPr>
            <w:r>
              <w:t xml:space="preserve">Abrupt residual shift without analogous regional cause</w:t>
            </w:r>
          </w:p>
        </w:tc>
        <w:tc>
          <w:tcPr/>
          <w:p>
            <w:pPr>
              <w:pStyle w:val="Compact"/>
            </w:pPr>
            <w:r>
              <w:t xml:space="preserve">Alert on rolling residual mean/variance shift by station and local hour</w:t>
            </w:r>
          </w:p>
        </w:tc>
        <w:tc>
          <w:tcPr/>
          <w:p>
            <w:pPr>
              <w:pStyle w:val="Compact"/>
            </w:pPr>
            <w:r>
              <w:t xml:space="preserve">Add era breakpoint or retrain with new station-history segment</w:t>
            </w:r>
          </w:p>
        </w:tc>
      </w:tr>
      <w:tr>
        <w:tc>
          <w:tcPr/>
          <w:p>
            <w:pPr>
              <w:pStyle w:val="Compact"/>
            </w:pPr>
            <w:r>
              <w:t xml:space="preserve">Regime-specific drift</w:t>
            </w:r>
          </w:p>
        </w:tc>
        <w:tc>
          <w:tcPr/>
          <w:p>
            <w:pPr>
              <w:pStyle w:val="Compact"/>
            </w:pPr>
            <w:r>
              <w:t xml:space="preserve">Good average score, bad frontal or marine-layer performance</w:t>
            </w:r>
          </w:p>
        </w:tc>
        <w:tc>
          <w:tcPr/>
          <w:p>
            <w:pPr>
              <w:pStyle w:val="Compact"/>
            </w:pPr>
            <w:r>
              <w:t xml:space="preserve">Alert on calibration and Brier by regime bucket</w:t>
            </w:r>
          </w:p>
        </w:tc>
        <w:tc>
          <w:tcPr/>
          <w:p>
            <w:pPr>
              <w:pStyle w:val="Compact"/>
            </w:pPr>
            <w:r>
              <w:t xml:space="preserve">Freeze strategy on affected regime until retrained</w:t>
            </w:r>
          </w:p>
        </w:tc>
      </w:tr>
      <w:tr>
        <w:tc>
          <w:tcPr/>
          <w:p>
            <w:pPr>
              <w:pStyle w:val="Compact"/>
            </w:pPr>
            <w:r>
              <w:t xml:space="preserve">One-minute archive misuse</w:t>
            </w:r>
          </w:p>
        </w:tc>
        <w:tc>
          <w:tcPr/>
          <w:p>
            <w:pPr>
              <w:pStyle w:val="Compact"/>
            </w:pPr>
            <w:r>
              <w:t xml:space="preserve">Unrealistically strong backtest vs live</w:t>
            </w:r>
          </w:p>
        </w:tc>
        <w:tc>
          <w:tcPr/>
          <w:p>
            <w:pPr>
              <w:pStyle w:val="Compact"/>
            </w:pPr>
            <w:r>
              <w:t xml:space="preserve">Alert if any delayed one-minute field appears in live feature lineage</w:t>
            </w:r>
          </w:p>
        </w:tc>
        <w:tc>
          <w:tcPr/>
          <w:p>
            <w:pPr>
              <w:pStyle w:val="Compact"/>
            </w:pPr>
            <w:r>
              <w:t xml:space="preserve">Hard fail the pipeline and invalidate the run</w:t>
            </w:r>
          </w:p>
        </w:tc>
      </w:tr>
    </w:tbl>
    <w:p>
      <w:pPr>
        <w:pStyle w:val="BodyText"/>
      </w:pPr>
      <w:r>
        <w:t xml:space="preserve">The most important drift dashboards are:</w:t>
      </w:r>
      <w:r>
        <w:t xml:space="preserve"> </w:t>
      </w:r>
      <w:r>
        <w:rPr>
          <w:b/>
          <w:bCs/>
        </w:rPr>
        <w:t xml:space="preserve">reliability by station and local-standard hour, Brier/log loss by station and hour, residual distribution by regime, parity mismatch counts, stale-source counts, and confidence-decile monotonicity</w:t>
      </w:r>
      <w:r>
        <w:t xml:space="preserve">. If those are stable, the model is probably healthy; if they break, trade quality will usually degrade before average headline accuracy makes the problem obvious.</w:t>
      </w:r>
      <w:r>
        <w:t xml:space="preserve"> </w:t>
      </w:r>
      <w:hyperlink r:id="rId25">
        <w:r>
          <w:rPr>
            <w:rStyle w:val="Hyperlink"/>
          </w:rPr>
          <w:t xml:space="preserve">[24]</w:t>
        </w:r>
      </w:hyperlink>
    </w:p>
    <w:bookmarkEnd w:id="39"/>
    <w:bookmarkEnd w:id="40"/>
    <w:bookmarkEnd w:id="41"/>
    <w:p>
      <w:r>
        <w:pict>
          <v:rect style="width:0;height:1.5pt" o:hralign="center" o:hrstd="t" o:hr="t"/>
        </w:pict>
      </w:r>
    </w:p>
    <w:bookmarkStart w:id="42"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[7]</w:t>
        </w:r>
      </w:hyperlink>
      <w:r>
        <w:t xml:space="preserve"> </w:t>
      </w:r>
      <w:hyperlink r:id="rId21">
        <w:r>
          <w:rPr>
            <w:rStyle w:val="Hyperlink"/>
          </w:rPr>
          <w:t xml:space="preserve">[11]</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r>
        <w:t xml:space="preserve">https://help.kalshi.com/en/articles/13823837-weather-markets</w:t>
      </w:r>
    </w:p>
    <w:p>
      <w:pPr>
        <w:pStyle w:val="BodyText"/>
      </w:pPr>
      <w:hyperlink r:id="rId21">
        <w:r>
          <w:rPr>
            <w:rStyle w:val="Hyperlink"/>
          </w:rPr>
          <w:t xml:space="preserve">https://help.kalshi.com/en/articles/13823837-weather-markets</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r>
        <w:t xml:space="preserve">https://www.weather.gov/okx/centralparkhistorical</w:t>
      </w:r>
    </w:p>
    <w:p>
      <w:pPr>
        <w:pStyle w:val="BodyText"/>
      </w:pPr>
      <w:hyperlink r:id="rId22">
        <w:r>
          <w:rPr>
            <w:rStyle w:val="Hyperlink"/>
          </w:rPr>
          <w:t xml:space="preserve">https://www.weather.gov/okx/centralparkhistorical</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[18]</w:t>
        </w:r>
      </w:hyperlink>
      <w:r>
        <w:t xml:space="preserve"> </w:t>
      </w:r>
      <w:r>
        <w:t xml:space="preserve">https://www.faa.gov/documentLibrary/media/Order/7900_5D.pdf</w:t>
      </w:r>
    </w:p>
    <w:p>
      <w:pPr>
        <w:pStyle w:val="BodyText"/>
      </w:pPr>
      <w:hyperlink r:id="rId23">
        <w:r>
          <w:rPr>
            <w:rStyle w:val="Hyperlink"/>
          </w:rPr>
          <w:t xml:space="preserve">https://www.faa.gov/documentLibrary/media/Order/7900_5D.pdf</w:t>
        </w:r>
      </w:hyperlink>
    </w:p>
    <w:p>
      <w:pPr>
        <w:pStyle w:val="BodyText"/>
      </w:pPr>
      <w:hyperlink r:id="rId24">
        <w:r>
          <w:rPr>
            <w:rStyle w:val="Hyperlink"/>
          </w:rPr>
          <w:t xml:space="preserve">[5]</w:t>
        </w:r>
      </w:hyperlink>
      <w:r>
        <w:t xml:space="preserve"> </w:t>
      </w:r>
      <w:r>
        <w:t xml:space="preserve">https://aviationweather.gov/data/api/</w:t>
      </w:r>
    </w:p>
    <w:p>
      <w:pPr>
        <w:pStyle w:val="BodyText"/>
      </w:pPr>
      <w:hyperlink r:id="rId24">
        <w:r>
          <w:rPr>
            <w:rStyle w:val="Hyperlink"/>
          </w:rPr>
          <w:t xml:space="preserve">https://aviationweather.gov/data/api/</w:t>
        </w:r>
      </w:hyperlink>
    </w:p>
    <w:p>
      <w:pPr>
        <w:pStyle w:val="BodyText"/>
      </w:pPr>
      <w:hyperlink r:id="rId25">
        <w:r>
          <w:rPr>
            <w:rStyle w:val="Hyperlink"/>
          </w:rPr>
          <w:t xml:space="preserve">[6]</w:t>
        </w:r>
      </w:hyperlink>
      <w:r>
        <w:t xml:space="preserve"> </w:t>
      </w:r>
      <w:hyperlink r:id="rId25">
        <w:r>
          <w:rPr>
            <w:rStyle w:val="Hyperlink"/>
          </w:rPr>
          <w:t xml:space="preserve">[24]</w:t>
        </w:r>
      </w:hyperlink>
      <w:r>
        <w:t xml:space="preserve"> </w:t>
      </w:r>
      <w:r>
        <w:t xml:space="preserve">sites.stat.washington.edu</w:t>
      </w:r>
    </w:p>
    <w:p>
      <w:pPr>
        <w:pStyle w:val="BodyText"/>
      </w:pPr>
      <w:hyperlink r:id="rId25">
        <w:r>
          <w:rPr>
            <w:rStyle w:val="Hyperlink"/>
          </w:rPr>
          <w:t xml:space="preserve">https://sites.stat.washington.edu/raftery/Research/PDF/Gneiting2007jasa.pdf</w:t>
        </w:r>
      </w:hyperlink>
    </w:p>
    <w:p>
      <w:pPr>
        <w:pStyle w:val="BodyText"/>
      </w:pPr>
      <w:hyperlink r:id="rId27">
        <w:r>
          <w:rPr>
            <w:rStyle w:val="Hyperlink"/>
          </w:rPr>
          <w:t xml:space="preserve">[10]</w:t>
        </w:r>
      </w:hyperlink>
      <w:r>
        <w:t xml:space="preserve"> </w:t>
      </w:r>
      <w:hyperlink r:id="rId27">
        <w:r>
          <w:rPr>
            <w:rStyle w:val="Hyperlink"/>
          </w:rPr>
          <w:t xml:space="preserve">[15]</w:t>
        </w:r>
      </w:hyperlink>
      <w:r>
        <w:t xml:space="preserve"> </w:t>
      </w:r>
      <w:hyperlink r:id="rId27">
        <w:r>
          <w:rPr>
            <w:rStyle w:val="Hyperlink"/>
          </w:rPr>
          <w:t xml:space="preserve">[17]</w:t>
        </w:r>
      </w:hyperlink>
      <w:r>
        <w:t xml:space="preserve"> </w:t>
      </w:r>
      <w:r>
        <w:t xml:space="preserve">https://www.ncei.noaa.gov/products/land-based-station/station-histories</w:t>
      </w:r>
    </w:p>
    <w:p>
      <w:pPr>
        <w:pStyle w:val="BodyText"/>
      </w:pPr>
      <w:hyperlink r:id="rId27">
        <w:r>
          <w:rPr>
            <w:rStyle w:val="Hyperlink"/>
          </w:rPr>
          <w:t xml:space="preserve">https://www.ncei.noaa.gov/products/land-based-station/station-histories</w:t>
        </w:r>
      </w:hyperlink>
    </w:p>
    <w:p>
      <w:pPr>
        <w:pStyle w:val="BodyText"/>
      </w:pPr>
      <w:hyperlink r:id="rId28">
        <w:r>
          <w:rPr>
            <w:rStyle w:val="Hyperlink"/>
          </w:rPr>
          <w:t xml:space="preserve">[12]</w:t>
        </w:r>
      </w:hyperlink>
      <w:r>
        <w:t xml:space="preserve"> </w:t>
      </w:r>
      <w:r>
        <w:t xml:space="preserve">https://mesonet.agron.iastate.edu/ASOS/</w:t>
      </w:r>
    </w:p>
    <w:p>
      <w:pPr>
        <w:pStyle w:val="BodyText"/>
      </w:pPr>
      <w:hyperlink r:id="rId28">
        <w:r>
          <w:rPr>
            <w:rStyle w:val="Hyperlink"/>
          </w:rPr>
          <w:t xml:space="preserve">https://mesonet.agron.iastate.edu/ASOS/</w:t>
        </w:r>
      </w:hyperlink>
    </w:p>
    <w:p>
      <w:pPr>
        <w:pStyle w:val="BodyText"/>
      </w:pPr>
      <w:hyperlink r:id="rId30">
        <w:r>
          <w:rPr>
            <w:rStyle w:val="Hyperlink"/>
          </w:rPr>
          <w:t xml:space="preserve">[13]</w:t>
        </w:r>
      </w:hyperlink>
      <w:r>
        <w:t xml:space="preserve"> </w:t>
      </w:r>
      <w:r>
        <w:t xml:space="preserve">METAR</w:t>
      </w:r>
      <w:r>
        <w:t xml:space="preserve"> </w:t>
      </w:r>
    </w:p>
    <w:p>
      <w:pPr>
        <w:pStyle w:val="BodyText"/>
      </w:pPr>
      <w:hyperlink r:id="rId30">
        <w:r>
          <w:rPr>
            <w:rStyle w:val="Hyperlink"/>
          </w:rPr>
          <w:t xml:space="preserve">https://www.weather.gov/asos/METAR.html</w:t>
        </w:r>
      </w:hyperlink>
    </w:p>
    <w:p>
      <w:pPr>
        <w:pStyle w:val="BodyText"/>
      </w:pPr>
      <w:hyperlink r:id="rId31">
        <w:r>
          <w:rPr>
            <w:rStyle w:val="Hyperlink"/>
          </w:rPr>
          <w:t xml:space="preserve">[14]</w:t>
        </w:r>
      </w:hyperlink>
      <w:r>
        <w:t xml:space="preserve"> </w:t>
      </w:r>
      <w:r>
        <w:t xml:space="preserve">https://aviationweather.gov/help/data/</w:t>
      </w:r>
    </w:p>
    <w:p>
      <w:pPr>
        <w:pStyle w:val="BodyText"/>
      </w:pPr>
      <w:hyperlink r:id="rId31">
        <w:r>
          <w:rPr>
            <w:rStyle w:val="Hyperlink"/>
          </w:rPr>
          <w:t xml:space="preserve">https://aviationweather.gov/help/data/</w:t>
        </w:r>
      </w:hyperlink>
    </w:p>
    <w:p>
      <w:pPr>
        <w:pStyle w:val="BodyText"/>
      </w:pPr>
      <w:hyperlink r:id="rId32">
        <w:r>
          <w:rPr>
            <w:rStyle w:val="Hyperlink"/>
          </w:rPr>
          <w:t xml:space="preserve">[16]</w:t>
        </w:r>
      </w:hyperlink>
      <w:r>
        <w:t xml:space="preserve"> </w:t>
      </w:r>
      <w:hyperlink r:id="rId32">
        <w:r>
          <w:rPr>
            <w:rStyle w:val="Hyperlink"/>
          </w:rPr>
          <w:t xml:space="preserve">[19]</w:t>
        </w:r>
      </w:hyperlink>
      <w:r>
        <w:t xml:space="preserve"> </w:t>
      </w:r>
      <w:r>
        <w:t xml:space="preserve">cs.cornell.edu</w:t>
      </w:r>
    </w:p>
    <w:p>
      <w:pPr>
        <w:pStyle w:val="BodyText"/>
      </w:pPr>
      <w:hyperlink r:id="rId32">
        <w:r>
          <w:rPr>
            <w:rStyle w:val="Hyperlink"/>
          </w:rPr>
          <w:t xml:space="preserve">https://www.cs.cornell.edu/~alexn/papers/calibration.icml05.crc.rev3.pdf</w:t>
        </w:r>
      </w:hyperlink>
    </w:p>
    <w:p>
      <w:pPr>
        <w:pStyle w:val="BodyText"/>
      </w:pPr>
      <w:hyperlink r:id="rId34">
        <w:r>
          <w:rPr>
            <w:rStyle w:val="Hyperlink"/>
          </w:rPr>
          <w:t xml:space="preserve">[20]</w:t>
        </w:r>
      </w:hyperlink>
      <w:r>
        <w:t xml:space="preserve"> </w:t>
      </w:r>
      <w:r>
        <w:t xml:space="preserve">proceedings.mlr.press</w:t>
      </w:r>
    </w:p>
    <w:p>
      <w:pPr>
        <w:pStyle w:val="BodyText"/>
      </w:pPr>
      <w:hyperlink r:id="rId34">
        <w:r>
          <w:rPr>
            <w:rStyle w:val="Hyperlink"/>
          </w:rPr>
          <w:t xml:space="preserve">https://proceedings.mlr.press/v139/xu21h/xu21h.pdf</w:t>
        </w:r>
      </w:hyperlink>
    </w:p>
    <w:p>
      <w:pPr>
        <w:pStyle w:val="BodyText"/>
      </w:pPr>
      <w:hyperlink r:id="rId35">
        <w:r>
          <w:rPr>
            <w:rStyle w:val="Hyperlink"/>
          </w:rPr>
          <w:t xml:space="preserve">[21]</w:t>
        </w:r>
      </w:hyperlink>
      <w:r>
        <w:t xml:space="preserve"> </w:t>
      </w:r>
      <w:r>
        <w:t xml:space="preserve">Evaluating time series forecasting models: an empirical study on performance estimation methods</w:t>
      </w:r>
    </w:p>
    <w:p>
      <w:pPr>
        <w:pStyle w:val="BodyText"/>
      </w:pPr>
      <w:hyperlink r:id="rId35">
        <w:r>
          <w:rPr>
            <w:rStyle w:val="Hyperlink"/>
          </w:rPr>
          <w:t xml:space="preserve">https://kt.ijs.si/igor_mozetic/papers/CerTorMoz-TimeSer-MACH-20.pdf</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viationweather.gov/data/api/" TargetMode="External" /><Relationship Type="http://schemas.openxmlformats.org/officeDocument/2006/relationships/hyperlink" Id="rId31" Target="https://aviationweather.gov/help/data/" TargetMode="External" /><Relationship Type="http://schemas.openxmlformats.org/officeDocument/2006/relationships/hyperlink" Id="rId21" Target="https://help.kalshi.com/en/articles/13823837-weather-markets" TargetMode="External" /><Relationship Type="http://schemas.openxmlformats.org/officeDocument/2006/relationships/hyperlink" Id="rId35" Target="https://kt.ijs.si/igor_mozetic/papers/CerTorMoz-TimeSer-MACH-20.pdf" TargetMode="External" /><Relationship Type="http://schemas.openxmlformats.org/officeDocument/2006/relationships/hyperlink" Id="rId28" Target="https://mesonet.agron.iastate.edu/ASOS/" TargetMode="External" /><Relationship Type="http://schemas.openxmlformats.org/officeDocument/2006/relationships/hyperlink" Id="rId34" Target="https://proceedings.mlr.press/v139/xu21h/xu21h.pdf" TargetMode="External" /><Relationship Type="http://schemas.openxmlformats.org/officeDocument/2006/relationships/hyperlink" Id="rId25" Target="https://sites.stat.washington.edu/raftery/Research/PDF/Gneiting2007jasa.pdf" TargetMode="External" /><Relationship Type="http://schemas.openxmlformats.org/officeDocument/2006/relationships/hyperlink" Id="rId32" Target="https://www.cs.cornell.edu/~alexn/papers/calibration.icml05.crc.rev3.pdf" TargetMode="External" /><Relationship Type="http://schemas.openxmlformats.org/officeDocument/2006/relationships/hyperlink" Id="rId23" Target="https://www.faa.gov/documentLibrary/media/Order/7900_5D.pdf" TargetMode="External" /><Relationship Type="http://schemas.openxmlformats.org/officeDocument/2006/relationships/hyperlink" Id="rId27" Target="https://www.ncei.noaa.gov/products/land-based-station/station-histories" TargetMode="External" /><Relationship Type="http://schemas.openxmlformats.org/officeDocument/2006/relationships/hyperlink" Id="rId30" Target="https://www.weather.gov/asos/METAR.html" TargetMode="External" /><Relationship Type="http://schemas.openxmlformats.org/officeDocument/2006/relationships/hyperlink" Id="rId22" Target="https://www.weather.gov/okx/centralparkhistorical" TargetMode="External" /></Relationships>
</file>

<file path=word/_rels/footnotes.xml.rels><?xml version="1.0" encoding="UTF-8"?><Relationships xmlns="http://schemas.openxmlformats.org/package/2006/relationships"><Relationship Type="http://schemas.openxmlformats.org/officeDocument/2006/relationships/hyperlink" Id="rId24" Target="https://aviationweather.gov/data/api/" TargetMode="External" /><Relationship Type="http://schemas.openxmlformats.org/officeDocument/2006/relationships/hyperlink" Id="rId31" Target="https://aviationweather.gov/help/data/" TargetMode="External" /><Relationship Type="http://schemas.openxmlformats.org/officeDocument/2006/relationships/hyperlink" Id="rId21" Target="https://help.kalshi.com/en/articles/13823837-weather-markets" TargetMode="External" /><Relationship Type="http://schemas.openxmlformats.org/officeDocument/2006/relationships/hyperlink" Id="rId35" Target="https://kt.ijs.si/igor_mozetic/papers/CerTorMoz-TimeSer-MACH-20.pdf" TargetMode="External" /><Relationship Type="http://schemas.openxmlformats.org/officeDocument/2006/relationships/hyperlink" Id="rId28" Target="https://mesonet.agron.iastate.edu/ASOS/" TargetMode="External" /><Relationship Type="http://schemas.openxmlformats.org/officeDocument/2006/relationships/hyperlink" Id="rId34" Target="https://proceedings.mlr.press/v139/xu21h/xu21h.pdf" TargetMode="External" /><Relationship Type="http://schemas.openxmlformats.org/officeDocument/2006/relationships/hyperlink" Id="rId25" Target="https://sites.stat.washington.edu/raftery/Research/PDF/Gneiting2007jasa.pdf" TargetMode="External" /><Relationship Type="http://schemas.openxmlformats.org/officeDocument/2006/relationships/hyperlink" Id="rId32" Target="https://www.cs.cornell.edu/~alexn/papers/calibration.icml05.crc.rev3.pdf" TargetMode="External" /><Relationship Type="http://schemas.openxmlformats.org/officeDocument/2006/relationships/hyperlink" Id="rId23" Target="https://www.faa.gov/documentLibrary/media/Order/7900_5D.pdf" TargetMode="External" /><Relationship Type="http://schemas.openxmlformats.org/officeDocument/2006/relationships/hyperlink" Id="rId27" Target="https://www.ncei.noaa.gov/products/land-based-station/station-histories" TargetMode="External" /><Relationship Type="http://schemas.openxmlformats.org/officeDocument/2006/relationships/hyperlink" Id="rId30" Target="https://www.weather.gov/asos/METAR.html" TargetMode="External" /><Relationship Type="http://schemas.openxmlformats.org/officeDocument/2006/relationships/hyperlink" Id="rId22" Target="https://www.weather.gov/okx/centralparkhistoric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2026-04-16T16:59:29Z</dcterms:created>
  <dcterms:modified xsi:type="dcterms:W3CDTF">2026-04-16T16:59:29Z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