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c93a73f509ee45d05469e03a9d0c385c7c651c0"/>
    <w:p>
      <w:pPr>
        <w:pStyle w:val="Heading1"/>
      </w:pPr>
      <w:r>
        <w:t xml:space="preserve">Designing a Probability-Driven Trading Bot: From $10 to Meaningful Outcomes</w:t>
      </w:r>
    </w:p>
    <w:bookmarkStart w:id="25" w:name="Xe01ec34efd4b85fd30c0c3aabea9e2fb581bd0a"/>
    <w:p>
      <w:pPr>
        <w:pStyle w:val="Heading2"/>
      </w:pPr>
      <w:r>
        <w:t xml:space="preserve">What “highest probability path” can and cannot mean</w:t>
      </w:r>
    </w:p>
    <w:p>
      <w:pPr>
        <w:pStyle w:val="FirstParagraph"/>
      </w:pPr>
      <w:r>
        <w:t xml:space="preserve">A “highest probability” plan is only well-defined after two choices are fixed:</w:t>
      </w:r>
    </w:p>
    <w:p>
      <w:pPr>
        <w:pStyle w:val="BodyText"/>
      </w:pPr>
      <w:r>
        <w:t xml:space="preserve">A plan must define the</w:t>
      </w:r>
      <w:r>
        <w:t xml:space="preserve"> </w:t>
      </w:r>
      <w:r>
        <w:rPr>
          <w:b/>
          <w:bCs/>
        </w:rPr>
        <w:t xml:space="preserve">failure condition</w:t>
      </w:r>
      <w:r>
        <w:t xml:space="preserve"> </w:t>
      </w:r>
      <w:r>
        <w:t xml:space="preserve">(for example: “account hits $0,” “drawdown exceeds 30%,” or “I stop after 5,000 trades”) and the</w:t>
      </w:r>
      <w:r>
        <w:t xml:space="preserve"> </w:t>
      </w:r>
      <w:r>
        <w:rPr>
          <w:b/>
          <w:bCs/>
        </w:rPr>
        <w:t xml:space="preserve">success condition</w:t>
      </w:r>
      <w:r>
        <w:t xml:space="preserve"> </w:t>
      </w:r>
      <w:r>
        <w:t xml:space="preserve">(for example: “reach $1,000,” “reach $10,000,” or “lock in $2,000 of withdrawals”). In classical models, these are treated as</w:t>
      </w:r>
      <w:r>
        <w:t xml:space="preserve"> </w:t>
      </w:r>
      <w:r>
        <w:rPr>
          <w:b/>
          <w:bCs/>
        </w:rPr>
        <w:t xml:space="preserve">hitting probabilities</w:t>
      </w:r>
      <w:r>
        <w:t xml:space="preserve">: the probability a stochastic process reaches an upper boundary (goal) before a lower boundary (ruin / stop).</w:t>
      </w:r>
      <w:r>
        <w:t xml:space="preserve"> </w:t>
      </w:r>
      <w:hyperlink r:id="rId21">
        <w:r>
          <w:rPr>
            <w:rStyle w:val="Hyperlink"/>
          </w:rPr>
          <w:t xml:space="preserve">[1]</w:t>
        </w:r>
      </w:hyperlink>
    </w:p>
    <w:p>
      <w:pPr>
        <w:pStyle w:val="BodyText"/>
      </w:pPr>
      <w:r>
        <w:t xml:space="preserve">The biggest non-negotiable constraint is this:</w:t>
      </w:r>
    </w:p>
    <w:p>
      <w:pPr>
        <w:pStyle w:val="BodyText"/>
      </w:pPr>
      <w:r>
        <w:t xml:space="preserve">If your “edge” is</w:t>
      </w:r>
      <w:r>
        <w:t xml:space="preserve"> </w:t>
      </w:r>
      <w:r>
        <w:rPr>
          <w:b/>
          <w:bCs/>
        </w:rPr>
        <w:t xml:space="preserve">not positive</w:t>
      </w:r>
      <w:r>
        <w:t xml:space="preserve"> </w:t>
      </w:r>
      <w:r>
        <w:t xml:space="preserve">(expected value after costs is ≤ 0), then</w:t>
      </w:r>
      <w:r>
        <w:t xml:space="preserve"> </w:t>
      </w:r>
      <w:r>
        <w:rPr>
          <w:b/>
          <w:bCs/>
        </w:rPr>
        <w:t xml:space="preserve">no staking scheme</w:t>
      </w:r>
      <w:r>
        <w:t xml:space="preserve"> </w:t>
      </w:r>
      <w:r>
        <w:t xml:space="preserve">(doubling, stop rules, “only trade when…”) can turn that into a reliably winning money machine in expectation. This is the practical meaning of optional stopping results for martingales: in a fair or unfavorable game, clever stopping/bet-sizing does not change the fundamental fairness/unfairness in expectation under standard real-world constraints (finite bankroll, bounded bets, finite time).</w:t>
      </w:r>
      <w:r>
        <w:t xml:space="preserve"> </w:t>
      </w:r>
      <w:hyperlink r:id="rId22">
        <w:r>
          <w:rPr>
            <w:rStyle w:val="Hyperlink"/>
          </w:rPr>
          <w:t xml:space="preserve">[2]</w:t>
        </w:r>
      </w:hyperlink>
    </w:p>
    <w:p>
      <w:pPr>
        <w:pStyle w:val="BodyText"/>
      </w:pPr>
      <w:r>
        <w:t xml:space="preserve">So the mathematical foundations for your bot’s payout goals need to be built around two primitives:</w:t>
      </w:r>
    </w:p>
    <w:p>
      <w:pPr>
        <w:pStyle w:val="Compact"/>
        <w:numPr>
          <w:ilvl w:val="0"/>
          <w:numId w:val="1001"/>
        </w:numPr>
      </w:pPr>
      <w:r>
        <w:rPr>
          <w:b/>
          <w:bCs/>
        </w:rPr>
        <w:t xml:space="preserve">Edge</w:t>
      </w:r>
      <w:r>
        <w:t xml:space="preserve"> </w:t>
      </w:r>
      <w:r>
        <w:t xml:space="preserve">(whatever your bot predicts, after slippage/fees): a distribution of outcomes with a true positive drift.</w:t>
      </w:r>
      <w:r>
        <w:t xml:space="preserve"> </w:t>
      </w:r>
      <w:hyperlink r:id="rId23">
        <w:r>
          <w:rPr>
            <w:rStyle w:val="Hyperlink"/>
          </w:rPr>
          <w:t xml:space="preserve">[3]</w:t>
        </w:r>
      </w:hyperlink>
    </w:p>
    <w:p>
      <w:pPr>
        <w:pStyle w:val="Compact"/>
        <w:numPr>
          <w:ilvl w:val="0"/>
          <w:numId w:val="1001"/>
        </w:numPr>
      </w:pPr>
      <w:r>
        <w:rPr>
          <w:b/>
          <w:bCs/>
        </w:rPr>
        <w:t xml:space="preserve">Risk budget / position sizing</w:t>
      </w:r>
      <w:r>
        <w:t xml:space="preserve">: a rule that converts edge + uncertainty into a bet size that keeps your “ruin probability” and drawdowns inside acceptable bounds.</w:t>
      </w:r>
      <w:r>
        <w:t xml:space="preserve"> </w:t>
      </w:r>
      <w:hyperlink r:id="rId24">
        <w:r>
          <w:rPr>
            <w:rStyle w:val="Hyperlink"/>
          </w:rPr>
          <w:t xml:space="preserve">[4]</w:t>
        </w:r>
      </w:hyperlink>
    </w:p>
    <w:p>
      <w:pPr>
        <w:pStyle w:val="FirstParagraph"/>
      </w:pPr>
      <w:r>
        <w:t xml:space="preserve">Without (1), the “highest probability path” to a “life-improving” sum from $10 is, bluntly,</w:t>
      </w:r>
      <w:r>
        <w:t xml:space="preserve"> </w:t>
      </w:r>
      <w:r>
        <w:rPr>
          <w:b/>
          <w:bCs/>
        </w:rPr>
        <w:t xml:space="preserve">still close to zero</w:t>
      </w:r>
      <w:r>
        <w:t xml:space="preserve"> </w:t>
      </w:r>
      <w:r>
        <w:t xml:space="preserve">for any large target (and tends toward eventual ruin if you keep playing).</w:t>
      </w:r>
      <w:r>
        <w:t xml:space="preserve"> </w:t>
      </w:r>
      <w:hyperlink r:id="rId21">
        <w:r>
          <w:rPr>
            <w:rStyle w:val="Hyperlink"/>
          </w:rPr>
          <w:t xml:space="preserve">[5]</w:t>
        </w:r>
      </w:hyperlink>
    </w:p>
    <w:bookmarkEnd w:id="25"/>
    <w:bookmarkStart w:id="28" w:name="Xf16ef62b5150842e9d16cf182ca5579b67bbc98"/>
    <w:p>
      <w:pPr>
        <w:pStyle w:val="Heading2"/>
      </w:pPr>
      <w:r>
        <w:t xml:space="preserve">Why “double the bet until you win” fails as a foundation</w:t>
      </w:r>
    </w:p>
    <w:p>
      <w:pPr>
        <w:pStyle w:val="FirstParagraph"/>
      </w:pPr>
      <w:r>
        <w:t xml:space="preserve">The popular “bet double each time and you’ll get rich” idea is essentially a martingale-like doubling system. Its theoretical “guarantee” relies on assumptions that do</w:t>
      </w:r>
      <w:r>
        <w:t xml:space="preserve"> </w:t>
      </w:r>
      <w:r>
        <w:rPr>
          <w:b/>
          <w:bCs/>
        </w:rPr>
        <w:t xml:space="preserve">not</w:t>
      </w:r>
      <w:r>
        <w:t xml:space="preserve"> </w:t>
      </w:r>
      <w:r>
        <w:t xml:space="preserve">hold in any real deployment:</w:t>
      </w:r>
    </w:p>
    <w:p>
      <w:pPr>
        <w:pStyle w:val="Compact"/>
        <w:numPr>
          <w:ilvl w:val="0"/>
          <w:numId w:val="1002"/>
        </w:numPr>
      </w:pPr>
      <w:r>
        <w:t xml:space="preserve">Infinite bankroll (you can keep doubling forever).</w:t>
      </w:r>
    </w:p>
    <w:p>
      <w:pPr>
        <w:pStyle w:val="Compact"/>
        <w:numPr>
          <w:ilvl w:val="0"/>
          <w:numId w:val="1002"/>
        </w:numPr>
      </w:pPr>
      <w:r>
        <w:t xml:space="preserve">No bet size limits and no margin constraints.</w:t>
      </w:r>
    </w:p>
    <w:p>
      <w:pPr>
        <w:pStyle w:val="Compact"/>
        <w:numPr>
          <w:ilvl w:val="0"/>
          <w:numId w:val="1002"/>
        </w:numPr>
      </w:pPr>
      <w:r>
        <w:t xml:space="preserve">No time limits and no execution constraints.</w:t>
      </w:r>
      <w:r>
        <w:t xml:space="preserve"> </w:t>
      </w:r>
      <w:hyperlink r:id="rId26">
        <w:r>
          <w:rPr>
            <w:rStyle w:val="Hyperlink"/>
          </w:rPr>
          <w:t xml:space="preserve">[6]</w:t>
        </w:r>
      </w:hyperlink>
    </w:p>
    <w:p>
      <w:pPr>
        <w:pStyle w:val="FirstParagraph"/>
      </w:pPr>
      <w:r>
        <w:t xml:space="preserve">Once those are relaxed (finite bankroll; bounded bet size; real markets), these systems concentrate probability mass into “many small wins” and “rare catastrophic loss,” and the catastrophic loss dominates long-run survivability. This is a direct consequence of the same “stopped martingale stays fair” logic: you can reshape the distribution, but you do not manufacture a positive edge.</w:t>
      </w:r>
      <w:r>
        <w:t xml:space="preserve"> </w:t>
      </w:r>
      <w:hyperlink r:id="rId22">
        <w:r>
          <w:rPr>
            <w:rStyle w:val="Hyperlink"/>
          </w:rPr>
          <w:t xml:space="preserve">[2]</w:t>
        </w:r>
      </w:hyperlink>
    </w:p>
    <w:p>
      <w:pPr>
        <w:pStyle w:val="BodyText"/>
      </w:pPr>
      <w:r>
        <w:t xml:space="preserve">A closely related pitfall is optimizing the</w:t>
      </w:r>
      <w:r>
        <w:t xml:space="preserve"> </w:t>
      </w:r>
      <w:r>
        <w:rPr>
          <w:b/>
          <w:bCs/>
        </w:rPr>
        <w:t xml:space="preserve">expected value of wealth</w:t>
      </w:r>
      <w:r>
        <w:t xml:space="preserve"> </w:t>
      </w:r>
      <w:r>
        <w:t xml:space="preserve">(or a backtest’s average return) without controlling the probability of going broke. John L. Kelly Jr.</w:t>
      </w:r>
      <w:hyperlink r:id="rId21">
        <w:r>
          <w:rPr>
            <w:rStyle w:val="Hyperlink"/>
          </w:rPr>
          <w:t xml:space="preserve">[7]</w:t>
        </w:r>
      </w:hyperlink>
      <w:r>
        <w:t xml:space="preserve"> </w:t>
      </w:r>
      <w:r>
        <w:t xml:space="preserve">explicitly points out a version of this: betting “too much” can maximize expected wealth while still leading to being broke with probability one in the long run in the stylized repeated-bet setting, motivating</w:t>
      </w:r>
      <w:r>
        <w:t xml:space="preserve"> </w:t>
      </w:r>
      <w:r>
        <w:rPr>
          <w:b/>
          <w:bCs/>
        </w:rPr>
        <w:t xml:space="preserve">fractional betting</w:t>
      </w:r>
      <w:r>
        <w:t xml:space="preserve"> </w:t>
      </w:r>
      <w:r>
        <w:t xml:space="preserve">to maximize the long-run exponential growth rate instead.</w:t>
      </w:r>
      <w:r>
        <w:t xml:space="preserve"> </w:t>
      </w:r>
      <w:hyperlink r:id="rId24">
        <w:r>
          <w:rPr>
            <w:rStyle w:val="Hyperlink"/>
          </w:rPr>
          <w:t xml:space="preserve">[8]</w:t>
        </w:r>
      </w:hyperlink>
    </w:p>
    <w:p>
      <w:pPr>
        <w:pStyle w:val="BodyText"/>
      </w:pPr>
      <w:r>
        <w:t xml:space="preserve">In real trading, leverage and margin add another failure mode: losses can exceed the initial capital if leverage is used, which makes “doubling down” even more fragile. Regulators repeatedly warn that day trading and leveraged strategies can result in rapid and substantial losses and, in some cases, losses beyond the initial investment.</w:t>
      </w:r>
      <w:r>
        <w:t xml:space="preserve"> </w:t>
      </w:r>
      <w:hyperlink r:id="rId27">
        <w:r>
          <w:rPr>
            <w:rStyle w:val="Hyperlink"/>
          </w:rPr>
          <w:t xml:space="preserve">[9]</w:t>
        </w:r>
      </w:hyperlink>
    </w:p>
    <w:bookmarkEnd w:id="28"/>
    <w:bookmarkStart w:id="34" w:name="X949397b86f71bdc39aecf095dc0a86401551c23"/>
    <w:p>
      <w:pPr>
        <w:pStyle w:val="Heading2"/>
      </w:pPr>
      <w:r>
        <w:t xml:space="preserve">The mathematical core you can safely build payout goals on</w:t>
      </w:r>
    </w:p>
    <w:p>
      <w:pPr>
        <w:pStyle w:val="FirstParagraph"/>
      </w:pPr>
      <w:r>
        <w:t xml:space="preserve">A workable foundation has three layers: (a) a minimal outcome model, (b) a sizing rule, and (c) a goal/withdrawal policy.</w:t>
      </w:r>
    </w:p>
    <w:bookmarkStart w:id="29" w:name="a-minimal-per-trade-model"/>
    <w:p>
      <w:pPr>
        <w:pStyle w:val="Heading3"/>
      </w:pPr>
      <w:r>
        <w:t xml:space="preserve">A minimal per-trade model</w:t>
      </w:r>
    </w:p>
    <w:p>
      <w:pPr>
        <w:pStyle w:val="FirstParagraph"/>
      </w:pPr>
      <w:r>
        <w:t xml:space="preserve">A clean “first architecture” model for probability-path planning treats each trade as:</w:t>
      </w:r>
    </w:p>
    <w:p>
      <w:pPr>
        <w:pStyle w:val="Compact"/>
        <w:numPr>
          <w:ilvl w:val="0"/>
          <w:numId w:val="1003"/>
        </w:numPr>
      </w:pPr>
      <w:r>
        <w:t xml:space="preserve">Win with probability</w:t>
      </w:r>
      <w:r>
        <w:t xml:space="preserve"> </w:t>
      </w:r>
      <m:oMath>
        <m:r>
          <m:t>p</m:t>
        </m:r>
      </m:oMath>
      <w:r>
        <w:t xml:space="preserve">, lose with probability</w:t>
      </w:r>
      <w:r>
        <w:t xml:space="preserve"> </w:t>
      </w:r>
      <m:oMath>
        <m:r>
          <m:t>1</m:t>
        </m:r>
        <m:r>
          <m:rPr>
            <m:sty m:val="p"/>
          </m:rPr>
          <m:t>−</m:t>
        </m:r>
        <m:r>
          <m:t>p</m:t>
        </m:r>
      </m:oMath>
      <w:r>
        <w:t xml:space="preserve">.</w:t>
      </w:r>
    </w:p>
    <w:p>
      <w:pPr>
        <w:pStyle w:val="Compact"/>
        <w:numPr>
          <w:ilvl w:val="0"/>
          <w:numId w:val="1003"/>
        </w:numPr>
      </w:pPr>
      <w:r>
        <w:t xml:space="preserve">If you</w:t>
      </w:r>
      <w:r>
        <w:t xml:space="preserve"> </w:t>
      </w:r>
      <w:r>
        <w:rPr>
          <w:b/>
          <w:bCs/>
        </w:rPr>
        <w:t xml:space="preserve">risk</w:t>
      </w:r>
      <w:r>
        <w:t xml:space="preserve"> </w:t>
      </w:r>
      <w:r>
        <w:t xml:space="preserve">a known amount (say $10), a win increases your bankroll by $10 and a loss decreases it by $10 (a ±1 step random walk in $10 units).</w:t>
      </w:r>
      <w:r>
        <w:t xml:space="preserve"> </w:t>
      </w:r>
      <w:hyperlink r:id="rId21">
        <w:r>
          <w:rPr>
            <w:rStyle w:val="Hyperlink"/>
          </w:rPr>
          <w:t xml:space="preserve">[10]</w:t>
        </w:r>
      </w:hyperlink>
    </w:p>
    <w:p>
      <w:pPr>
        <w:pStyle w:val="FirstParagraph"/>
      </w:pPr>
      <w:r>
        <w:t xml:space="preserve">This is not “how markets truly work,” but it is extremely useful because it produces</w:t>
      </w:r>
      <w:r>
        <w:t xml:space="preserve"> </w:t>
      </w:r>
      <w:r>
        <w:rPr>
          <w:b/>
          <w:bCs/>
        </w:rPr>
        <w:t xml:space="preserve">closed-form</w:t>
      </w:r>
      <w:r>
        <w:t xml:space="preserve"> </w:t>
      </w:r>
      <w:r>
        <w:t xml:space="preserve">milestone probabilities (so you can define payout goals precisely).</w:t>
      </w:r>
    </w:p>
    <w:bookmarkEnd w:id="29"/>
    <w:bookmarkStart w:id="30" w:name="Xa838cf8fdea626da95da3b57cb757052e0933c0"/>
    <w:p>
      <w:pPr>
        <w:pStyle w:val="Heading3"/>
      </w:pPr>
      <w:r>
        <w:t xml:space="preserve">Hitting probability (reach goal before ruin)</w:t>
      </w:r>
    </w:p>
    <w:p>
      <w:pPr>
        <w:pStyle w:val="FirstParagraph"/>
      </w:pPr>
      <w:r>
        <w:t xml:space="preserve">Under the standard gambler’s ruin setup (step +1 with prob</w:t>
      </w:r>
      <w:r>
        <w:t xml:space="preserve"> </w:t>
      </w:r>
      <m:oMath>
        <m:r>
          <m:t>p</m:t>
        </m:r>
      </m:oMath>
      <w:r>
        <w:t xml:space="preserve">, step −1 with prob</w:t>
      </w:r>
      <w:r>
        <w:t xml:space="preserve"> </w:t>
      </w:r>
      <m:oMath>
        <m:r>
          <m:t>q</m:t>
        </m:r>
        <m:r>
          <m:rPr>
            <m:sty m:val="p"/>
          </m:rPr>
          <m:t>=</m:t>
        </m:r>
        <m:r>
          <m:t>1</m:t>
        </m:r>
        <m:r>
          <m:rPr>
            <m:sty m:val="p"/>
          </m:rPr>
          <m:t>−</m:t>
        </m:r>
        <m:r>
          <m:t>p</m:t>
        </m:r>
      </m:oMath>
      <w:r>
        <w:t xml:space="preserve">, absorbing at 0 and</w:t>
      </w:r>
      <w:r>
        <w:t xml:space="preserve"> </w:t>
      </w:r>
      <m:oMath>
        <m:r>
          <m:t>N</m:t>
        </m:r>
      </m:oMath>
      <w:r>
        <w:t xml:space="preserve">), the probability of reaching</w:t>
      </w:r>
      <w:r>
        <w:t xml:space="preserve"> </w:t>
      </w:r>
      <m:oMath>
        <m:r>
          <m:t>N</m:t>
        </m:r>
      </m:oMath>
      <w:r>
        <w:t xml:space="preserve"> </w:t>
      </w:r>
      <w:r>
        <w:t xml:space="preserve">before 0 starting from</w:t>
      </w:r>
      <w:r>
        <w:t xml:space="preserve"> </w:t>
      </w:r>
      <m:oMath>
        <m:r>
          <m:t>i</m:t>
        </m:r>
      </m:oMath>
      <w:r>
        <w:t xml:space="preserve"> </w:t>
      </w:r>
      <w:r>
        <w:t xml:space="preserve">is:</w:t>
      </w:r>
      <w:r>
        <w:t xml:space="preserve"> </w:t>
      </w:r>
      <w:hyperlink r:id="rId21">
        <w:r>
          <w:rPr>
            <w:rStyle w:val="Hyperlink"/>
          </w:rPr>
          <w:t xml:space="preserve">[11]</w:t>
        </w:r>
      </w:hyperlink>
    </w:p>
    <w:p>
      <w:pPr>
        <w:pStyle w:val="Compact"/>
        <w:numPr>
          <w:ilvl w:val="0"/>
          <w:numId w:val="1004"/>
        </w:numPr>
      </w:pPr>
      <w:r>
        <w:t xml:space="preserve">If</w:t>
      </w:r>
      <w:r>
        <w:t xml:space="preserve"> </w:t>
      </w:r>
      <m:oMath>
        <m:r>
          <m:t>p</m:t>
        </m:r>
        <m:r>
          <m:rPr>
            <m:sty m:val="p"/>
          </m:rPr>
          <m:t>≠</m:t>
        </m:r>
        <m:r>
          <m:t>0.5</m:t>
        </m:r>
      </m:oMath>
      <w:r>
        <w:t xml:space="preserve">:</w:t>
      </w:r>
      <w:r>
        <w:br/>
      </w:r>
    </w:p>
    <w:p>
      <w:pPr>
        <w:pStyle w:val="Compact"/>
        <w:numPr>
          <w:ilvl w:val="0"/>
          <w:numId w:val="1000"/>
        </w:numPr>
      </w:pPr>
      <m:oMathPara>
        <m:oMathParaPr>
          <m:jc m:val="center"/>
        </m:oMathParaPr>
        <m:oMath>
          <m:r>
            <m:t>P</m:t>
          </m:r>
          <m:d>
            <m:dPr>
              <m:begChr m:val="("/>
              <m:sepChr m:val=""/>
              <m:endChr m:val=")"/>
              <m:grow/>
            </m:dPr>
            <m:e>
              <m:r>
                <m:rPr>
                  <m:nor/>
                  <m:sty m:val="p"/>
                </m:rPr>
                <m:t>hit </m:t>
              </m:r>
              <m:r>
                <m:t>N</m:t>
              </m:r>
              <m:r>
                <m:rPr>
                  <m:nor/>
                  <m:sty m:val="p"/>
                </m:rPr>
                <m:t> before </m:t>
              </m:r>
              <m:r>
                <m:t>0</m:t>
              </m:r>
              <m:r>
                <m:rPr>
                  <m:sty m:val="p"/>
                </m:rPr>
                <m:t>∣</m:t>
              </m:r>
              <m:r>
                <m:t>i</m:t>
              </m:r>
            </m:e>
          </m:d>
          <m:r>
            <m:rPr>
              <m:sty m:val="p"/>
            </m:rPr>
            <m:t>=</m:t>
          </m:r>
          <m:f>
            <m:fPr>
              <m:type m:val="bar"/>
            </m:fPr>
            <m:num>
              <m:r>
                <m:t>1</m:t>
              </m:r>
              <m:r>
                <m:rPr>
                  <m:sty m:val="p"/>
                </m:rPr>
                <m:t>−</m:t>
              </m:r>
              <m:sSup>
                <m:e>
                  <m:d>
                    <m:dPr>
                      <m:begChr m:val="("/>
                      <m:sepChr m:val=""/>
                      <m:endChr m:val=")"/>
                      <m:grow/>
                    </m:dPr>
                    <m:e>
                      <m:r>
                        <m:t>q</m:t>
                      </m:r>
                      <m:r>
                        <m:rPr>
                          <m:sty m:val="p"/>
                        </m:rPr>
                        <m:t>/</m:t>
                      </m:r>
                      <m:r>
                        <m:t>p</m:t>
                      </m:r>
                    </m:e>
                  </m:d>
                </m:e>
                <m:sup>
                  <m:r>
                    <m:t>i</m:t>
                  </m:r>
                </m:sup>
              </m:sSup>
            </m:num>
            <m:den>
              <m:r>
                <m:t>1</m:t>
              </m:r>
              <m:r>
                <m:rPr>
                  <m:sty m:val="p"/>
                </m:rPr>
                <m:t>−</m:t>
              </m:r>
              <m:sSup>
                <m:e>
                  <m:d>
                    <m:dPr>
                      <m:begChr m:val="("/>
                      <m:sepChr m:val=""/>
                      <m:endChr m:val=")"/>
                      <m:grow/>
                    </m:dPr>
                    <m:e>
                      <m:r>
                        <m:t>q</m:t>
                      </m:r>
                      <m:r>
                        <m:rPr>
                          <m:sty m:val="p"/>
                        </m:rPr>
                        <m:t>/</m:t>
                      </m:r>
                      <m:r>
                        <m:t>p</m:t>
                      </m:r>
                    </m:e>
                  </m:d>
                </m:e>
                <m:sup>
                  <m:r>
                    <m:t>N</m:t>
                  </m:r>
                </m:sup>
              </m:sSup>
            </m:den>
          </m:f>
        </m:oMath>
      </m:oMathPara>
    </w:p>
    <w:p>
      <w:pPr>
        <w:pStyle w:val="Compact"/>
        <w:numPr>
          <w:ilvl w:val="0"/>
          <w:numId w:val="1004"/>
        </w:numPr>
      </w:pPr>
      <w:r>
        <w:t xml:space="preserve">If</w:t>
      </w:r>
      <w:r>
        <w:t xml:space="preserve"> </w:t>
      </w:r>
      <m:oMath>
        <m:r>
          <m:t>p</m:t>
        </m:r>
        <m:r>
          <m:rPr>
            <m:sty m:val="p"/>
          </m:rPr>
          <m:t>=</m:t>
        </m:r>
        <m:r>
          <m:t>0.5</m:t>
        </m:r>
      </m:oMath>
      <w:r>
        <w:t xml:space="preserve">:</w:t>
      </w:r>
      <w:r>
        <w:br/>
      </w:r>
    </w:p>
    <w:p>
      <w:pPr>
        <w:pStyle w:val="Compact"/>
        <w:numPr>
          <w:ilvl w:val="0"/>
          <w:numId w:val="1000"/>
        </w:numPr>
      </w:pPr>
      <m:oMathPara>
        <m:oMathParaPr>
          <m:jc m:val="center"/>
        </m:oMathParaPr>
        <m:oMath>
          <m:r>
            <m:t>P</m:t>
          </m:r>
          <m:d>
            <m:dPr>
              <m:begChr m:val="("/>
              <m:sepChr m:val=""/>
              <m:endChr m:val=")"/>
              <m:grow/>
            </m:dPr>
            <m:e>
              <m:r>
                <m:rPr>
                  <m:nor/>
                  <m:sty m:val="p"/>
                </m:rPr>
                <m:t>hit </m:t>
              </m:r>
              <m:r>
                <m:t>N</m:t>
              </m:r>
              <m:r>
                <m:rPr>
                  <m:nor/>
                  <m:sty m:val="p"/>
                </m:rPr>
                <m:t> before </m:t>
              </m:r>
              <m:r>
                <m:t>0</m:t>
              </m:r>
              <m:r>
                <m:rPr>
                  <m:sty m:val="p"/>
                </m:rPr>
                <m:t>∣</m:t>
              </m:r>
              <m:r>
                <m:t>i</m:t>
              </m:r>
            </m:e>
          </m:d>
          <m:r>
            <m:rPr>
              <m:sty m:val="p"/>
            </m:rPr>
            <m:t>=</m:t>
          </m:r>
          <m:f>
            <m:fPr>
              <m:type m:val="bar"/>
            </m:fPr>
            <m:num>
              <m:r>
                <m:t>i</m:t>
              </m:r>
            </m:num>
            <m:den>
              <m:r>
                <m:t>N</m:t>
              </m:r>
            </m:den>
          </m:f>
        </m:oMath>
      </m:oMathPara>
    </w:p>
    <w:p>
      <w:pPr>
        <w:pStyle w:val="FirstParagraph"/>
      </w:pPr>
      <w:r>
        <w:t xml:space="preserve">This is the simplest rigorous way to answer “from $10 to $X, what’s the probability path?”</w:t>
      </w:r>
    </w:p>
    <w:bookmarkEnd w:id="30"/>
    <w:bookmarkStart w:id="31" w:name="long-run-survivability-threshold"/>
    <w:p>
      <w:pPr>
        <w:pStyle w:val="Heading3"/>
      </w:pPr>
      <w:r>
        <w:t xml:space="preserve">Long-run survivability threshold</w:t>
      </w:r>
    </w:p>
    <w:p>
      <w:pPr>
        <w:pStyle w:val="FirstParagraph"/>
      </w:pPr>
      <w:r>
        <w:t xml:space="preserve">If you remove the upper goal (you “play forever until ruined”), then:</w:t>
      </w:r>
    </w:p>
    <w:p>
      <w:pPr>
        <w:pStyle w:val="Compact"/>
        <w:numPr>
          <w:ilvl w:val="0"/>
          <w:numId w:val="1005"/>
        </w:numPr>
      </w:pPr>
      <w:r>
        <w:t xml:space="preserve">If</w:t>
      </w:r>
      <w:r>
        <w:t xml:space="preserve"> </w:t>
      </w:r>
      <m:oMath>
        <m:r>
          <m:t>p</m:t>
        </m:r>
        <m:r>
          <m:rPr>
            <m:sty m:val="p"/>
          </m:rPr>
          <m:t>≤</m:t>
        </m:r>
        <m:r>
          <m:t>0.5</m:t>
        </m:r>
      </m:oMath>
      <w:r>
        <w:t xml:space="preserve">, ruin occurs with probability 1.</w:t>
      </w:r>
      <w:r>
        <w:t xml:space="preserve"> </w:t>
      </w:r>
      <w:hyperlink r:id="rId21">
        <w:r>
          <w:rPr>
            <w:rStyle w:val="Hyperlink"/>
          </w:rPr>
          <w:t xml:space="preserve">[12]</w:t>
        </w:r>
      </w:hyperlink>
    </w:p>
    <w:p>
      <w:pPr>
        <w:pStyle w:val="Compact"/>
        <w:numPr>
          <w:ilvl w:val="0"/>
          <w:numId w:val="1005"/>
        </w:numPr>
      </w:pPr>
      <w:r>
        <w:t xml:space="preserve">If</w:t>
      </w:r>
      <w:r>
        <w:t xml:space="preserve"> </w:t>
      </w:r>
      <m:oMath>
        <m:r>
          <m:t>p</m:t>
        </m:r>
        <m:r>
          <m:rPr>
            <m:sty m:val="p"/>
          </m:rPr>
          <m:t>&gt;</m:t>
        </m:r>
        <m:r>
          <m:t>0.5</m:t>
        </m:r>
      </m:oMath>
      <w:r>
        <w:t xml:space="preserve">, ruin occurs with probability</w:t>
      </w:r>
      <w:r>
        <w:t xml:space="preserve"> </w:t>
      </w:r>
      <m:oMath>
        <m:sSup>
          <m:e>
            <m:d>
              <m:dPr>
                <m:begChr m:val="("/>
                <m:sepChr m:val=""/>
                <m:endChr m:val=")"/>
                <m:grow/>
              </m:dPr>
              <m:e>
                <m:r>
                  <m:t>q</m:t>
                </m:r>
                <m:r>
                  <m:rPr>
                    <m:sty m:val="p"/>
                  </m:rPr>
                  <m:t>/</m:t>
                </m:r>
                <m:r>
                  <m:t>p</m:t>
                </m:r>
              </m:e>
            </m:d>
          </m:e>
          <m:sup>
            <m:r>
              <m:t>i</m:t>
            </m:r>
          </m:sup>
        </m:sSup>
      </m:oMath>
      <w:r>
        <w:t xml:space="preserve">, so the probability of</w:t>
      </w:r>
      <w:r>
        <w:t xml:space="preserve"> </w:t>
      </w:r>
      <w:r>
        <w:rPr>
          <w:i/>
          <w:iCs/>
        </w:rPr>
        <w:t xml:space="preserve">never</w:t>
      </w:r>
      <w:r>
        <w:t xml:space="preserve"> </w:t>
      </w:r>
      <w:r>
        <w:t xml:space="preserve">being ruined is</w:t>
      </w:r>
      <w:r>
        <w:t xml:space="preserve"> </w:t>
      </w:r>
      <m:oMath>
        <m:r>
          <m:t>1</m:t>
        </m:r>
        <m:r>
          <m:rPr>
            <m:sty m:val="p"/>
          </m:rPr>
          <m:t>−</m:t>
        </m:r>
        <m:sSup>
          <m:e>
            <m:d>
              <m:dPr>
                <m:begChr m:val="("/>
                <m:sepChr m:val=""/>
                <m:endChr m:val=")"/>
                <m:grow/>
              </m:dPr>
              <m:e>
                <m:r>
                  <m:t>q</m:t>
                </m:r>
                <m:r>
                  <m:rPr>
                    <m:sty m:val="p"/>
                  </m:rPr>
                  <m:t>/</m:t>
                </m:r>
                <m:r>
                  <m:t>p</m:t>
                </m:r>
              </m:e>
            </m:d>
          </m:e>
          <m:sup>
            <m:r>
              <m:t>i</m:t>
            </m:r>
          </m:sup>
        </m:sSup>
      </m:oMath>
      <w:r>
        <w:t xml:space="preserve">.</w:t>
      </w:r>
      <w:r>
        <w:t xml:space="preserve"> </w:t>
      </w:r>
      <w:hyperlink r:id="rId21">
        <w:r>
          <w:rPr>
            <w:rStyle w:val="Hyperlink"/>
          </w:rPr>
          <w:t xml:space="preserve">[13]</w:t>
        </w:r>
      </w:hyperlink>
    </w:p>
    <w:p>
      <w:pPr>
        <w:pStyle w:val="FirstParagraph"/>
      </w:pPr>
      <w:r>
        <w:t xml:space="preserve">This matters for bot design because it quantifies the “early bankroll fragility” effect: when</w:t>
      </w:r>
      <w:r>
        <w:t xml:space="preserve"> </w:t>
      </w:r>
      <m:oMath>
        <m:r>
          <m:t>i</m:t>
        </m:r>
      </m:oMath>
      <w:r>
        <w:t xml:space="preserve"> </w:t>
      </w:r>
      <w:r>
        <w:t xml:space="preserve">is small (starting near $10 in $10 units), even a decent edge still implies a high chance of total wipeout before you ever build a cushion.</w:t>
      </w:r>
    </w:p>
    <w:bookmarkEnd w:id="31"/>
    <w:bookmarkStart w:id="33" w:name="Xcafbbc780be819ba4fd22012cd7c4b3e94c92e4"/>
    <w:p>
      <w:pPr>
        <w:pStyle w:val="Heading3"/>
      </w:pPr>
      <w:r>
        <w:t xml:space="preserve">Kelly sizing and why fractional Kelly is usually the sane version</w:t>
      </w:r>
    </w:p>
    <w:p>
      <w:pPr>
        <w:pStyle w:val="FirstParagraph"/>
      </w:pPr>
      <w:r>
        <w:t xml:space="preserve">A parallel (and more trading-native) foundation is</w:t>
      </w:r>
      <w:r>
        <w:t xml:space="preserve"> </w:t>
      </w:r>
      <w:r>
        <w:rPr>
          <w:b/>
          <w:bCs/>
        </w:rPr>
        <w:t xml:space="preserve">proportional betting</w:t>
      </w:r>
      <w:r>
        <w:t xml:space="preserve">: risk a fraction of bankroll each trade. The Kelly criterion chooses the fraction that maximizes long-run exponential (log) growth under model assumptions. In his original formulation, Claude E. Shannon</w:t>
      </w:r>
      <w:hyperlink r:id="rId21">
        <w:r>
          <w:rPr>
            <w:rStyle w:val="Hyperlink"/>
          </w:rPr>
          <w:t xml:space="preserve">[14]</w:t>
        </w:r>
      </w:hyperlink>
      <w:r>
        <w:t xml:space="preserve">’s information ideas connect to maximizing exponential growth of capital, and the core object is the limit of average log growth.</w:t>
      </w:r>
      <w:r>
        <w:t xml:space="preserve"> </w:t>
      </w:r>
      <w:hyperlink r:id="rId24">
        <w:r>
          <w:rPr>
            <w:rStyle w:val="Hyperlink"/>
          </w:rPr>
          <w:t xml:space="preserve">[15]</w:t>
        </w:r>
      </w:hyperlink>
    </w:p>
    <w:p>
      <w:pPr>
        <w:pStyle w:val="BodyText"/>
      </w:pPr>
      <w:r>
        <w:t xml:space="preserve">However, practical research emphasizes a crucial tradeoff: strategies close to full Kelly can have very large drawdowns over finite horizons, even when the opportunity is favorable. Leonard C. MacLean</w:t>
      </w:r>
      <w:hyperlink r:id="rId21">
        <w:r>
          <w:rPr>
            <w:rStyle w:val="Hyperlink"/>
          </w:rPr>
          <w:t xml:space="preserve">[16]</w:t>
        </w:r>
      </w:hyperlink>
      <w:r>
        <w:t xml:space="preserve">, Edward O. Thorp</w:t>
      </w:r>
      <w:hyperlink r:id="rId32">
        <w:r>
          <w:rPr>
            <w:rStyle w:val="Hyperlink"/>
          </w:rPr>
          <w:t xml:space="preserve">[17]</w:t>
        </w:r>
      </w:hyperlink>
      <w:r>
        <w:t xml:space="preserve">, and William T. Ziemba</w:t>
      </w:r>
      <w:hyperlink r:id="rId21">
        <w:r>
          <w:rPr>
            <w:rStyle w:val="Hyperlink"/>
          </w:rPr>
          <w:t xml:space="preserve">[18]</w:t>
        </w:r>
      </w:hyperlink>
      <w:r>
        <w:t xml:space="preserve"> </w:t>
      </w:r>
      <w:r>
        <w:t xml:space="preserve">show via simulations that higher Kelly fractions increase growth but can be “very risky” in the short to medium term, and that even favorable opportunities can produce sequences of outcomes that lose most of the initial capital.</w:t>
      </w:r>
      <w:r>
        <w:t xml:space="preserve"> </w:t>
      </w:r>
      <w:hyperlink r:id="rId32">
        <w:r>
          <w:rPr>
            <w:rStyle w:val="Hyperlink"/>
          </w:rPr>
          <w:t xml:space="preserve">[19]</w:t>
        </w:r>
      </w:hyperlink>
    </w:p>
    <w:p>
      <w:pPr>
        <w:pStyle w:val="BodyText"/>
      </w:pPr>
      <w:r>
        <w:t xml:space="preserve">For payout-goal architecture, the practical implication is:</w:t>
      </w:r>
    </w:p>
    <w:p>
      <w:pPr>
        <w:pStyle w:val="Compact"/>
        <w:numPr>
          <w:ilvl w:val="0"/>
          <w:numId w:val="1006"/>
        </w:numPr>
      </w:pPr>
      <w:r>
        <w:t xml:space="preserve">Kelly is a</w:t>
      </w:r>
      <w:r>
        <w:t xml:space="preserve"> </w:t>
      </w:r>
      <w:r>
        <w:rPr>
          <w:b/>
          <w:bCs/>
        </w:rPr>
        <w:t xml:space="preserve">growth-rate</w:t>
      </w:r>
      <w:r>
        <w:t xml:space="preserve"> </w:t>
      </w:r>
      <w:r>
        <w:t xml:space="preserve">optimizer, not a “maximize probability of achieving a goal with low drawdown” optimizer.</w:t>
      </w:r>
    </w:p>
    <w:p>
      <w:pPr>
        <w:pStyle w:val="Compact"/>
        <w:numPr>
          <w:ilvl w:val="0"/>
          <w:numId w:val="1006"/>
        </w:numPr>
      </w:pPr>
      <w:r>
        <w:t xml:space="preserve">A common safety adaptation is</w:t>
      </w:r>
      <w:r>
        <w:t xml:space="preserve"> </w:t>
      </w:r>
      <w:r>
        <w:rPr>
          <w:b/>
          <w:bCs/>
        </w:rPr>
        <w:t xml:space="preserve">fractional Kelly</w:t>
      </w:r>
      <w:r>
        <w:t xml:space="preserve"> </w:t>
      </w:r>
      <w:r>
        <w:t xml:space="preserve">(for example, 1/2 Kelly or 1/4 Kelly) to reduce drawdowns at the cost of slower growth.</w:t>
      </w:r>
      <w:r>
        <w:t xml:space="preserve"> </w:t>
      </w:r>
      <w:hyperlink r:id="rId32">
        <w:r>
          <w:rPr>
            <w:rStyle w:val="Hyperlink"/>
          </w:rPr>
          <w:t xml:space="preserve">[20]</w:t>
        </w:r>
      </w:hyperlink>
    </w:p>
    <w:bookmarkEnd w:id="33"/>
    <w:bookmarkEnd w:id="34"/>
    <w:bookmarkStart w:id="39" w:name="X5548206db546c069e3054d04fd208ba5cace126"/>
    <w:p>
      <w:pPr>
        <w:pStyle w:val="Heading2"/>
      </w:pPr>
      <w:r>
        <w:t xml:space="preserve">Probability paths from $10 with $10-per-attempt risk</w:t>
      </w:r>
    </w:p>
    <w:p>
      <w:pPr>
        <w:pStyle w:val="FirstParagraph"/>
      </w:pPr>
      <w:r>
        <w:t xml:space="preserve">To make your question concrete, this section uses the simplest milestone model consistent with “$10 per effort”:</w:t>
      </w:r>
    </w:p>
    <w:p>
      <w:pPr>
        <w:pStyle w:val="Compact"/>
        <w:numPr>
          <w:ilvl w:val="0"/>
          <w:numId w:val="1007"/>
        </w:numPr>
      </w:pPr>
      <w:r>
        <w:t xml:space="preserve">Bankroll is measured in</w:t>
      </w:r>
      <w:r>
        <w:t xml:space="preserve"> </w:t>
      </w:r>
      <w:r>
        <w:rPr>
          <w:b/>
          <w:bCs/>
        </w:rPr>
        <w:t xml:space="preserve">units of $10</w:t>
      </w:r>
      <w:r>
        <w:t xml:space="preserve">.</w:t>
      </w:r>
    </w:p>
    <w:p>
      <w:pPr>
        <w:pStyle w:val="Compact"/>
        <w:numPr>
          <w:ilvl w:val="0"/>
          <w:numId w:val="1007"/>
        </w:numPr>
      </w:pPr>
      <w:r>
        <w:t xml:space="preserve">Each “effort” (trade/bet) changes bankroll by</w:t>
      </w:r>
      <w:r>
        <w:t xml:space="preserve"> </w:t>
      </w:r>
      <w:r>
        <w:rPr>
          <w:b/>
          <w:bCs/>
        </w:rPr>
        <w:t xml:space="preserve">+1 unit</w:t>
      </w:r>
      <w:r>
        <w:t xml:space="preserve"> </w:t>
      </w:r>
      <w:r>
        <w:t xml:space="preserve">with probability</w:t>
      </w:r>
      <w:r>
        <w:t xml:space="preserve"> </w:t>
      </w:r>
      <m:oMath>
        <m:r>
          <m:t>p</m:t>
        </m:r>
      </m:oMath>
      <w:r>
        <w:t xml:space="preserve"> </w:t>
      </w:r>
      <w:r>
        <w:t xml:space="preserve">or</w:t>
      </w:r>
      <w:r>
        <w:t xml:space="preserve"> </w:t>
      </w:r>
      <w:r>
        <w:rPr>
          <w:b/>
          <w:bCs/>
        </w:rPr>
        <w:t xml:space="preserve">−1 unit</w:t>
      </w:r>
      <w:r>
        <w:t xml:space="preserve"> </w:t>
      </w:r>
      <w:r>
        <w:t xml:space="preserve">with probability</w:t>
      </w:r>
      <w:r>
        <w:t xml:space="preserve"> </w:t>
      </w:r>
      <m:oMath>
        <m:r>
          <m:t>q</m:t>
        </m:r>
        <m:r>
          <m:rPr>
            <m:sty m:val="p"/>
          </m:rPr>
          <m:t>=</m:t>
        </m:r>
        <m:r>
          <m:t>1</m:t>
        </m:r>
        <m:r>
          <m:rPr>
            <m:sty m:val="p"/>
          </m:rPr>
          <m:t>−</m:t>
        </m:r>
        <m:r>
          <m:t>p</m:t>
        </m:r>
      </m:oMath>
      <w:r>
        <w:t xml:space="preserve">.</w:t>
      </w:r>
    </w:p>
    <w:p>
      <w:pPr>
        <w:pStyle w:val="Compact"/>
        <w:numPr>
          <w:ilvl w:val="0"/>
          <w:numId w:val="1007"/>
        </w:numPr>
      </w:pPr>
      <w:r>
        <w:t xml:space="preserve">You stop when bankroll hits</w:t>
      </w:r>
      <w:r>
        <w:t xml:space="preserve"> </w:t>
      </w:r>
      <w:r>
        <w:rPr>
          <w:b/>
          <w:bCs/>
        </w:rPr>
        <w:t xml:space="preserve">0</w:t>
      </w:r>
      <w:r>
        <w:t xml:space="preserve"> </w:t>
      </w:r>
      <w:r>
        <w:t xml:space="preserve">(ruin) or hits a target</w:t>
      </w:r>
      <w:r>
        <w:t xml:space="preserve"> </w:t>
      </w:r>
      <m:oMath>
        <m:r>
          <m:t>N</m:t>
        </m:r>
      </m:oMath>
      <w:r>
        <w:t xml:space="preserve"> </w:t>
      </w:r>
      <w:r>
        <w:t xml:space="preserve">units (goal).</w:t>
      </w:r>
      <w:r>
        <w:t xml:space="preserve"> </w:t>
      </w:r>
      <w:hyperlink r:id="rId21">
        <w:r>
          <w:rPr>
            <w:rStyle w:val="Hyperlink"/>
          </w:rPr>
          <w:t xml:space="preserve">[21]</w:t>
        </w:r>
      </w:hyperlink>
    </w:p>
    <w:p>
      <w:pPr>
        <w:pStyle w:val="FirstParagraph"/>
      </w:pPr>
      <w:r>
        <w:t xml:space="preserve">This is exactly the gambler’s ruin / hitting-probability setup.</w:t>
      </w:r>
      <w:r>
        <w:t xml:space="preserve"> </w:t>
      </w:r>
      <w:hyperlink r:id="rId21">
        <w:r>
          <w:rPr>
            <w:rStyle w:val="Hyperlink"/>
          </w:rPr>
          <w:t xml:space="preserve">[1]</w:t>
        </w:r>
      </w:hyperlink>
    </w:p>
    <w:bookmarkStart w:id="35" w:name="Xc810f898ec49021981d23a26ab782a71327aa80"/>
    <w:p>
      <w:pPr>
        <w:pStyle w:val="Heading3"/>
      </w:pPr>
      <w:r>
        <w:t xml:space="preserve">How likely is it to reach common “life-improving” targets before $0?</w:t>
      </w:r>
    </w:p>
    <w:p>
      <w:pPr>
        <w:pStyle w:val="FirstParagraph"/>
      </w:pPr>
      <w:r>
        <w:t xml:space="preserve">Starting from $10 means</w:t>
      </w:r>
      <w:r>
        <w:t xml:space="preserve"> </w:t>
      </w:r>
      <m:oMath>
        <m:r>
          <m:t>i</m:t>
        </m:r>
        <m:r>
          <m:rPr>
            <m:sty m:val="p"/>
          </m:rPr>
          <m:t>=</m:t>
        </m:r>
        <m:r>
          <m:t>1</m:t>
        </m:r>
      </m:oMath>
      <w:r>
        <w:t xml:space="preserve"> </w:t>
      </w:r>
      <w:r>
        <w:t xml:space="preserve">unit.</w:t>
      </w:r>
    </w:p>
    <w:p>
      <w:pPr>
        <w:pStyle w:val="BodyText"/>
      </w:pPr>
      <w:r>
        <w:t xml:space="preserve">Below are computed probabilities</w:t>
      </w:r>
      <w:r>
        <w:t xml:space="preserve"> </w:t>
      </w:r>
      <w:r>
        <w:t xml:space="preserve">P(\text{reach target before $0})</w:t>
      </w:r>
      <w:r>
        <w:t xml:space="preserve"> </w:t>
      </w:r>
      <w:r>
        <w:t xml:space="preserve">for several targets and several constant per-effort win probabilities</w:t>
      </w:r>
      <w:r>
        <w:t xml:space="preserve"> </w:t>
      </w:r>
      <m:oMath>
        <m:r>
          <m:t>p</m:t>
        </m:r>
      </m:oMath>
      <w:r>
        <w:t xml:space="preserve">. (These numbers are direct evaluations of the closed-form formula above.)</w:t>
      </w:r>
      <w:r>
        <w:t xml:space="preserve"> </w:t>
      </w:r>
      <w:hyperlink r:id="rId21">
        <w:r>
          <w:rPr>
            <w:rStyle w:val="Hyperlink"/>
          </w:rPr>
          <w:t xml:space="preserve">[11]</w:t>
        </w:r>
      </w:hyperlink>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t xml:space="preserve">Target wealth</w:t>
            </w:r>
          </w:p>
        </w:tc>
        <w:tc>
          <w:tcPr/>
          <w:p>
            <w:pPr>
              <w:pStyle w:val="Compact"/>
              <w:jc w:val="right"/>
            </w:pPr>
            <w:r>
              <w:t xml:space="preserve">Units</w:t>
            </w:r>
            <w:r>
              <w:t xml:space="preserve"> </w:t>
            </w:r>
            <m:oMath>
              <m:r>
                <m:t>N</m:t>
              </m:r>
            </m:oMath>
          </w:p>
        </w:tc>
        <w:tc>
          <w:tcPr/>
          <w:p>
            <w:pPr>
              <w:pStyle w:val="Compact"/>
              <w:jc w:val="right"/>
            </w:pPr>
            <w:r>
              <w:t xml:space="preserve">If</w:t>
            </w:r>
            <w:r>
              <w:t xml:space="preserve"> </w:t>
            </w:r>
            <m:oMath>
              <m:r>
                <m:t>p</m:t>
              </m:r>
              <m:r>
                <m:rPr>
                  <m:sty m:val="p"/>
                </m:rPr>
                <m:t>=</m:t>
              </m:r>
              <m:r>
                <m:t>0.50</m:t>
              </m:r>
            </m:oMath>
          </w:p>
        </w:tc>
        <w:tc>
          <w:tcPr/>
          <w:p>
            <w:pPr>
              <w:pStyle w:val="Compact"/>
              <w:jc w:val="right"/>
            </w:pPr>
            <w:r>
              <w:t xml:space="preserve">If</w:t>
            </w:r>
            <w:r>
              <w:t xml:space="preserve"> </w:t>
            </w:r>
            <m:oMath>
              <m:r>
                <m:t>p</m:t>
              </m:r>
              <m:r>
                <m:rPr>
                  <m:sty m:val="p"/>
                </m:rPr>
                <m:t>=</m:t>
              </m:r>
              <m:r>
                <m:t>0.51</m:t>
              </m:r>
            </m:oMath>
          </w:p>
        </w:tc>
        <w:tc>
          <w:tcPr/>
          <w:p>
            <w:pPr>
              <w:pStyle w:val="Compact"/>
              <w:jc w:val="right"/>
            </w:pPr>
            <w:r>
              <w:t xml:space="preserve">If</w:t>
            </w:r>
            <w:r>
              <w:t xml:space="preserve"> </w:t>
            </w:r>
            <m:oMath>
              <m:r>
                <m:t>p</m:t>
              </m:r>
              <m:r>
                <m:rPr>
                  <m:sty m:val="p"/>
                </m:rPr>
                <m:t>=</m:t>
              </m:r>
              <m:r>
                <m:t>0.52</m:t>
              </m:r>
            </m:oMath>
          </w:p>
        </w:tc>
        <w:tc>
          <w:tcPr/>
          <w:p>
            <w:pPr>
              <w:pStyle w:val="Compact"/>
              <w:jc w:val="right"/>
            </w:pPr>
            <w:r>
              <w:t xml:space="preserve">If</w:t>
            </w:r>
            <w:r>
              <w:t xml:space="preserve"> </w:t>
            </w:r>
            <m:oMath>
              <m:r>
                <m:t>p</m:t>
              </m:r>
              <m:r>
                <m:rPr>
                  <m:sty m:val="p"/>
                </m:rPr>
                <m:t>=</m:t>
              </m:r>
              <m:r>
                <m:t>0.55</m:t>
              </m:r>
            </m:oMath>
          </w:p>
        </w:tc>
        <w:tc>
          <w:tcPr/>
          <w:p>
            <w:pPr>
              <w:pStyle w:val="Compact"/>
              <w:jc w:val="right"/>
            </w:pPr>
            <w:r>
              <w:t xml:space="preserve">If</w:t>
            </w:r>
            <w:r>
              <w:t xml:space="preserve"> </w:t>
            </w:r>
            <m:oMath>
              <m:r>
                <m:t>p</m:t>
              </m:r>
              <m:r>
                <m:rPr>
                  <m:sty m:val="p"/>
                </m:rPr>
                <m:t>=</m:t>
              </m:r>
              <m:r>
                <m:t>0.60</m:t>
              </m:r>
            </m:oMath>
          </w:p>
        </w:tc>
      </w:tr>
      <w:tr>
        <w:tc>
          <w:tcPr/>
          <w:p>
            <w:pPr>
              <w:pStyle w:val="Compact"/>
              <w:jc w:val="right"/>
            </w:pPr>
            <w:r>
              <w:t xml:space="preserve">$20</w:t>
            </w:r>
          </w:p>
        </w:tc>
        <w:tc>
          <w:tcPr/>
          <w:p>
            <w:pPr>
              <w:pStyle w:val="Compact"/>
              <w:jc w:val="right"/>
            </w:pPr>
            <w:r>
              <w:t xml:space="preserve">2</w:t>
            </w:r>
          </w:p>
        </w:tc>
        <w:tc>
          <w:tcPr/>
          <w:p>
            <w:pPr>
              <w:pStyle w:val="Compact"/>
              <w:jc w:val="right"/>
            </w:pPr>
            <w:r>
              <w:t xml:space="preserve">50.0%</w:t>
            </w:r>
          </w:p>
        </w:tc>
        <w:tc>
          <w:tcPr/>
          <w:p>
            <w:pPr>
              <w:pStyle w:val="Compact"/>
              <w:jc w:val="right"/>
            </w:pPr>
            <w:r>
              <w:t xml:space="preserve">51.0%</w:t>
            </w:r>
          </w:p>
        </w:tc>
        <w:tc>
          <w:tcPr/>
          <w:p>
            <w:pPr>
              <w:pStyle w:val="Compact"/>
              <w:jc w:val="right"/>
            </w:pPr>
            <w:r>
              <w:t xml:space="preserve">52.0%</w:t>
            </w:r>
          </w:p>
        </w:tc>
        <w:tc>
          <w:tcPr/>
          <w:p>
            <w:pPr>
              <w:pStyle w:val="Compact"/>
              <w:jc w:val="right"/>
            </w:pPr>
            <w:r>
              <w:t xml:space="preserve">55.0%</w:t>
            </w:r>
          </w:p>
        </w:tc>
        <w:tc>
          <w:tcPr/>
          <w:p>
            <w:pPr>
              <w:pStyle w:val="Compact"/>
              <w:jc w:val="right"/>
            </w:pPr>
            <w:r>
              <w:t xml:space="preserve">60.0%</w:t>
            </w:r>
          </w:p>
        </w:tc>
      </w:tr>
      <w:tr>
        <w:tc>
          <w:tcPr/>
          <w:p>
            <w:pPr>
              <w:pStyle w:val="Compact"/>
              <w:jc w:val="right"/>
            </w:pPr>
            <w:r>
              <w:t xml:space="preserve">$50</w:t>
            </w:r>
          </w:p>
        </w:tc>
        <w:tc>
          <w:tcPr/>
          <w:p>
            <w:pPr>
              <w:pStyle w:val="Compact"/>
              <w:jc w:val="right"/>
            </w:pPr>
            <w:r>
              <w:t xml:space="preserve">5</w:t>
            </w:r>
          </w:p>
        </w:tc>
        <w:tc>
          <w:tcPr/>
          <w:p>
            <w:pPr>
              <w:pStyle w:val="Compact"/>
              <w:jc w:val="right"/>
            </w:pPr>
            <w:r>
              <w:t xml:space="preserve">20.0%</w:t>
            </w:r>
          </w:p>
        </w:tc>
        <w:tc>
          <w:tcPr/>
          <w:p>
            <w:pPr>
              <w:pStyle w:val="Compact"/>
              <w:jc w:val="right"/>
            </w:pPr>
            <w:r>
              <w:t xml:space="preserve">21.6%</w:t>
            </w:r>
          </w:p>
        </w:tc>
        <w:tc>
          <w:tcPr/>
          <w:p>
            <w:pPr>
              <w:pStyle w:val="Compact"/>
              <w:jc w:val="right"/>
            </w:pPr>
            <w:r>
              <w:t xml:space="preserve">23.3%</w:t>
            </w:r>
          </w:p>
        </w:tc>
        <w:tc>
          <w:tcPr/>
          <w:p>
            <w:pPr>
              <w:pStyle w:val="Compact"/>
              <w:jc w:val="right"/>
            </w:pPr>
            <w:r>
              <w:t xml:space="preserve">28.7%</w:t>
            </w:r>
          </w:p>
        </w:tc>
        <w:tc>
          <w:tcPr/>
          <w:p>
            <w:pPr>
              <w:pStyle w:val="Compact"/>
              <w:jc w:val="right"/>
            </w:pPr>
            <w:r>
              <w:t xml:space="preserve">38.4%</w:t>
            </w:r>
          </w:p>
        </w:tc>
      </w:tr>
      <w:tr>
        <w:tc>
          <w:tcPr/>
          <w:p>
            <w:pPr>
              <w:pStyle w:val="Compact"/>
              <w:jc w:val="right"/>
            </w:pPr>
            <w:r>
              <w:t xml:space="preserve">$100</w:t>
            </w:r>
          </w:p>
        </w:tc>
        <w:tc>
          <w:tcPr/>
          <w:p>
            <w:pPr>
              <w:pStyle w:val="Compact"/>
              <w:jc w:val="right"/>
            </w:pPr>
            <w:r>
              <w:t xml:space="preserve">10</w:t>
            </w:r>
          </w:p>
        </w:tc>
        <w:tc>
          <w:tcPr/>
          <w:p>
            <w:pPr>
              <w:pStyle w:val="Compact"/>
              <w:jc w:val="right"/>
            </w:pPr>
            <w:r>
              <w:t xml:space="preserve">10.0%</w:t>
            </w:r>
          </w:p>
        </w:tc>
        <w:tc>
          <w:tcPr/>
          <w:p>
            <w:pPr>
              <w:pStyle w:val="Compact"/>
              <w:jc w:val="right"/>
            </w:pPr>
            <w:r>
              <w:t xml:space="preserve">11.9%</w:t>
            </w:r>
          </w:p>
        </w:tc>
        <w:tc>
          <w:tcPr/>
          <w:p>
            <w:pPr>
              <w:pStyle w:val="Compact"/>
              <w:jc w:val="right"/>
            </w:pPr>
            <w:r>
              <w:t xml:space="preserve">14.0%</w:t>
            </w:r>
          </w:p>
        </w:tc>
        <w:tc>
          <w:tcPr/>
          <w:p>
            <w:pPr>
              <w:pStyle w:val="Compact"/>
              <w:jc w:val="right"/>
            </w:pPr>
            <w:r>
              <w:t xml:space="preserve">21.0%</w:t>
            </w:r>
          </w:p>
        </w:tc>
        <w:tc>
          <w:tcPr/>
          <w:p>
            <w:pPr>
              <w:pStyle w:val="Compact"/>
              <w:jc w:val="right"/>
            </w:pPr>
            <w:r>
              <w:t xml:space="preserve">33.9%</w:t>
            </w:r>
          </w:p>
        </w:tc>
      </w:tr>
      <w:tr>
        <w:tc>
          <w:tcPr/>
          <w:p>
            <w:pPr>
              <w:pStyle w:val="Compact"/>
              <w:jc w:val="right"/>
            </w:pPr>
            <w:r>
              <w:t xml:space="preserve">$250</w:t>
            </w:r>
          </w:p>
        </w:tc>
        <w:tc>
          <w:tcPr/>
          <w:p>
            <w:pPr>
              <w:pStyle w:val="Compact"/>
              <w:jc w:val="right"/>
            </w:pPr>
            <w:r>
              <w:t xml:space="preserve">25</w:t>
            </w:r>
          </w:p>
        </w:tc>
        <w:tc>
          <w:tcPr/>
          <w:p>
            <w:pPr>
              <w:pStyle w:val="Compact"/>
              <w:jc w:val="right"/>
            </w:pPr>
            <w:r>
              <w:t xml:space="preserve">4.0%</w:t>
            </w:r>
          </w:p>
        </w:tc>
        <w:tc>
          <w:tcPr/>
          <w:p>
            <w:pPr>
              <w:pStyle w:val="Compact"/>
              <w:jc w:val="right"/>
            </w:pPr>
            <w:r>
              <w:t xml:space="preserve">6.2%</w:t>
            </w:r>
          </w:p>
        </w:tc>
        <w:tc>
          <w:tcPr/>
          <w:p>
            <w:pPr>
              <w:pStyle w:val="Compact"/>
              <w:jc w:val="right"/>
            </w:pPr>
            <w:r>
              <w:t xml:space="preserve">8.9%</w:t>
            </w:r>
          </w:p>
        </w:tc>
        <w:tc>
          <w:tcPr/>
          <w:p>
            <w:pPr>
              <w:pStyle w:val="Compact"/>
              <w:jc w:val="right"/>
            </w:pPr>
            <w:r>
              <w:t xml:space="preserve">18.3%</w:t>
            </w:r>
          </w:p>
        </w:tc>
        <w:tc>
          <w:tcPr/>
          <w:p>
            <w:pPr>
              <w:pStyle w:val="Compact"/>
              <w:jc w:val="right"/>
            </w:pPr>
            <w:r>
              <w:t xml:space="preserve">33.3%</w:t>
            </w:r>
          </w:p>
        </w:tc>
      </w:tr>
      <w:tr>
        <w:tc>
          <w:tcPr/>
          <w:p>
            <w:pPr>
              <w:pStyle w:val="Compact"/>
              <w:jc w:val="right"/>
            </w:pPr>
            <w:r>
              <w:t xml:space="preserve">$500</w:t>
            </w:r>
          </w:p>
        </w:tc>
        <w:tc>
          <w:tcPr/>
          <w:p>
            <w:pPr>
              <w:pStyle w:val="Compact"/>
              <w:jc w:val="right"/>
            </w:pPr>
            <w:r>
              <w:t xml:space="preserve">50</w:t>
            </w:r>
          </w:p>
        </w:tc>
        <w:tc>
          <w:tcPr/>
          <w:p>
            <w:pPr>
              <w:pStyle w:val="Compact"/>
              <w:jc w:val="right"/>
            </w:pPr>
            <w:r>
              <w:t xml:space="preserve">2.0%</w:t>
            </w:r>
          </w:p>
        </w:tc>
        <w:tc>
          <w:tcPr/>
          <w:p>
            <w:pPr>
              <w:pStyle w:val="Compact"/>
              <w:jc w:val="right"/>
            </w:pPr>
            <w:r>
              <w:t xml:space="preserve">4.5%</w:t>
            </w:r>
          </w:p>
        </w:tc>
        <w:tc>
          <w:tcPr/>
          <w:p>
            <w:pPr>
              <w:pStyle w:val="Compact"/>
              <w:jc w:val="right"/>
            </w:pPr>
            <w:r>
              <w:t xml:space="preserve">7.8%</w:t>
            </w:r>
          </w:p>
        </w:tc>
        <w:tc>
          <w:tcPr/>
          <w:p>
            <w:pPr>
              <w:pStyle w:val="Compact"/>
              <w:jc w:val="right"/>
            </w:pPr>
            <w:r>
              <w:t xml:space="preserve">18.2%</w:t>
            </w:r>
          </w:p>
        </w:tc>
        <w:tc>
          <w:tcPr/>
          <w:p>
            <w:pPr>
              <w:pStyle w:val="Compact"/>
              <w:jc w:val="right"/>
            </w:pPr>
            <w:r>
              <w:t xml:space="preserve">33.3%</w:t>
            </w:r>
          </w:p>
        </w:tc>
      </w:tr>
      <w:tr>
        <w:tc>
          <w:tcPr/>
          <w:p>
            <w:pPr>
              <w:pStyle w:val="Compact"/>
              <w:jc w:val="right"/>
            </w:pPr>
            <w:r>
              <w:t xml:space="preserve">$1,000</w:t>
            </w:r>
          </w:p>
        </w:tc>
        <w:tc>
          <w:tcPr/>
          <w:p>
            <w:pPr>
              <w:pStyle w:val="Compact"/>
              <w:jc w:val="right"/>
            </w:pPr>
            <w:r>
              <w:t xml:space="preserve">100</w:t>
            </w:r>
          </w:p>
        </w:tc>
        <w:tc>
          <w:tcPr/>
          <w:p>
            <w:pPr>
              <w:pStyle w:val="Compact"/>
              <w:jc w:val="right"/>
            </w:pPr>
            <w:r>
              <w:t xml:space="preserve">1.0%</w:t>
            </w:r>
          </w:p>
        </w:tc>
        <w:tc>
          <w:tcPr/>
          <w:p>
            <w:pPr>
              <w:pStyle w:val="Compact"/>
              <w:jc w:val="right"/>
            </w:pPr>
            <w:r>
              <w:t xml:space="preserve">4.0%</w:t>
            </w:r>
          </w:p>
        </w:tc>
        <w:tc>
          <w:tcPr/>
          <w:p>
            <w:pPr>
              <w:pStyle w:val="Compact"/>
              <w:jc w:val="right"/>
            </w:pPr>
            <w:r>
              <w:t xml:space="preserve">7.7%</w:t>
            </w:r>
          </w:p>
        </w:tc>
        <w:tc>
          <w:tcPr/>
          <w:p>
            <w:pPr>
              <w:pStyle w:val="Compact"/>
              <w:jc w:val="right"/>
            </w:pPr>
            <w:r>
              <w:t xml:space="preserve">18.2%</w:t>
            </w:r>
          </w:p>
        </w:tc>
        <w:tc>
          <w:tcPr/>
          <w:p>
            <w:pPr>
              <w:pStyle w:val="Compact"/>
              <w:jc w:val="right"/>
            </w:pPr>
            <w:r>
              <w:t xml:space="preserve">33.3%</w:t>
            </w:r>
          </w:p>
        </w:tc>
      </w:tr>
      <w:tr>
        <w:tc>
          <w:tcPr/>
          <w:p>
            <w:pPr>
              <w:pStyle w:val="Compact"/>
              <w:jc w:val="right"/>
            </w:pPr>
            <w:r>
              <w:t xml:space="preserve">$10,000</w:t>
            </w:r>
          </w:p>
        </w:tc>
        <w:tc>
          <w:tcPr/>
          <w:p>
            <w:pPr>
              <w:pStyle w:val="Compact"/>
              <w:jc w:val="right"/>
            </w:pPr>
            <w:r>
              <w:t xml:space="preserve">1000</w:t>
            </w:r>
          </w:p>
        </w:tc>
        <w:tc>
          <w:tcPr/>
          <w:p>
            <w:pPr>
              <w:pStyle w:val="Compact"/>
              <w:jc w:val="right"/>
            </w:pPr>
            <w:r>
              <w:t xml:space="preserve">0.1%</w:t>
            </w:r>
          </w:p>
        </w:tc>
        <w:tc>
          <w:tcPr/>
          <w:p>
            <w:pPr>
              <w:pStyle w:val="Compact"/>
              <w:jc w:val="right"/>
            </w:pPr>
            <w:r>
              <w:t xml:space="preserve">3.9%</w:t>
            </w:r>
          </w:p>
        </w:tc>
        <w:tc>
          <w:tcPr/>
          <w:p>
            <w:pPr>
              <w:pStyle w:val="Compact"/>
              <w:jc w:val="right"/>
            </w:pPr>
            <w:r>
              <w:t xml:space="preserve">7.7%</w:t>
            </w:r>
          </w:p>
        </w:tc>
        <w:tc>
          <w:tcPr/>
          <w:p>
            <w:pPr>
              <w:pStyle w:val="Compact"/>
              <w:jc w:val="right"/>
            </w:pPr>
            <w:r>
              <w:t xml:space="preserve">18.2%</w:t>
            </w:r>
          </w:p>
        </w:tc>
        <w:tc>
          <w:tcPr/>
          <w:p>
            <w:pPr>
              <w:pStyle w:val="Compact"/>
              <w:jc w:val="right"/>
            </w:pPr>
            <w:r>
              <w:t xml:space="preserve">33.3%</w:t>
            </w:r>
          </w:p>
        </w:tc>
      </w:tr>
    </w:tbl>
    <w:p>
      <w:pPr>
        <w:pStyle w:val="BodyText"/>
      </w:pPr>
      <w:r>
        <w:t xml:space="preserve">Key interpretation that is</w:t>
      </w:r>
      <w:r>
        <w:t xml:space="preserve"> </w:t>
      </w:r>
      <w:r>
        <w:rPr>
          <w:i/>
          <w:iCs/>
        </w:rPr>
        <w:t xml:space="preserve">definitive under this model</w:t>
      </w:r>
      <w:r>
        <w:t xml:space="preserve">:</w:t>
      </w:r>
    </w:p>
    <w:p>
      <w:pPr>
        <w:pStyle w:val="Compact"/>
        <w:numPr>
          <w:ilvl w:val="0"/>
          <w:numId w:val="1008"/>
        </w:numPr>
      </w:pPr>
      <w:r>
        <w:t xml:space="preserve">With</w:t>
      </w:r>
      <w:r>
        <w:t xml:space="preserve"> </w:t>
      </w:r>
      <w:r>
        <w:rPr>
          <w:b/>
          <w:bCs/>
        </w:rPr>
        <w:t xml:space="preserve">no edge</w:t>
      </w:r>
      <w:r>
        <w:t xml:space="preserve"> </w:t>
      </w:r>
      <w:r>
        <w:t xml:space="preserve">(</w:t>
      </w:r>
      <m:oMath>
        <m:r>
          <m:t>p</m:t>
        </m:r>
        <m:r>
          <m:rPr>
            <m:sty m:val="p"/>
          </m:rPr>
          <m:t>=</m:t>
        </m:r>
        <m:r>
          <m:t>0.5</m:t>
        </m:r>
      </m:oMath>
      <w:r>
        <w:t xml:space="preserve">), the probability of reaching</w:t>
      </w:r>
      <w:r>
        <w:t xml:space="preserve"> </w:t>
      </w:r>
      <m:oMath>
        <m:r>
          <m:t>N</m:t>
        </m:r>
      </m:oMath>
      <w:r>
        <w:t xml:space="preserve"> </w:t>
      </w:r>
      <w:r>
        <w:t xml:space="preserve">before ruin is</w:t>
      </w:r>
      <w:r>
        <w:t xml:space="preserve"> </w:t>
      </w:r>
      <m:oMath>
        <m:r>
          <m:t>1</m:t>
        </m:r>
        <m:r>
          <m:rPr>
            <m:sty m:val="p"/>
          </m:rPr>
          <m:t>/</m:t>
        </m:r>
        <m:r>
          <m:t>N</m:t>
        </m:r>
      </m:oMath>
      <w:r>
        <w:t xml:space="preserve">. So $10 → $1,000 is 1%, and $10 → $10,000 is 0.1%.</w:t>
      </w:r>
      <w:r>
        <w:t xml:space="preserve"> </w:t>
      </w:r>
      <w:hyperlink r:id="rId21">
        <w:r>
          <w:rPr>
            <w:rStyle w:val="Hyperlink"/>
          </w:rPr>
          <w:t xml:space="preserve">[22]</w:t>
        </w:r>
      </w:hyperlink>
    </w:p>
    <w:p>
      <w:pPr>
        <w:pStyle w:val="Compact"/>
        <w:numPr>
          <w:ilvl w:val="0"/>
          <w:numId w:val="1008"/>
        </w:numPr>
      </w:pPr>
      <w:r>
        <w:t xml:space="preserve">Even with a modest edge, starting at</w:t>
      </w:r>
      <w:r>
        <w:t xml:space="preserve"> </w:t>
      </w:r>
      <m:oMath>
        <m:r>
          <m:t>i</m:t>
        </m:r>
        <m:r>
          <m:rPr>
            <m:sty m:val="p"/>
          </m:rPr>
          <m:t>=</m:t>
        </m:r>
        <m:r>
          <m:t>1</m:t>
        </m:r>
      </m:oMath>
      <w:r>
        <w:t xml:space="preserve"> </w:t>
      </w:r>
      <w:r>
        <w:t xml:space="preserve">is extremely fragile. As the target grows, the success probability approaches</w:t>
      </w:r>
      <w:r>
        <w:t xml:space="preserve"> </w:t>
      </w:r>
      <m:oMath>
        <m:r>
          <m:t>1</m:t>
        </m:r>
        <m:r>
          <m:rPr>
            <m:sty m:val="p"/>
          </m:rPr>
          <m:t>−</m:t>
        </m:r>
        <m:r>
          <m:t>q</m:t>
        </m:r>
        <m:r>
          <m:rPr>
            <m:sty m:val="p"/>
          </m:rPr>
          <m:t>/</m:t>
        </m:r>
        <m:r>
          <m:t>p</m:t>
        </m:r>
      </m:oMath>
      <w:r>
        <w:t xml:space="preserve">. For example, at</w:t>
      </w:r>
      <w:r>
        <w:t xml:space="preserve"> </w:t>
      </w:r>
      <m:oMath>
        <m:r>
          <m:t>p</m:t>
        </m:r>
        <m:r>
          <m:rPr>
            <m:sty m:val="p"/>
          </m:rPr>
          <m:t>=</m:t>
        </m:r>
        <m:r>
          <m:t>0.55</m:t>
        </m:r>
      </m:oMath>
      <w:r>
        <w:t xml:space="preserve">, this ceiling is</w:t>
      </w:r>
      <w:r>
        <w:t xml:space="preserve"> </w:t>
      </w:r>
      <m:oMath>
        <m:r>
          <m:t>1</m:t>
        </m:r>
        <m:r>
          <m:rPr>
            <m:sty m:val="p"/>
          </m:rPr>
          <m:t>−</m:t>
        </m:r>
        <m:r>
          <m:t>0.45</m:t>
        </m:r>
        <m:r>
          <m:rPr>
            <m:sty m:val="p"/>
          </m:rPr>
          <m:t>/</m:t>
        </m:r>
        <m:r>
          <m:t>0.55</m:t>
        </m:r>
        <m:r>
          <m:rPr>
            <m:sty m:val="p"/>
          </m:rPr>
          <m:t>≈</m:t>
        </m:r>
        <m:r>
          <m:t>18.18</m:t>
        </m:r>
        <m:r>
          <m:rPr>
            <m:sty m:val="p"/>
          </m:rPr>
          <m:t>%</m:t>
        </m:r>
      </m:oMath>
      <w:r>
        <w:t xml:space="preserve">.</w:t>
      </w:r>
      <w:r>
        <w:t xml:space="preserve"> </w:t>
      </w:r>
      <w:hyperlink r:id="rId21">
        <w:r>
          <w:rPr>
            <w:rStyle w:val="Hyperlink"/>
          </w:rPr>
          <w:t xml:space="preserve">[13]</w:t>
        </w:r>
      </w:hyperlink>
    </w:p>
    <w:p>
      <w:pPr>
        <w:pStyle w:val="Compact"/>
        <w:numPr>
          <w:ilvl w:val="0"/>
          <w:numId w:val="1008"/>
        </w:numPr>
      </w:pPr>
      <w:r>
        <w:t xml:space="preserve">This “ceiling” is why many ambitious targets have nearly the same probability in the table once</w:t>
      </w:r>
      <w:r>
        <w:t xml:space="preserve"> </w:t>
      </w:r>
      <m:oMath>
        <m:r>
          <m:t>N</m:t>
        </m:r>
      </m:oMath>
      <w:r>
        <w:t xml:space="preserve"> </w:t>
      </w:r>
      <w:r>
        <w:t xml:space="preserve">is large: the main barrier is</w:t>
      </w:r>
      <w:r>
        <w:t xml:space="preserve"> </w:t>
      </w:r>
      <w:r>
        <w:rPr>
          <w:b/>
          <w:bCs/>
        </w:rPr>
        <w:t xml:space="preserve">surviving long enough to build a cushion</w:t>
      </w:r>
      <w:r>
        <w:t xml:space="preserve">, not the final stretch.</w:t>
      </w:r>
      <w:r>
        <w:t xml:space="preserve"> </w:t>
      </w:r>
      <w:hyperlink r:id="rId21">
        <w:r>
          <w:rPr>
            <w:rStyle w:val="Hyperlink"/>
          </w:rPr>
          <w:t xml:space="preserve">[23]</w:t>
        </w:r>
      </w:hyperlink>
    </w:p>
    <w:bookmarkEnd w:id="35"/>
    <w:bookmarkStart w:id="36" w:name="Xbaa0af4f540db2a806eca72be94efae01525367"/>
    <w:p>
      <w:pPr>
        <w:pStyle w:val="Heading3"/>
      </w:pPr>
      <w:r>
        <w:t xml:space="preserve">Risk progression is dominated by the early phase</w:t>
      </w:r>
    </w:p>
    <w:p>
      <w:pPr>
        <w:pStyle w:val="FirstParagraph"/>
      </w:pPr>
      <w:r>
        <w:t xml:space="preserve">Once you reach a higher bankroll, your</w:t>
      </w:r>
      <w:r>
        <w:t xml:space="preserve"> </w:t>
      </w:r>
      <w:r>
        <w:rPr>
          <w:i/>
          <w:iCs/>
        </w:rPr>
        <w:t xml:space="preserve">fractional</w:t>
      </w:r>
      <w:r>
        <w:t xml:space="preserve"> </w:t>
      </w:r>
      <w:r>
        <w:t xml:space="preserve">risk per attempt falls (because you keep risking $10). That creates a sharp phase change:</w:t>
      </w:r>
    </w:p>
    <w:p>
      <w:pPr>
        <w:pStyle w:val="Compact"/>
        <w:numPr>
          <w:ilvl w:val="0"/>
          <w:numId w:val="1009"/>
        </w:numPr>
      </w:pPr>
      <w:r>
        <w:t xml:space="preserve">At $10, one loss ends the game immediately.</w:t>
      </w:r>
    </w:p>
    <w:p>
      <w:pPr>
        <w:pStyle w:val="Compact"/>
        <w:numPr>
          <w:ilvl w:val="0"/>
          <w:numId w:val="1009"/>
        </w:numPr>
      </w:pPr>
      <w:r>
        <w:t xml:space="preserve">At $100, one loss is only a 10% hit.</w:t>
      </w:r>
    </w:p>
    <w:p>
      <w:pPr>
        <w:pStyle w:val="Compact"/>
        <w:numPr>
          <w:ilvl w:val="0"/>
          <w:numId w:val="1009"/>
        </w:numPr>
      </w:pPr>
      <w:r>
        <w:t xml:space="preserve">At $1,000, one loss is only a 1% hit.</w:t>
      </w:r>
    </w:p>
    <w:p>
      <w:pPr>
        <w:pStyle w:val="FirstParagraph"/>
      </w:pPr>
      <w:r>
        <w:t xml:space="preserve">This is why “probability of doubling” becomes dramatically better after you build an initial buffer (under any</w:t>
      </w:r>
      <w:r>
        <w:t xml:space="preserve"> </w:t>
      </w:r>
      <m:oMath>
        <m:r>
          <m:t>p</m:t>
        </m:r>
        <m:r>
          <m:rPr>
            <m:sty m:val="p"/>
          </m:rPr>
          <m:t>&gt;</m:t>
        </m:r>
        <m:r>
          <m:t>0.5</m:t>
        </m:r>
      </m:oMath>
      <w:r>
        <w:t xml:space="preserve">).</w:t>
      </w:r>
      <w:r>
        <w:t xml:space="preserve"> </w:t>
      </w:r>
      <w:hyperlink r:id="rId21">
        <w:r>
          <w:rPr>
            <w:rStyle w:val="Hyperlink"/>
          </w:rPr>
          <w:t xml:space="preserve">[24]</w:t>
        </w:r>
      </w:hyperlink>
    </w:p>
    <w:p>
      <w:pPr>
        <w:pStyle w:val="BodyText"/>
      </w:pPr>
      <w:r>
        <w:t xml:space="preserve">Example (probability of doubling bankroll before hitting $0, still with $10 steps):</w:t>
      </w:r>
    </w:p>
    <w:p>
      <w:pPr>
        <w:pStyle w:val="Compact"/>
        <w:numPr>
          <w:ilvl w:val="0"/>
          <w:numId w:val="1010"/>
        </w:numPr>
      </w:pPr>
      <w:r>
        <w:t xml:space="preserve">From $100 → $200:</w:t>
      </w:r>
    </w:p>
    <w:p>
      <w:pPr>
        <w:pStyle w:val="Compact"/>
        <w:numPr>
          <w:ilvl w:val="0"/>
          <w:numId w:val="1010"/>
        </w:numPr>
      </w:pPr>
      <w:r>
        <w:t xml:space="preserve">if</w:t>
      </w:r>
      <w:r>
        <w:t xml:space="preserve"> </w:t>
      </w:r>
      <m:oMath>
        <m:r>
          <m:t>p</m:t>
        </m:r>
        <m:r>
          <m:rPr>
            <m:sty m:val="p"/>
          </m:rPr>
          <m:t>=</m:t>
        </m:r>
        <m:r>
          <m:t>0.52</m:t>
        </m:r>
      </m:oMath>
      <w:r>
        <w:t xml:space="preserve">: ~69%</w:t>
      </w:r>
    </w:p>
    <w:p>
      <w:pPr>
        <w:pStyle w:val="Compact"/>
        <w:numPr>
          <w:ilvl w:val="0"/>
          <w:numId w:val="1010"/>
        </w:numPr>
      </w:pPr>
      <w:r>
        <w:t xml:space="preserve">if</w:t>
      </w:r>
      <w:r>
        <w:t xml:space="preserve"> </w:t>
      </w:r>
      <m:oMath>
        <m:r>
          <m:t>p</m:t>
        </m:r>
        <m:r>
          <m:rPr>
            <m:sty m:val="p"/>
          </m:rPr>
          <m:t>=</m:t>
        </m:r>
        <m:r>
          <m:t>0.55</m:t>
        </m:r>
      </m:oMath>
      <w:r>
        <w:t xml:space="preserve">: ~88%</w:t>
      </w:r>
      <w:r>
        <w:t xml:space="preserve"> </w:t>
      </w:r>
      <w:hyperlink r:id="rId21">
        <w:r>
          <w:rPr>
            <w:rStyle w:val="Hyperlink"/>
          </w:rPr>
          <w:t xml:space="preserve">[11]</w:t>
        </w:r>
      </w:hyperlink>
    </w:p>
    <w:p>
      <w:pPr>
        <w:pStyle w:val="FirstParagraph"/>
      </w:pPr>
      <w:r>
        <w:t xml:space="preserve">So the real “probability cliff” is getting from $10 into the first few multiples of $10, where ruin is easy.</w:t>
      </w:r>
    </w:p>
    <w:bookmarkEnd w:id="36"/>
    <w:bookmarkStart w:id="37" w:name="X49f82d121ef031bf1e625834922ba0adcaa2d74"/>
    <w:p>
      <w:pPr>
        <w:pStyle w:val="Heading3"/>
      </w:pPr>
      <w:r>
        <w:t xml:space="preserve">Concrete cash-out vs continue decisions at a milestone</w:t>
      </w:r>
    </w:p>
    <w:p>
      <w:pPr>
        <w:pStyle w:val="FirstParagraph"/>
      </w:pPr>
      <w:r>
        <w:t xml:space="preserve">Now match your requested structure: “At this point</w:t>
      </w:r>
      <w:r>
        <w:t xml:space="preserve"> </w:t>
      </w:r>
      <m:oMath>
        <m:r>
          <m:t>x</m:t>
        </m:r>
      </m:oMath>
      <w:r>
        <w:t xml:space="preserve"> </w:t>
      </w:r>
      <w:r>
        <w:t xml:space="preserve">is a great amount of money you could pull out now… or you can take</w:t>
      </w:r>
      <w:r>
        <w:t xml:space="preserve"> </w:t>
      </w:r>
      <m:oMath>
        <m:r>
          <m:t>x</m:t>
        </m:r>
      </m:oMath>
      <w:r>
        <w:t xml:space="preserve"> </w:t>
      </w:r>
      <w:r>
        <w:t xml:space="preserve">risk and get</w:t>
      </w:r>
      <w:r>
        <w:t xml:space="preserve"> </w:t>
      </w:r>
      <m:oMath>
        <m:r>
          <m:t>y</m:t>
        </m:r>
      </m:oMath>
      <w:r>
        <w:t xml:space="preserve"> </w:t>
      </w:r>
      <w:r>
        <w:t xml:space="preserve">payout.”</w:t>
      </w:r>
    </w:p>
    <w:p>
      <w:pPr>
        <w:pStyle w:val="BodyText"/>
      </w:pPr>
      <w:r>
        <w:t xml:space="preserve">Suppose you reach</w:t>
      </w:r>
      <w:r>
        <w:t xml:space="preserve"> </w:t>
      </w:r>
      <w:r>
        <w:rPr>
          <w:b/>
          <w:bCs/>
        </w:rPr>
        <w:t xml:space="preserve">$100</w:t>
      </w:r>
      <w:r>
        <w:t xml:space="preserve"> </w:t>
      </w:r>
      <w:r>
        <w:t xml:space="preserve">(10 units) and you are considering a goal of</w:t>
      </w:r>
      <w:r>
        <w:t xml:space="preserve"> </w:t>
      </w:r>
      <w:r>
        <w:rPr>
          <w:b/>
          <w:bCs/>
        </w:rPr>
        <w:t xml:space="preserve">$200</w:t>
      </w:r>
      <w:r>
        <w:t xml:space="preserve"> </w:t>
      </w:r>
      <w:r>
        <w:t xml:space="preserve">(20 units), still risking $10 per attempt. Three policies:</w:t>
      </w:r>
    </w:p>
    <w:p>
      <w:pPr>
        <w:pStyle w:val="Compact"/>
        <w:numPr>
          <w:ilvl w:val="0"/>
          <w:numId w:val="1011"/>
        </w:numPr>
      </w:pPr>
      <w:r>
        <w:rPr>
          <w:b/>
          <w:bCs/>
        </w:rPr>
        <w:t xml:space="preserve">Keep all $100 at risk</w:t>
      </w:r>
      <w:r>
        <w:t xml:space="preserve"> </w:t>
      </w:r>
      <w:r>
        <w:t xml:space="preserve">(withdraw $0 now)</w:t>
      </w:r>
    </w:p>
    <w:p>
      <w:pPr>
        <w:pStyle w:val="Compact"/>
        <w:numPr>
          <w:ilvl w:val="0"/>
          <w:numId w:val="1011"/>
        </w:numPr>
      </w:pPr>
      <w:r>
        <w:t xml:space="preserve">Worst-case outcome: $0</w:t>
      </w:r>
    </w:p>
    <w:p>
      <w:pPr>
        <w:numPr>
          <w:ilvl w:val="0"/>
          <w:numId w:val="1011"/>
        </w:numPr>
      </w:pPr>
      <w:r>
        <w:t xml:space="preserve">Probability of reaching $200 before $0:</w:t>
      </w:r>
      <w:r>
        <w:br/>
      </w:r>
    </w:p>
    <w:p>
      <w:pPr>
        <w:pStyle w:val="Compact"/>
        <w:numPr>
          <w:ilvl w:val="0"/>
          <w:numId w:val="1000"/>
        </w:numPr>
      </w:pPr>
      <m:oMathPara>
        <m:oMathParaPr>
          <m:jc m:val="center"/>
        </m:oMathParaPr>
        <m:oMath>
          <m:r>
            <m:t>P</m:t>
          </m:r>
          <m:r>
            <m:rPr>
              <m:sty m:val="p"/>
            </m:rPr>
            <m:t>=</m:t>
          </m:r>
          <m:f>
            <m:fPr>
              <m:type m:val="bar"/>
            </m:fPr>
            <m:num>
              <m:r>
                <m:t>1</m:t>
              </m:r>
              <m:r>
                <m:rPr>
                  <m:sty m:val="p"/>
                </m:rPr>
                <m:t>−</m:t>
              </m:r>
              <m:sSup>
                <m:e>
                  <m:d>
                    <m:dPr>
                      <m:begChr m:val="("/>
                      <m:sepChr m:val=""/>
                      <m:endChr m:val=")"/>
                      <m:grow/>
                    </m:dPr>
                    <m:e>
                      <m:r>
                        <m:t>q</m:t>
                      </m:r>
                      <m:r>
                        <m:rPr>
                          <m:sty m:val="p"/>
                        </m:rPr>
                        <m:t>/</m:t>
                      </m:r>
                      <m:r>
                        <m:t>p</m:t>
                      </m:r>
                    </m:e>
                  </m:d>
                </m:e>
                <m:sup>
                  <m:r>
                    <m:t>10</m:t>
                  </m:r>
                </m:sup>
              </m:sSup>
            </m:num>
            <m:den>
              <m:r>
                <m:t>1</m:t>
              </m:r>
              <m:r>
                <m:rPr>
                  <m:sty m:val="p"/>
                </m:rPr>
                <m:t>−</m:t>
              </m:r>
              <m:sSup>
                <m:e>
                  <m:d>
                    <m:dPr>
                      <m:begChr m:val="("/>
                      <m:sepChr m:val=""/>
                      <m:endChr m:val=")"/>
                      <m:grow/>
                    </m:dPr>
                    <m:e>
                      <m:r>
                        <m:t>q</m:t>
                      </m:r>
                      <m:r>
                        <m:rPr>
                          <m:sty m:val="p"/>
                        </m:rPr>
                        <m:t>/</m:t>
                      </m:r>
                      <m:r>
                        <m:t>p</m:t>
                      </m:r>
                    </m:e>
                  </m:d>
                </m:e>
                <m:sup>
                  <m:r>
                    <m:t>20</m:t>
                  </m:r>
                </m:sup>
              </m:sSup>
            </m:den>
          </m:f>
        </m:oMath>
      </m:oMathPara>
    </w:p>
    <w:p>
      <w:pPr>
        <w:numPr>
          <w:ilvl w:val="0"/>
          <w:numId w:val="1000"/>
        </w:numPr>
      </w:pPr>
      <w:r>
        <w:t xml:space="preserve">At</w:t>
      </w:r>
      <w:r>
        <w:t xml:space="preserve"> </w:t>
      </w:r>
      <m:oMath>
        <m:r>
          <m:t>p</m:t>
        </m:r>
        <m:r>
          <m:rPr>
            <m:sty m:val="p"/>
          </m:rPr>
          <m:t>=</m:t>
        </m:r>
        <m:r>
          <m:t>0.55</m:t>
        </m:r>
      </m:oMath>
      <w:r>
        <w:t xml:space="preserve">, this is about</w:t>
      </w:r>
      <w:r>
        <w:t xml:space="preserve"> </w:t>
      </w:r>
      <w:r>
        <w:rPr>
          <w:b/>
          <w:bCs/>
        </w:rPr>
        <w:t xml:space="preserve">88.1%</w:t>
      </w:r>
      <w:r>
        <w:t xml:space="preserve">.</w:t>
      </w:r>
      <w:r>
        <w:t xml:space="preserve"> </w:t>
      </w:r>
      <w:hyperlink r:id="rId21">
        <w:r>
          <w:rPr>
            <w:rStyle w:val="Hyperlink"/>
          </w:rPr>
          <w:t xml:space="preserve">[11]</w:t>
        </w:r>
      </w:hyperlink>
    </w:p>
    <w:p>
      <w:pPr>
        <w:numPr>
          <w:ilvl w:val="0"/>
          <w:numId w:val="1011"/>
        </w:numPr>
      </w:pPr>
      <w:r>
        <w:rPr>
          <w:b/>
          <w:bCs/>
        </w:rPr>
        <w:t xml:space="preserve">Withdraw $50 now, trade with $50</w:t>
      </w:r>
      <w:r>
        <w:t xml:space="preserve"> </w:t>
      </w:r>
      <w:r>
        <w:t xml:space="preserve">(5 units)</w:t>
      </w:r>
    </w:p>
    <w:p>
      <w:pPr>
        <w:pStyle w:val="Compact"/>
        <w:numPr>
          <w:ilvl w:val="0"/>
          <w:numId w:val="1011"/>
        </w:numPr>
      </w:pPr>
      <w:r>
        <w:t xml:space="preserve">Worst-case outcome: $50 locked-in</w:t>
      </w:r>
    </w:p>
    <w:p>
      <w:pPr>
        <w:numPr>
          <w:ilvl w:val="0"/>
          <w:numId w:val="1011"/>
        </w:numPr>
      </w:pPr>
      <w:r>
        <w:t xml:space="preserve">To reach total $200, your trading wallet must go from 5 units to 15 units.</w:t>
      </w:r>
      <w:r>
        <w:br/>
      </w:r>
      <w:r>
        <w:t xml:space="preserve">At</w:t>
      </w:r>
      <w:r>
        <w:t xml:space="preserve"> </w:t>
      </w:r>
      <m:oMath>
        <m:r>
          <m:t>p</m:t>
        </m:r>
        <m:r>
          <m:rPr>
            <m:sty m:val="p"/>
          </m:rPr>
          <m:t>=</m:t>
        </m:r>
        <m:r>
          <m:t>0.55</m:t>
        </m:r>
      </m:oMath>
      <w:r>
        <w:t xml:space="preserve">, the probability is about</w:t>
      </w:r>
      <w:r>
        <w:t xml:space="preserve"> </w:t>
      </w:r>
      <w:r>
        <w:rPr>
          <w:b/>
          <w:bCs/>
        </w:rPr>
        <w:t xml:space="preserve">66.6%</w:t>
      </w:r>
      <w:r>
        <w:t xml:space="preserve">.</w:t>
      </w:r>
      <w:r>
        <w:t xml:space="preserve"> </w:t>
      </w:r>
      <w:hyperlink r:id="rId21">
        <w:r>
          <w:rPr>
            <w:rStyle w:val="Hyperlink"/>
          </w:rPr>
          <w:t xml:space="preserve">[11]</w:t>
        </w:r>
      </w:hyperlink>
    </w:p>
    <w:p>
      <w:pPr>
        <w:numPr>
          <w:ilvl w:val="0"/>
          <w:numId w:val="1011"/>
        </w:numPr>
      </w:pPr>
      <w:r>
        <w:rPr>
          <w:b/>
          <w:bCs/>
        </w:rPr>
        <w:t xml:space="preserve">Withdraw $80 now, trade with $20</w:t>
      </w:r>
      <w:r>
        <w:t xml:space="preserve"> </w:t>
      </w:r>
      <w:r>
        <w:t xml:space="preserve">(2 units)</w:t>
      </w:r>
    </w:p>
    <w:p>
      <w:pPr>
        <w:pStyle w:val="Compact"/>
        <w:numPr>
          <w:ilvl w:val="0"/>
          <w:numId w:val="1011"/>
        </w:numPr>
      </w:pPr>
      <w:r>
        <w:t xml:space="preserve">Worst-case outcome: $80 locked-in</w:t>
      </w:r>
    </w:p>
    <w:p>
      <w:pPr>
        <w:pStyle w:val="Compact"/>
        <w:numPr>
          <w:ilvl w:val="0"/>
          <w:numId w:val="1011"/>
        </w:numPr>
      </w:pPr>
      <w:r>
        <w:t xml:space="preserve">To reach total $200, trade wallet must go from 2 units to 12 units.</w:t>
      </w:r>
      <w:r>
        <w:br/>
      </w:r>
      <w:r>
        <w:t xml:space="preserve">At</w:t>
      </w:r>
      <w:r>
        <w:t xml:space="preserve"> </w:t>
      </w:r>
      <m:oMath>
        <m:r>
          <m:t>p</m:t>
        </m:r>
        <m:r>
          <m:rPr>
            <m:sty m:val="p"/>
          </m:rPr>
          <m:t>=</m:t>
        </m:r>
        <m:r>
          <m:t>0.55</m:t>
        </m:r>
      </m:oMath>
      <w:r>
        <w:t xml:space="preserve">, the probability is about</w:t>
      </w:r>
      <w:r>
        <w:t xml:space="preserve"> </w:t>
      </w:r>
      <w:r>
        <w:rPr>
          <w:b/>
          <w:bCs/>
        </w:rPr>
        <w:t xml:space="preserve">36.3%</w:t>
      </w:r>
      <w:r>
        <w:t xml:space="preserve">.</w:t>
      </w:r>
      <w:r>
        <w:t xml:space="preserve"> </w:t>
      </w:r>
      <w:hyperlink r:id="rId21">
        <w:r>
          <w:rPr>
            <w:rStyle w:val="Hyperlink"/>
          </w:rPr>
          <w:t xml:space="preserve">[11]</w:t>
        </w:r>
      </w:hyperlink>
    </w:p>
    <w:p>
      <w:pPr>
        <w:pStyle w:val="FirstParagraph"/>
      </w:pPr>
      <w:r>
        <w:t xml:space="preserve">This is the simplest rigorous “payout goal” decision rule you can embed: for any current wealth</w:t>
      </w:r>
      <w:r>
        <w:t xml:space="preserve"> </w:t>
      </w:r>
      <m:oMath>
        <m:r>
          <m:t>X</m:t>
        </m:r>
      </m:oMath>
      <w:r>
        <w:t xml:space="preserve">, withdraw</w:t>
      </w:r>
      <w:r>
        <w:t xml:space="preserve"> </w:t>
      </w:r>
      <m:oMath>
        <m:r>
          <m:t>W</m:t>
        </m:r>
      </m:oMath>
      <w:r>
        <w:t xml:space="preserve">, set a target</w:t>
      </w:r>
      <w:r>
        <w:t xml:space="preserve"> </w:t>
      </w:r>
      <m:oMath>
        <m:r>
          <m:t>Y</m:t>
        </m:r>
      </m:oMath>
      <w:r>
        <w:t xml:space="preserve">, and compute the success probability of turning the remaining risk-capital into</w:t>
      </w:r>
      <w:r>
        <w:t xml:space="preserve"> </w:t>
      </w:r>
      <m:oMath>
        <m:r>
          <m:t>Y</m:t>
        </m:r>
        <m:r>
          <m:rPr>
            <m:sty m:val="p"/>
          </m:rPr>
          <m:t>−</m:t>
        </m:r>
        <m:r>
          <m:t>W</m:t>
        </m:r>
      </m:oMath>
      <w:r>
        <w:t xml:space="preserve"> </w:t>
      </w:r>
      <w:r>
        <w:t xml:space="preserve">before it hits 0. The tradeoff is mathematically explicit.</w:t>
      </w:r>
      <w:r>
        <w:t xml:space="preserve"> </w:t>
      </w:r>
      <w:hyperlink r:id="rId21">
        <w:r>
          <w:rPr>
            <w:rStyle w:val="Hyperlink"/>
          </w:rPr>
          <w:t xml:space="preserve">[11]</w:t>
        </w:r>
      </w:hyperlink>
    </w:p>
    <w:bookmarkEnd w:id="37"/>
    <w:bookmarkStart w:id="38" w:name="X26a95e668e84cf571dd7d1e309919639853ab33"/>
    <w:p>
      <w:pPr>
        <w:pStyle w:val="Heading3"/>
      </w:pPr>
      <w:r>
        <w:t xml:space="preserve">A definitive implication that affects your architecture</w:t>
      </w:r>
    </w:p>
    <w:p>
      <w:pPr>
        <w:pStyle w:val="FirstParagraph"/>
      </w:pPr>
      <w:r>
        <w:t xml:space="preserve">Because</w:t>
      </w:r>
      <w:r>
        <w:t xml:space="preserve"> </w:t>
      </w:r>
      <m:oMath>
        <m:r>
          <m:t>P</m:t>
        </m:r>
        <m:d>
          <m:dPr>
            <m:begChr m:val="("/>
            <m:sepChr m:val=""/>
            <m:endChr m:val=")"/>
            <m:grow/>
          </m:dPr>
          <m:e>
            <m:r>
              <m:rPr>
                <m:nor/>
                <m:sty m:val="p"/>
              </m:rPr>
              <m:t>eventual success</m:t>
            </m:r>
          </m:e>
        </m:d>
        <m:r>
          <m:rPr>
            <m:sty m:val="p"/>
          </m:rPr>
          <m:t>=</m:t>
        </m:r>
        <m:r>
          <m:t>1</m:t>
        </m:r>
        <m:r>
          <m:rPr>
            <m:sty m:val="p"/>
          </m:rPr>
          <m:t>−</m:t>
        </m:r>
        <m:sSup>
          <m:e>
            <m:d>
              <m:dPr>
                <m:begChr m:val="("/>
                <m:sepChr m:val=""/>
                <m:endChr m:val=")"/>
                <m:grow/>
              </m:dPr>
              <m:e>
                <m:r>
                  <m:t>q</m:t>
                </m:r>
                <m:r>
                  <m:rPr>
                    <m:sty m:val="p"/>
                  </m:rPr>
                  <m:t>/</m:t>
                </m:r>
                <m:r>
                  <m:t>p</m:t>
                </m:r>
              </m:e>
            </m:d>
          </m:e>
          <m:sup>
            <m:r>
              <m:t>i</m:t>
            </m:r>
          </m:sup>
        </m:sSup>
      </m:oMath>
      <w:r>
        <w:t xml:space="preserve"> </w:t>
      </w:r>
      <w:r>
        <w:t xml:space="preserve">in the “continue indefinitely” favorable case, the single biggest lever on “highest probability” is</w:t>
      </w:r>
      <w:r>
        <w:t xml:space="preserve"> </w:t>
      </w:r>
      <w:r>
        <w:rPr>
          <w:b/>
          <w:bCs/>
        </w:rPr>
        <w:t xml:space="preserve">starting bankroll measured in units of per-effort risk</w:t>
      </w:r>
      <w:r>
        <w:t xml:space="preserve">.</w:t>
      </w:r>
      <w:r>
        <w:t xml:space="preserve"> </w:t>
      </w:r>
      <w:hyperlink r:id="rId21">
        <w:r>
          <w:rPr>
            <w:rStyle w:val="Hyperlink"/>
          </w:rPr>
          <w:t xml:space="preserve">[13]</w:t>
        </w:r>
      </w:hyperlink>
    </w:p>
    <w:p>
      <w:pPr>
        <w:pStyle w:val="BodyText"/>
      </w:pPr>
      <w:r>
        <w:t xml:space="preserve">For illustration, if per-effort risk is $10, then to have roughly a</w:t>
      </w:r>
      <w:r>
        <w:t xml:space="preserve"> </w:t>
      </w:r>
      <w:r>
        <w:rPr>
          <w:b/>
          <w:bCs/>
        </w:rPr>
        <w:t xml:space="preserve">90%</w:t>
      </w:r>
      <w:r>
        <w:t xml:space="preserve"> </w:t>
      </w:r>
      <w:r>
        <w:t xml:space="preserve">chance of eventually reaching a very large target (before ever hitting $0) you need</w:t>
      </w:r>
      <w:r>
        <w:t xml:space="preserve"> </w:t>
      </w:r>
      <m:oMath>
        <m:r>
          <m:t>i</m:t>
        </m:r>
      </m:oMath>
      <w:r>
        <w:t xml:space="preserve"> </w:t>
      </w:r>
      <w:r>
        <w:t xml:space="preserve">such that</w:t>
      </w:r>
      <w:r>
        <w:t xml:space="preserve"> </w:t>
      </w:r>
      <m:oMath>
        <m:sSup>
          <m:e>
            <m:d>
              <m:dPr>
                <m:begChr m:val="("/>
                <m:sepChr m:val=""/>
                <m:endChr m:val=")"/>
                <m:grow/>
              </m:dPr>
              <m:e>
                <m:r>
                  <m:t>q</m:t>
                </m:r>
                <m:r>
                  <m:rPr>
                    <m:sty m:val="p"/>
                  </m:rPr>
                  <m:t>/</m:t>
                </m:r>
                <m:r>
                  <m:t>p</m:t>
                </m:r>
              </m:e>
            </m:d>
          </m:e>
          <m:sup>
            <m:r>
              <m:t>i</m:t>
            </m:r>
          </m:sup>
        </m:sSup>
        <m:r>
          <m:rPr>
            <m:sty m:val="p"/>
          </m:rPr>
          <m:t>≤</m:t>
        </m:r>
        <m:r>
          <m:t>10</m:t>
        </m:r>
        <m:r>
          <m:rPr>
            <m:sty m:val="p"/>
          </m:rPr>
          <m:t>%</m:t>
        </m:r>
      </m:oMath>
      <w:r>
        <w:t xml:space="preserve">.</w:t>
      </w:r>
      <w:r>
        <w:t xml:space="preserve"> </w:t>
      </w:r>
      <w:hyperlink r:id="rId21">
        <w:r>
          <w:rPr>
            <w:rStyle w:val="Hyperlink"/>
          </w:rPr>
          <w:t xml:space="preserve">[22]</w:t>
        </w:r>
      </w:hyperlink>
    </w:p>
    <w:p>
      <w:pPr>
        <w:pStyle w:val="Compact"/>
        <w:numPr>
          <w:ilvl w:val="0"/>
          <w:numId w:val="1012"/>
        </w:numPr>
      </w:pPr>
      <w:r>
        <w:t xml:space="preserve">If</w:t>
      </w:r>
      <w:r>
        <w:t xml:space="preserve"> </w:t>
      </w:r>
      <m:oMath>
        <m:r>
          <m:t>p</m:t>
        </m:r>
        <m:r>
          <m:rPr>
            <m:sty m:val="p"/>
          </m:rPr>
          <m:t>=</m:t>
        </m:r>
        <m:r>
          <m:t>0.55</m:t>
        </m:r>
      </m:oMath>
      <w:r>
        <w:t xml:space="preserve">, that requires about</w:t>
      </w:r>
      <w:r>
        <w:t xml:space="preserve"> </w:t>
      </w:r>
      <w:r>
        <w:rPr>
          <w:b/>
          <w:bCs/>
        </w:rPr>
        <w:t xml:space="preserve">12 units ≈ $120</w:t>
      </w:r>
      <w:r>
        <w:t xml:space="preserve"> </w:t>
      </w:r>
      <w:r>
        <w:t xml:space="preserve">starting bankroll.</w:t>
      </w:r>
    </w:p>
    <w:p>
      <w:pPr>
        <w:pStyle w:val="Compact"/>
        <w:numPr>
          <w:ilvl w:val="0"/>
          <w:numId w:val="1012"/>
        </w:numPr>
      </w:pPr>
      <w:r>
        <w:t xml:space="preserve">If</w:t>
      </w:r>
      <w:r>
        <w:t xml:space="preserve"> </w:t>
      </w:r>
      <m:oMath>
        <m:r>
          <m:t>p</m:t>
        </m:r>
        <m:r>
          <m:rPr>
            <m:sty m:val="p"/>
          </m:rPr>
          <m:t>=</m:t>
        </m:r>
        <m:r>
          <m:t>0.52</m:t>
        </m:r>
      </m:oMath>
      <w:r>
        <w:t xml:space="preserve">, that requires about</w:t>
      </w:r>
      <w:r>
        <w:t xml:space="preserve"> </w:t>
      </w:r>
      <w:r>
        <w:rPr>
          <w:b/>
          <w:bCs/>
        </w:rPr>
        <w:t xml:space="preserve">29 units ≈ $290</w:t>
      </w:r>
      <w:r>
        <w:t xml:space="preserve"> </w:t>
      </w:r>
      <w:r>
        <w:t xml:space="preserve">starting bankroll.</w:t>
      </w:r>
      <w:r>
        <w:t xml:space="preserve"> </w:t>
      </w:r>
      <w:hyperlink r:id="rId21">
        <w:r>
          <w:rPr>
            <w:rStyle w:val="Hyperlink"/>
          </w:rPr>
          <w:t xml:space="preserve">[13]</w:t>
        </w:r>
      </w:hyperlink>
    </w:p>
    <w:p>
      <w:pPr>
        <w:pStyle w:val="FirstParagraph"/>
      </w:pPr>
      <w:r>
        <w:t xml:space="preserve">So:</w:t>
      </w:r>
      <w:r>
        <w:t xml:space="preserve"> </w:t>
      </w:r>
      <w:r>
        <w:rPr>
          <w:b/>
          <w:bCs/>
        </w:rPr>
        <w:t xml:space="preserve">$10 with $10-per-effort is structurally low-probability</w:t>
      </w:r>
      <w:r>
        <w:t xml:space="preserve"> </w:t>
      </w:r>
      <w:r>
        <w:t xml:space="preserve">unless your edge is extraordinarily strong and stable. That is not pessimism; it is the direct reading of the ruin math.</w:t>
      </w:r>
    </w:p>
    <w:bookmarkEnd w:id="38"/>
    <w:bookmarkEnd w:id="39"/>
    <w:bookmarkStart w:id="47" w:name="X5668c30102826fca3e83727c6467e59f0741100"/>
    <w:p>
      <w:pPr>
        <w:pStyle w:val="Heading2"/>
      </w:pPr>
      <w:r>
        <w:t xml:space="preserve">Turning these foundations into bot architecture that won’t implode</w:t>
      </w:r>
    </w:p>
    <w:p>
      <w:pPr>
        <w:pStyle w:val="FirstParagraph"/>
      </w:pPr>
      <w:r>
        <w:t xml:space="preserve">Your question says this is “foundational architecture” that will touch real money. That means the architecture should explicitly defend against three failure classes: statistical illusion, operational failure, and market-regime discontinuity.</w:t>
      </w:r>
    </w:p>
    <w:bookmarkStart w:id="41" w:name="Xca439a88a417a77bbd6f32bb8ed03c4b01f0b9d"/>
    <w:p>
      <w:pPr>
        <w:pStyle w:val="Heading3"/>
      </w:pPr>
      <w:r>
        <w:t xml:space="preserve">Statistical realism: probability estimates are usually wrong in the dangerous direction</w:t>
      </w:r>
    </w:p>
    <w:p>
      <w:pPr>
        <w:pStyle w:val="FirstParagraph"/>
      </w:pPr>
      <w:r>
        <w:t xml:space="preserve">Backtests and model selection can overfit, inflating apparent performance. David H. Bailey</w:t>
      </w:r>
      <w:hyperlink r:id="rId21">
        <w:r>
          <w:rPr>
            <w:rStyle w:val="Hyperlink"/>
          </w:rPr>
          <w:t xml:space="preserve">[25]</w:t>
        </w:r>
      </w:hyperlink>
      <w:r>
        <w:t xml:space="preserve"> </w:t>
      </w:r>
      <w:r>
        <w:t xml:space="preserve">and Marcos M. Lopez de Prado</w:t>
      </w:r>
      <w:hyperlink r:id="rId21">
        <w:r>
          <w:rPr>
            <w:rStyle w:val="Hyperlink"/>
          </w:rPr>
          <w:t xml:space="preserve">[26]</w:t>
        </w:r>
      </w:hyperlink>
      <w:r>
        <w:t xml:space="preserve"> </w:t>
      </w:r>
      <w:r>
        <w:t xml:space="preserve">develop tools to quantify the</w:t>
      </w:r>
      <w:r>
        <w:t xml:space="preserve"> </w:t>
      </w:r>
      <w:r>
        <w:rPr>
          <w:b/>
          <w:bCs/>
        </w:rPr>
        <w:t xml:space="preserve">probability of backtest overfitting</w:t>
      </w:r>
      <w:r>
        <w:t xml:space="preserve"> </w:t>
      </w:r>
      <w:r>
        <w:t xml:space="preserve">and address selection bias in performance statistics.</w:t>
      </w:r>
      <w:r>
        <w:t xml:space="preserve"> </w:t>
      </w:r>
      <w:hyperlink r:id="rId40">
        <w:r>
          <w:rPr>
            <w:rStyle w:val="Hyperlink"/>
          </w:rPr>
          <w:t xml:space="preserve">[27]</w:t>
        </w:r>
      </w:hyperlink>
    </w:p>
    <w:p>
      <w:pPr>
        <w:pStyle w:val="BodyText"/>
      </w:pPr>
      <w:r>
        <w:t xml:space="preserve">What this means for payout-goal planning:</w:t>
      </w:r>
    </w:p>
    <w:p>
      <w:pPr>
        <w:pStyle w:val="Compact"/>
        <w:numPr>
          <w:ilvl w:val="0"/>
          <w:numId w:val="1013"/>
        </w:numPr>
      </w:pPr>
      <w:r>
        <w:t xml:space="preserve">Your bot should not use a single point estimate</w:t>
      </w:r>
      <w:r>
        <w:t xml:space="preserve"> </w:t>
      </w:r>
      <m:oMath>
        <m:r>
          <m:t>p</m:t>
        </m:r>
      </m:oMath>
      <w:r>
        <w:t xml:space="preserve">.</w:t>
      </w:r>
    </w:p>
    <w:p>
      <w:pPr>
        <w:pStyle w:val="Compact"/>
        <w:numPr>
          <w:ilvl w:val="0"/>
          <w:numId w:val="1013"/>
        </w:numPr>
      </w:pPr>
      <w:r>
        <w:t xml:space="preserve">It should use a</w:t>
      </w:r>
      <w:r>
        <w:t xml:space="preserve"> </w:t>
      </w:r>
      <w:r>
        <w:rPr>
          <w:b/>
          <w:bCs/>
        </w:rPr>
        <w:t xml:space="preserve">conservative lower bound</w:t>
      </w:r>
      <w:r>
        <w:t xml:space="preserve"> </w:t>
      </w:r>
      <w:r>
        <w:t xml:space="preserve">(or Bayesian posterior) for edge, because the cost of overestimating</w:t>
      </w:r>
      <w:r>
        <w:t xml:space="preserve"> </w:t>
      </w:r>
      <m:oMath>
        <m:r>
          <m:t>p</m:t>
        </m:r>
      </m:oMath>
      <w:r>
        <w:t xml:space="preserve"> </w:t>
      </w:r>
      <w:r>
        <w:t xml:space="preserve">is nonlinear: it explodes ruin probability and drawdown risk.</w:t>
      </w:r>
      <w:r>
        <w:t xml:space="preserve"> </w:t>
      </w:r>
      <w:hyperlink r:id="rId40">
        <w:r>
          <w:rPr>
            <w:rStyle w:val="Hyperlink"/>
          </w:rPr>
          <w:t xml:space="preserve">[28]</w:t>
        </w:r>
      </w:hyperlink>
    </w:p>
    <w:bookmarkEnd w:id="41"/>
    <w:bookmarkStart w:id="43" w:name="X000ddb860f657328eec682497386506d4e8bc0e"/>
    <w:p>
      <w:pPr>
        <w:pStyle w:val="Heading3"/>
      </w:pPr>
      <w:r>
        <w:t xml:space="preserve">Operational and microstructure risks are real, not theoretical</w:t>
      </w:r>
    </w:p>
    <w:p>
      <w:pPr>
        <w:pStyle w:val="FirstParagraph"/>
      </w:pPr>
      <w:r>
        <w:t xml:space="preserve">The U.S. Securities and Exchange Commission</w:t>
      </w:r>
      <w:hyperlink r:id="rId24">
        <w:r>
          <w:rPr>
            <w:rStyle w:val="Hyperlink"/>
          </w:rPr>
          <w:t xml:space="preserve">[29]</w:t>
        </w:r>
      </w:hyperlink>
      <w:r>
        <w:t xml:space="preserve"> </w:t>
      </w:r>
      <w:r>
        <w:t xml:space="preserve">highlights multiple risk areas with automated trading, including malfunctioning or incorrectly deployed algorithms, abrupt liquidity changes, market integrity/manipulation risks, and the speed at which positions can change (risk management lag).</w:t>
      </w:r>
      <w:r>
        <w:t xml:space="preserve"> </w:t>
      </w:r>
      <w:hyperlink r:id="rId42">
        <w:r>
          <w:rPr>
            <w:rStyle w:val="Hyperlink"/>
          </w:rPr>
          <w:t xml:space="preserve">[30]</w:t>
        </w:r>
      </w:hyperlink>
    </w:p>
    <w:p>
      <w:pPr>
        <w:pStyle w:val="BodyText"/>
      </w:pPr>
      <w:r>
        <w:t xml:space="preserve">Architecturally, that means your “probability path” must sit behind hard controls, such as:</w:t>
      </w:r>
    </w:p>
    <w:p>
      <w:pPr>
        <w:pStyle w:val="Compact"/>
        <w:numPr>
          <w:ilvl w:val="0"/>
          <w:numId w:val="1014"/>
        </w:numPr>
      </w:pPr>
      <w:r>
        <w:t xml:space="preserve">maximum order rate / circuit breakers</w:t>
      </w:r>
    </w:p>
    <w:p>
      <w:pPr>
        <w:pStyle w:val="Compact"/>
        <w:numPr>
          <w:ilvl w:val="0"/>
          <w:numId w:val="1014"/>
        </w:numPr>
      </w:pPr>
      <w:r>
        <w:t xml:space="preserve">kill switch on abnormal fills or data feed anomalies</w:t>
      </w:r>
    </w:p>
    <w:p>
      <w:pPr>
        <w:pStyle w:val="Compact"/>
        <w:numPr>
          <w:ilvl w:val="0"/>
          <w:numId w:val="1014"/>
        </w:numPr>
      </w:pPr>
      <w:r>
        <w:t xml:space="preserve">max daily loss and max intraday drawdown</w:t>
      </w:r>
    </w:p>
    <w:p>
      <w:pPr>
        <w:pStyle w:val="Compact"/>
        <w:numPr>
          <w:ilvl w:val="0"/>
          <w:numId w:val="1014"/>
        </w:numPr>
      </w:pPr>
      <w:r>
        <w:t xml:space="preserve">position limits and leverage limits</w:t>
      </w:r>
      <w:r>
        <w:t xml:space="preserve"> </w:t>
      </w:r>
      <w:hyperlink r:id="rId42">
        <w:r>
          <w:rPr>
            <w:rStyle w:val="Hyperlink"/>
          </w:rPr>
          <w:t xml:space="preserve">[31]</w:t>
        </w:r>
      </w:hyperlink>
    </w:p>
    <w:bookmarkEnd w:id="43"/>
    <w:bookmarkStart w:id="45" w:name="Xad3a059add648c2bc38ddd88b820dfe31052ef2"/>
    <w:p>
      <w:pPr>
        <w:pStyle w:val="Heading3"/>
      </w:pPr>
      <w:r>
        <w:t xml:space="preserve">Regulatory warnings are aligned with the math</w:t>
      </w:r>
    </w:p>
    <w:p>
      <w:pPr>
        <w:pStyle w:val="FirstParagraph"/>
      </w:pPr>
      <w:r>
        <w:t xml:space="preserve">Day trading is repeatedly characterized by regulators as high risk, with many traders suffering severe losses; borrowing/margin increases the chance of losing everything and potentially more.</w:t>
      </w:r>
      <w:r>
        <w:t xml:space="preserve"> </w:t>
      </w:r>
      <w:hyperlink r:id="rId27">
        <w:r>
          <w:rPr>
            <w:rStyle w:val="Hyperlink"/>
          </w:rPr>
          <w:t xml:space="preserve">[9]</w:t>
        </w:r>
      </w:hyperlink>
    </w:p>
    <w:p>
      <w:pPr>
        <w:pStyle w:val="BodyText"/>
      </w:pPr>
      <w:r>
        <w:t xml:space="preserve">In addition, the U.S. Commodity Futures Trading Commission</w:t>
      </w:r>
      <w:hyperlink r:id="rId21">
        <w:r>
          <w:rPr>
            <w:rStyle w:val="Hyperlink"/>
          </w:rPr>
          <w:t xml:space="preserve">[32]</w:t>
        </w:r>
      </w:hyperlink>
      <w:r>
        <w:t xml:space="preserve"> </w:t>
      </w:r>
      <w:r>
        <w:t xml:space="preserve">warns the public that hype around “AI trading bots” is actively used in scams, emphasizing that purported high/guaranteed returns are red flags and that AI cannot “predict the future.”</w:t>
      </w:r>
      <w:r>
        <w:t xml:space="preserve"> </w:t>
      </w:r>
      <w:hyperlink r:id="rId44">
        <w:r>
          <w:rPr>
            <w:rStyle w:val="Hyperlink"/>
          </w:rPr>
          <w:t xml:space="preserve">[33]</w:t>
        </w:r>
      </w:hyperlink>
    </w:p>
    <w:p>
      <w:pPr>
        <w:pStyle w:val="BodyText"/>
      </w:pPr>
      <w:r>
        <w:t xml:space="preserve">These warnings matter because the math you are building will be used with real capital; your architecture should treat “too-good-to-be-true” edges as a threat model, not a feature request.</w:t>
      </w:r>
    </w:p>
    <w:bookmarkEnd w:id="45"/>
    <w:bookmarkStart w:id="46" w:name="X8b9959d6035af39e4930992a326e5543d2ac4f9"/>
    <w:p>
      <w:pPr>
        <w:pStyle w:val="Heading3"/>
      </w:pPr>
      <w:r>
        <w:t xml:space="preserve">A grounded baseline: active retail trading has historically underperformed</w:t>
      </w:r>
    </w:p>
    <w:p>
      <w:pPr>
        <w:pStyle w:val="FirstParagraph"/>
      </w:pPr>
      <w:r>
        <w:t xml:space="preserve">Academic evidence shows that frequent individual trading tends to underperform. Brad M. Barber</w:t>
      </w:r>
      <w:hyperlink r:id="rId21">
        <w:r>
          <w:rPr>
            <w:rStyle w:val="Hyperlink"/>
          </w:rPr>
          <w:t xml:space="preserve">[34]</w:t>
        </w:r>
      </w:hyperlink>
      <w:r>
        <w:t xml:space="preserve"> </w:t>
      </w:r>
      <w:r>
        <w:t xml:space="preserve">and Terrance Odean</w:t>
      </w:r>
      <w:hyperlink r:id="rId21">
        <w:r>
          <w:rPr>
            <w:rStyle w:val="Hyperlink"/>
          </w:rPr>
          <w:t xml:space="preserve">[35]</w:t>
        </w:r>
      </w:hyperlink>
      <w:r>
        <w:t xml:space="preserve"> </w:t>
      </w:r>
      <w:r>
        <w:t xml:space="preserve">report that households that traded the most earned substantially lower returns than the market during their sample period, framing “trading is hazardous to your wealth.”</w:t>
      </w:r>
      <w:r>
        <w:t xml:space="preserve"> </w:t>
      </w:r>
      <w:hyperlink r:id="rId23">
        <w:r>
          <w:rPr>
            <w:rStyle w:val="Hyperlink"/>
          </w:rPr>
          <w:t xml:space="preserve">[36]</w:t>
        </w:r>
      </w:hyperlink>
    </w:p>
    <w:p>
      <w:pPr>
        <w:pStyle w:val="BodyText"/>
      </w:pPr>
      <w:r>
        <w:t xml:space="preserve">This matters for your payout-goal math because it reinforces a conservative default prior:</w:t>
      </w:r>
      <w:r>
        <w:t xml:space="preserve"> </w:t>
      </w:r>
      <w:r>
        <w:rPr>
          <w:b/>
          <w:bCs/>
        </w:rPr>
        <w:t xml:space="preserve">assume your edge is small or negative until proven robust out-of-sample and net of costs</w:t>
      </w:r>
      <w:r>
        <w:t xml:space="preserve">.</w:t>
      </w:r>
      <w:r>
        <w:t xml:space="preserve"> </w:t>
      </w:r>
      <w:hyperlink r:id="rId23">
        <w:r>
          <w:rPr>
            <w:rStyle w:val="Hyperlink"/>
          </w:rPr>
          <w:t xml:space="preserve">[37]</w:t>
        </w:r>
      </w:hyperlink>
    </w:p>
    <w:bookmarkEnd w:id="46"/>
    <w:bookmarkEnd w:id="47"/>
    <w:bookmarkStart w:id="48" w:name="X1e073a2b8b186e22ec2d5e1dcba148f9ff613c4"/>
    <w:p>
      <w:pPr>
        <w:pStyle w:val="Heading2"/>
      </w:pPr>
      <w:r>
        <w:t xml:space="preserve">The most defensible probability basis for payout goals</w:t>
      </w:r>
    </w:p>
    <w:p>
      <w:pPr>
        <w:pStyle w:val="FirstParagraph"/>
      </w:pPr>
      <w:r>
        <w:t xml:space="preserve">Given your constraints (“$10 per effort,” probability-based trade selection, and the need to set “pull out now” vs “risk for more” waypoints), the most defensible foundation is:</w:t>
      </w:r>
    </w:p>
    <w:p>
      <w:pPr>
        <w:pStyle w:val="Compact"/>
        <w:numPr>
          <w:ilvl w:val="0"/>
          <w:numId w:val="1015"/>
        </w:numPr>
      </w:pPr>
      <w:r>
        <w:t xml:space="preserve">Use</w:t>
      </w:r>
      <w:r>
        <w:t xml:space="preserve"> </w:t>
      </w:r>
      <w:r>
        <w:rPr>
          <w:b/>
          <w:bCs/>
        </w:rPr>
        <w:t xml:space="preserve">hitting probabilities</w:t>
      </w:r>
      <w:r>
        <w:t xml:space="preserve"> </w:t>
      </w:r>
      <w:r>
        <w:t xml:space="preserve">(upper goal vs lower floor) as the primary planning object. This immediately yields “risk</w:t>
      </w:r>
      <w:r>
        <w:t xml:space="preserve"> </w:t>
      </w:r>
      <m:oMath>
        <m:r>
          <m:t>x</m:t>
        </m:r>
      </m:oMath>
      <w:r>
        <w:t xml:space="preserve"> </w:t>
      </w:r>
      <w:r>
        <w:t xml:space="preserve">for payout</w:t>
      </w:r>
      <w:r>
        <w:t xml:space="preserve"> </w:t>
      </w:r>
      <m:oMath>
        <m:r>
          <m:t>y</m:t>
        </m:r>
      </m:oMath>
      <w:r>
        <w:t xml:space="preserve">” numbers that are interpretable and testable.</w:t>
      </w:r>
      <w:r>
        <w:t xml:space="preserve"> </w:t>
      </w:r>
      <w:hyperlink r:id="rId21">
        <w:r>
          <w:rPr>
            <w:rStyle w:val="Hyperlink"/>
          </w:rPr>
          <w:t xml:space="preserve">[11]</w:t>
        </w:r>
      </w:hyperlink>
    </w:p>
    <w:p>
      <w:pPr>
        <w:pStyle w:val="Compact"/>
        <w:numPr>
          <w:ilvl w:val="0"/>
          <w:numId w:val="1015"/>
        </w:numPr>
      </w:pPr>
      <w:r>
        <w:t xml:space="preserve">Treat “edge” as uncertain; plan using conservative estimates because overfitting is common and costly.</w:t>
      </w:r>
      <w:r>
        <w:t xml:space="preserve"> </w:t>
      </w:r>
      <w:hyperlink r:id="rId40">
        <w:r>
          <w:rPr>
            <w:rStyle w:val="Hyperlink"/>
          </w:rPr>
          <w:t xml:space="preserve">[27]</w:t>
        </w:r>
      </w:hyperlink>
    </w:p>
    <w:p>
      <w:pPr>
        <w:pStyle w:val="Compact"/>
        <w:numPr>
          <w:ilvl w:val="0"/>
          <w:numId w:val="1015"/>
        </w:numPr>
      </w:pPr>
      <w:r>
        <w:t xml:space="preserve">If using proportional sizing, prefer</w:t>
      </w:r>
      <w:r>
        <w:t xml:space="preserve"> </w:t>
      </w:r>
      <w:r>
        <w:rPr>
          <w:b/>
          <w:bCs/>
        </w:rPr>
        <w:t xml:space="preserve">fractional Kelly</w:t>
      </w:r>
      <w:r>
        <w:t xml:space="preserve"> </w:t>
      </w:r>
      <w:r>
        <w:t xml:space="preserve">rather than full Kelly for finite-horizon survivability, and explicitly model the growth–security tradeoff.</w:t>
      </w:r>
      <w:r>
        <w:t xml:space="preserve"> </w:t>
      </w:r>
      <w:hyperlink r:id="rId32">
        <w:r>
          <w:rPr>
            <w:rStyle w:val="Hyperlink"/>
          </w:rPr>
          <w:t xml:space="preserve">[20]</w:t>
        </w:r>
      </w:hyperlink>
    </w:p>
    <w:p>
      <w:pPr>
        <w:pStyle w:val="Compact"/>
        <w:numPr>
          <w:ilvl w:val="0"/>
          <w:numId w:val="1015"/>
        </w:numPr>
      </w:pPr>
      <w:r>
        <w:t xml:space="preserve">Architecturally enforce non-negotiable controls because algorithmic trading introduces operational and liquidity risks that can dominate your modeled probabilities.</w:t>
      </w:r>
      <w:r>
        <w:t xml:space="preserve"> </w:t>
      </w:r>
      <w:hyperlink r:id="rId42">
        <w:r>
          <w:rPr>
            <w:rStyle w:val="Hyperlink"/>
          </w:rPr>
          <w:t xml:space="preserve">[38]</w:t>
        </w:r>
      </w:hyperlink>
    </w:p>
    <w:p>
      <w:pPr>
        <w:pStyle w:val="FirstParagraph"/>
      </w:pPr>
      <w:r>
        <w:t xml:space="preserve">Finally, a definitive conclusion under the simplest “$10 step” milestone model:</w:t>
      </w:r>
    </w:p>
    <w:p>
      <w:pPr>
        <w:pStyle w:val="BodyText"/>
      </w:pPr>
      <w:r>
        <w:t xml:space="preserve">Starting at</w:t>
      </w:r>
      <w:r>
        <w:t xml:space="preserve"> </w:t>
      </w:r>
      <w:r>
        <w:rPr>
          <w:b/>
          <w:bCs/>
        </w:rPr>
        <w:t xml:space="preserve">$10 with $10-per-effort</w:t>
      </w:r>
      <w:r>
        <w:t xml:space="preserve">, even a seemingly strong constant edge (for example</w:t>
      </w:r>
      <w:r>
        <w:t xml:space="preserve"> </w:t>
      </w:r>
      <m:oMath>
        <m:r>
          <m:t>p</m:t>
        </m:r>
        <m:r>
          <m:rPr>
            <m:sty m:val="p"/>
          </m:rPr>
          <m:t>=</m:t>
        </m:r>
        <m:r>
          <m:t>0.55</m:t>
        </m:r>
      </m:oMath>
      <w:r>
        <w:t xml:space="preserve"> </w:t>
      </w:r>
      <w:r>
        <w:t xml:space="preserve">in the ±$10 model) still implies a high probability of total loss before you build a safety cushion (about</w:t>
      </w:r>
      <w:r>
        <w:t xml:space="preserve"> </w:t>
      </w:r>
      <w:r>
        <w:rPr>
          <w:b/>
          <w:bCs/>
        </w:rPr>
        <w:t xml:space="preserve">81.8%</w:t>
      </w:r>
      <w:r>
        <w:t xml:space="preserve"> </w:t>
      </w:r>
      <w:r>
        <w:t xml:space="preserve">chance of eventual ruin if you “play until you either get rich or go broke,” because ruin probability is</w:t>
      </w:r>
      <w:r>
        <w:t xml:space="preserve"> </w:t>
      </w:r>
      <m:oMath>
        <m:r>
          <m:t>q</m:t>
        </m:r>
        <m:r>
          <m:rPr>
            <m:sty m:val="p"/>
          </m:rPr>
          <m:t>/</m:t>
        </m:r>
        <m:r>
          <m:t>p</m:t>
        </m:r>
      </m:oMath>
      <w:r>
        <w:t xml:space="preserve"> </w:t>
      </w:r>
      <w:r>
        <w:t xml:space="preserve">at</w:t>
      </w:r>
      <w:r>
        <w:t xml:space="preserve"> </w:t>
      </w:r>
      <m:oMath>
        <m:r>
          <m:t>i</m:t>
        </m:r>
        <m:r>
          <m:rPr>
            <m:sty m:val="p"/>
          </m:rPr>
          <m:t>=</m:t>
        </m:r>
        <m:r>
          <m:t>1</m:t>
        </m:r>
      </m:oMath>
      <w:r>
        <w:t xml:space="preserve">).</w:t>
      </w:r>
      <w:r>
        <w:t xml:space="preserve"> </w:t>
      </w:r>
      <w:hyperlink r:id="rId21">
        <w:r>
          <w:rPr>
            <w:rStyle w:val="Hyperlink"/>
          </w:rPr>
          <w:t xml:space="preserve">[13]</w:t>
        </w:r>
      </w:hyperlink>
    </w:p>
    <w:p>
      <w:pPr>
        <w:pStyle w:val="BodyText"/>
      </w:pPr>
      <w:r>
        <w:t xml:space="preserve">So if your goal is “highest probability,” the math forces one of two design choices:</w:t>
      </w:r>
    </w:p>
    <w:p>
      <w:pPr>
        <w:pStyle w:val="Compact"/>
        <w:numPr>
          <w:ilvl w:val="0"/>
          <w:numId w:val="1016"/>
        </w:numPr>
      </w:pPr>
      <w:r>
        <w:rPr>
          <w:b/>
          <w:bCs/>
        </w:rPr>
        <w:t xml:space="preserve">Lower the per-effort risk below $10</w:t>
      </w:r>
      <w:r>
        <w:t xml:space="preserve">, or</w:t>
      </w:r>
    </w:p>
    <w:p>
      <w:pPr>
        <w:pStyle w:val="Compact"/>
        <w:numPr>
          <w:ilvl w:val="0"/>
          <w:numId w:val="1016"/>
        </w:numPr>
      </w:pPr>
      <w:r>
        <w:rPr>
          <w:b/>
          <w:bCs/>
        </w:rPr>
        <w:t xml:space="preserve">Increase initial bankroll above $10</w:t>
      </w:r>
      <w:r>
        <w:t xml:space="preserve"> </w:t>
      </w:r>
      <w:r>
        <w:t xml:space="preserve">(so</w:t>
      </w:r>
      <w:r>
        <w:t xml:space="preserve"> </w:t>
      </w:r>
      <m:oMath>
        <m:r>
          <m:t>i</m:t>
        </m:r>
      </m:oMath>
      <w:r>
        <w:t xml:space="preserve"> </w:t>
      </w:r>
      <w:r>
        <w:t xml:space="preserve">is meaningfully greater than 1 in units of risk).</w:t>
      </w:r>
      <w:r>
        <w:t xml:space="preserve"> </w:t>
      </w:r>
      <w:hyperlink r:id="rId21">
        <w:r>
          <w:rPr>
            <w:rStyle w:val="Hyperlink"/>
          </w:rPr>
          <w:t xml:space="preserve">[24]</w:t>
        </w:r>
      </w:hyperlink>
    </w:p>
    <w:bookmarkEnd w:id="48"/>
    <w:bookmarkEnd w:id="49"/>
    <w:bookmarkEnd w:id="50"/>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[7]</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hyperlink r:id="rId21">
        <w:r>
          <w:rPr>
            <w:rStyle w:val="Hyperlink"/>
          </w:rPr>
          <w:t xml:space="preserve">[13]</w:t>
        </w:r>
      </w:hyperlink>
      <w:r>
        <w:t xml:space="preserve"> </w:t>
      </w:r>
      <w:hyperlink r:id="rId21">
        <w:r>
          <w:rPr>
            <w:rStyle w:val="Hyperlink"/>
          </w:rPr>
          <w:t xml:space="preserve">[14]</w:t>
        </w:r>
      </w:hyperlink>
      <w:r>
        <w:t xml:space="preserve"> </w:t>
      </w:r>
      <w:hyperlink r:id="rId21">
        <w:r>
          <w:rPr>
            <w:rStyle w:val="Hyperlink"/>
          </w:rPr>
          <w:t xml:space="preserve">[16]</w:t>
        </w:r>
      </w:hyperlink>
      <w:r>
        <w:t xml:space="preserve"> </w:t>
      </w:r>
      <w:hyperlink r:id="rId21">
        <w:r>
          <w:rPr>
            <w:rStyle w:val="Hyperlink"/>
          </w:rPr>
          <w:t xml:space="preserve">[18]</w:t>
        </w:r>
      </w:hyperlink>
      <w:r>
        <w:t xml:space="preserve"> </w:t>
      </w:r>
      <w:hyperlink r:id="rId21">
        <w:r>
          <w:rPr>
            <w:rStyle w:val="Hyperlink"/>
          </w:rPr>
          <w:t xml:space="preserve">[21]</w:t>
        </w:r>
      </w:hyperlink>
      <w:r>
        <w:t xml:space="preserve"> </w:t>
      </w:r>
      <w:hyperlink r:id="rId21">
        <w:r>
          <w:rPr>
            <w:rStyle w:val="Hyperlink"/>
          </w:rPr>
          <w:t xml:space="preserve">[22]</w:t>
        </w:r>
      </w:hyperlink>
      <w:r>
        <w:t xml:space="preserve"> </w:t>
      </w:r>
      <w:hyperlink r:id="rId21">
        <w:r>
          <w:rPr>
            <w:rStyle w:val="Hyperlink"/>
          </w:rPr>
          <w:t xml:space="preserve">[23]</w:t>
        </w:r>
      </w:hyperlink>
      <w:r>
        <w:t xml:space="preserve"> </w:t>
      </w:r>
      <w:hyperlink r:id="rId21">
        <w:r>
          <w:rPr>
            <w:rStyle w:val="Hyperlink"/>
          </w:rPr>
          <w:t xml:space="preserve">[24]</w:t>
        </w:r>
      </w:hyperlink>
      <w:r>
        <w:t xml:space="preserve"> </w:t>
      </w:r>
      <w:hyperlink r:id="rId21">
        <w:r>
          <w:rPr>
            <w:rStyle w:val="Hyperlink"/>
          </w:rPr>
          <w:t xml:space="preserve">[25]</w:t>
        </w:r>
      </w:hyperlink>
      <w:r>
        <w:t xml:space="preserve"> </w:t>
      </w:r>
      <w:hyperlink r:id="rId21">
        <w:r>
          <w:rPr>
            <w:rStyle w:val="Hyperlink"/>
          </w:rPr>
          <w:t xml:space="preserve">[26]</w:t>
        </w:r>
      </w:hyperlink>
      <w:r>
        <w:t xml:space="preserve"> </w:t>
      </w:r>
      <w:hyperlink r:id="rId21">
        <w:r>
          <w:rPr>
            <w:rStyle w:val="Hyperlink"/>
          </w:rPr>
          <w:t xml:space="preserve">[32]</w:t>
        </w:r>
      </w:hyperlink>
      <w:r>
        <w:t xml:space="preserve"> </w:t>
      </w:r>
      <w:hyperlink r:id="rId21">
        <w:r>
          <w:rPr>
            <w:rStyle w:val="Hyperlink"/>
          </w:rPr>
          <w:t xml:space="preserve">[34]</w:t>
        </w:r>
      </w:hyperlink>
      <w:r>
        <w:t xml:space="preserve"> </w:t>
      </w:r>
      <w:hyperlink r:id="rId21">
        <w:r>
          <w:rPr>
            <w:rStyle w:val="Hyperlink"/>
          </w:rPr>
          <w:t xml:space="preserve">[35]</w:t>
        </w:r>
      </w:hyperlink>
      <w:r>
        <w:t xml:space="preserve"> </w:t>
      </w:r>
      <w:r>
        <w:t xml:space="preserve">https://www.columbia.edu/~ks20/FE-Notes/4700-07-Notes-GR.pdf</w:t>
      </w:r>
    </w:p>
    <w:p>
      <w:pPr>
        <w:pStyle w:val="BodyText"/>
      </w:pPr>
      <w:hyperlink r:id="rId21">
        <w:r>
          <w:rPr>
            <w:rStyle w:val="Hyperlink"/>
          </w:rPr>
          <w:t xml:space="preserve">https://www.columbia.edu/~ks20/FE-Notes/4700-07-Notes-GR.pdf</w:t>
        </w:r>
      </w:hyperlink>
    </w:p>
    <w:p>
      <w:pPr>
        <w:pStyle w:val="BodyText"/>
      </w:pPr>
      <w:hyperlink r:id="rId22">
        <w:r>
          <w:rPr>
            <w:rStyle w:val="Hyperlink"/>
          </w:rPr>
          <w:t xml:space="preserve">[2]</w:t>
        </w:r>
      </w:hyperlink>
      <w:r>
        <w:t xml:space="preserve"> </w:t>
      </w:r>
      <w:r>
        <w:t xml:space="preserve">Stopping Times</w:t>
      </w:r>
    </w:p>
    <w:p>
      <w:pPr>
        <w:pStyle w:val="BodyText"/>
      </w:pPr>
      <w:hyperlink r:id="rId22">
        <w:r>
          <w:rPr>
            <w:rStyle w:val="Hyperlink"/>
          </w:rPr>
          <w:t xml:space="preserve">https://www.randomservices.org/random/martingales/Stop.html</w:t>
        </w:r>
      </w:hyperlink>
    </w:p>
    <w:p>
      <w:pPr>
        <w:pStyle w:val="BodyText"/>
      </w:pPr>
      <w:hyperlink r:id="rId23">
        <w:r>
          <w:rPr>
            <w:rStyle w:val="Hyperlink"/>
          </w:rPr>
          <w:t xml:space="preserve">[3]</w:t>
        </w:r>
      </w:hyperlink>
      <w:r>
        <w:t xml:space="preserve"> </w:t>
      </w:r>
      <w:hyperlink r:id="rId23">
        <w:r>
          <w:rPr>
            <w:rStyle w:val="Hyperlink"/>
          </w:rPr>
          <w:t xml:space="preserve">[36]</w:t>
        </w:r>
      </w:hyperlink>
      <w:r>
        <w:t xml:space="preserve"> </w:t>
      </w:r>
      <w:hyperlink r:id="rId23">
        <w:r>
          <w:rPr>
            <w:rStyle w:val="Hyperlink"/>
          </w:rPr>
          <w:t xml:space="preserve">[37]</w:t>
        </w:r>
      </w:hyperlink>
      <w:r>
        <w:t xml:space="preserve"> </w:t>
      </w:r>
      <w:r>
        <w:t xml:space="preserve">https://faculty.haas.berkeley.edu/odean/papers/returns/individual_investor_performance_4-99.pdf</w:t>
      </w:r>
    </w:p>
    <w:p>
      <w:pPr>
        <w:pStyle w:val="BodyText"/>
      </w:pPr>
      <w:hyperlink r:id="rId23">
        <w:r>
          <w:rPr>
            <w:rStyle w:val="Hyperlink"/>
          </w:rPr>
          <w:t xml:space="preserve">https://faculty.haas.berkeley.edu/odean/papers/returns/individual_investor_performance_4-99.pdf</w:t>
        </w:r>
      </w:hyperlink>
    </w:p>
    <w:p>
      <w:pPr>
        <w:pStyle w:val="BodyText"/>
      </w:pPr>
      <w:hyperlink r:id="rId24">
        <w:r>
          <w:rPr>
            <w:rStyle w:val="Hyperlink"/>
          </w:rPr>
          <w:t xml:space="preserve">[4]</w:t>
        </w:r>
      </w:hyperlink>
      <w:r>
        <w:t xml:space="preserve"> </w:t>
      </w:r>
      <w:hyperlink r:id="rId24">
        <w:r>
          <w:rPr>
            <w:rStyle w:val="Hyperlink"/>
          </w:rPr>
          <w:t xml:space="preserve">[8]</w:t>
        </w:r>
      </w:hyperlink>
      <w:r>
        <w:t xml:space="preserve"> </w:t>
      </w:r>
      <w:hyperlink r:id="rId24">
        <w:r>
          <w:rPr>
            <w:rStyle w:val="Hyperlink"/>
          </w:rPr>
          <w:t xml:space="preserve">[15]</w:t>
        </w:r>
      </w:hyperlink>
      <w:r>
        <w:t xml:space="preserve"> </w:t>
      </w:r>
      <w:hyperlink r:id="rId24">
        <w:r>
          <w:rPr>
            <w:rStyle w:val="Hyperlink"/>
          </w:rPr>
          <w:t xml:space="preserve">[29]</w:t>
        </w:r>
      </w:hyperlink>
      <w:r>
        <w:t xml:space="preserve"> </w:t>
      </w:r>
      <w:r>
        <w:t xml:space="preserve">https://www.princeton.edu/~wbialek/rome/refs/kelly_56.pdf</w:t>
      </w:r>
    </w:p>
    <w:p>
      <w:pPr>
        <w:pStyle w:val="BodyText"/>
      </w:pPr>
      <w:hyperlink r:id="rId24">
        <w:r>
          <w:rPr>
            <w:rStyle w:val="Hyperlink"/>
          </w:rPr>
          <w:t xml:space="preserve">https://www.princeton.edu/~wbialek/rome/refs/kelly_56.pdf</w:t>
        </w:r>
      </w:hyperlink>
    </w:p>
    <w:p>
      <w:pPr>
        <w:pStyle w:val="BodyText"/>
      </w:pPr>
      <w:hyperlink r:id="rId26">
        <w:r>
          <w:rPr>
            <w:rStyle w:val="Hyperlink"/>
          </w:rPr>
          <w:t xml:space="preserve">[6]</w:t>
        </w:r>
      </w:hyperlink>
      <w:r>
        <w:t xml:space="preserve"> </w:t>
      </w:r>
      <w:r>
        <w:t xml:space="preserve">math.dartmouth.edu</w:t>
      </w:r>
    </w:p>
    <w:p>
      <w:pPr>
        <w:pStyle w:val="BodyText"/>
      </w:pPr>
      <w:hyperlink r:id="rId26">
        <w:r>
          <w:rPr>
            <w:rStyle w:val="Hyperlink"/>
          </w:rPr>
          <w:t xml:space="preserve">https://math.dartmouth.edu/~pw/math100w13/lalonde.pdf</w:t>
        </w:r>
      </w:hyperlink>
    </w:p>
    <w:p>
      <w:pPr>
        <w:pStyle w:val="BodyText"/>
      </w:pPr>
      <w:hyperlink r:id="rId27">
        <w:r>
          <w:rPr>
            <w:rStyle w:val="Hyperlink"/>
          </w:rPr>
          <w:t xml:space="preserve">[9]</w:t>
        </w:r>
      </w:hyperlink>
      <w:r>
        <w:t xml:space="preserve"> </w:t>
      </w:r>
      <w:r>
        <w:t xml:space="preserve">https://www.sec.gov/about/reports-publications/investorpubsdaytipshtm</w:t>
      </w:r>
    </w:p>
    <w:p>
      <w:pPr>
        <w:pStyle w:val="BodyText"/>
      </w:pPr>
      <w:hyperlink r:id="rId27">
        <w:r>
          <w:rPr>
            <w:rStyle w:val="Hyperlink"/>
          </w:rPr>
          <w:t xml:space="preserve">https://www.sec.gov/about/reports-publications/investorpubsdaytipshtm</w:t>
        </w:r>
      </w:hyperlink>
    </w:p>
    <w:p>
      <w:pPr>
        <w:pStyle w:val="BodyText"/>
      </w:pPr>
      <w:hyperlink r:id="rId32">
        <w:r>
          <w:rPr>
            <w:rStyle w:val="Hyperlink"/>
          </w:rPr>
          <w:t xml:space="preserve">[17]</w:t>
        </w:r>
      </w:hyperlink>
      <w:r>
        <w:t xml:space="preserve"> </w:t>
      </w:r>
      <w:hyperlink r:id="rId32">
        <w:r>
          <w:rPr>
            <w:rStyle w:val="Hyperlink"/>
          </w:rPr>
          <w:t xml:space="preserve">[19]</w:t>
        </w:r>
      </w:hyperlink>
      <w:r>
        <w:t xml:space="preserve"> </w:t>
      </w:r>
      <w:hyperlink r:id="rId32">
        <w:r>
          <w:rPr>
            <w:rStyle w:val="Hyperlink"/>
          </w:rPr>
          <w:t xml:space="preserve">[20]</w:t>
        </w:r>
      </w:hyperlink>
      <w:r>
        <w:t xml:space="preserve"> </w:t>
      </w:r>
      <w:r>
        <w:t xml:space="preserve">https://www.edwardothorp.com/wp-content/uploads/2016/11/KellySimulationsNew.pdf</w:t>
      </w:r>
    </w:p>
    <w:p>
      <w:pPr>
        <w:pStyle w:val="BodyText"/>
      </w:pPr>
      <w:hyperlink r:id="rId32">
        <w:r>
          <w:rPr>
            <w:rStyle w:val="Hyperlink"/>
          </w:rPr>
          <w:t xml:space="preserve">https://www.edwardothorp.com/wp-content/uploads/2016/11/KellySimulationsNew.pdf</w:t>
        </w:r>
      </w:hyperlink>
    </w:p>
    <w:p>
      <w:pPr>
        <w:pStyle w:val="BodyText"/>
      </w:pPr>
      <w:hyperlink r:id="rId40">
        <w:r>
          <w:rPr>
            <w:rStyle w:val="Hyperlink"/>
          </w:rPr>
          <w:t xml:space="preserve">[27]</w:t>
        </w:r>
      </w:hyperlink>
      <w:r>
        <w:t xml:space="preserve"> </w:t>
      </w:r>
      <w:hyperlink r:id="rId40">
        <w:r>
          <w:rPr>
            <w:rStyle w:val="Hyperlink"/>
          </w:rPr>
          <w:t xml:space="preserve">[28]</w:t>
        </w:r>
      </w:hyperlink>
      <w:r>
        <w:t xml:space="preserve"> </w:t>
      </w:r>
      <w:r>
        <w:t xml:space="preserve">https://www.davidhbailey.com/dhbpapers/backtest-prob.pdf</w:t>
      </w:r>
    </w:p>
    <w:p>
      <w:pPr>
        <w:pStyle w:val="BodyText"/>
      </w:pPr>
      <w:hyperlink r:id="rId40">
        <w:r>
          <w:rPr>
            <w:rStyle w:val="Hyperlink"/>
          </w:rPr>
          <w:t xml:space="preserve">https://www.davidhbailey.com/dhbpapers/backtest-prob.pdf</w:t>
        </w:r>
      </w:hyperlink>
    </w:p>
    <w:p>
      <w:pPr>
        <w:pStyle w:val="BodyText"/>
      </w:pPr>
      <w:hyperlink r:id="rId42">
        <w:r>
          <w:rPr>
            <w:rStyle w:val="Hyperlink"/>
          </w:rPr>
          <w:t xml:space="preserve">[30]</w:t>
        </w:r>
      </w:hyperlink>
      <w:r>
        <w:t xml:space="preserve"> </w:t>
      </w:r>
      <w:hyperlink r:id="rId42">
        <w:r>
          <w:rPr>
            <w:rStyle w:val="Hyperlink"/>
          </w:rPr>
          <w:t xml:space="preserve">[31]</w:t>
        </w:r>
      </w:hyperlink>
      <w:r>
        <w:t xml:space="preserve"> </w:t>
      </w:r>
      <w:hyperlink r:id="rId42">
        <w:r>
          <w:rPr>
            <w:rStyle w:val="Hyperlink"/>
          </w:rPr>
          <w:t xml:space="preserve">[38]</w:t>
        </w:r>
      </w:hyperlink>
      <w:r>
        <w:t xml:space="preserve"> </w:t>
      </w:r>
      <w:r>
        <w:t xml:space="preserve">https://www.sec.gov/files/algo_trading_report_2020.pdf</w:t>
      </w:r>
    </w:p>
    <w:p>
      <w:pPr>
        <w:pStyle w:val="BodyText"/>
      </w:pPr>
      <w:hyperlink r:id="rId42">
        <w:r>
          <w:rPr>
            <w:rStyle w:val="Hyperlink"/>
          </w:rPr>
          <w:t xml:space="preserve">https://www.sec.gov/files/algo_trading_report_2020.pdf</w:t>
        </w:r>
      </w:hyperlink>
    </w:p>
    <w:p>
      <w:pPr>
        <w:pStyle w:val="BodyText"/>
      </w:pPr>
      <w:hyperlink r:id="rId44">
        <w:r>
          <w:rPr>
            <w:rStyle w:val="Hyperlink"/>
          </w:rPr>
          <w:t xml:space="preserve">[33]</w:t>
        </w:r>
      </w:hyperlink>
      <w:r>
        <w:t xml:space="preserve"> </w:t>
      </w:r>
      <w:r>
        <w:t xml:space="preserve">https://www.cftc.gov/PressRoom/PressReleases/8854-24</w:t>
      </w:r>
    </w:p>
    <w:p>
      <w:pPr>
        <w:pStyle w:val="BodyText"/>
      </w:pPr>
      <w:hyperlink r:id="rId44">
        <w:r>
          <w:rPr>
            <w:rStyle w:val="Hyperlink"/>
          </w:rPr>
          <w:t xml:space="preserve">https://www.cftc.gov/PressRoom/PressReleases/8854-24</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faculty.haas.berkeley.edu/odean/papers/returns/individual_investor_performance_4-99.pdf" TargetMode="External" /><Relationship Type="http://schemas.openxmlformats.org/officeDocument/2006/relationships/hyperlink" Id="rId26" Target="https://math.dartmouth.edu/~pw/math100w13/lalonde.pdf" TargetMode="External" /><Relationship Type="http://schemas.openxmlformats.org/officeDocument/2006/relationships/hyperlink" Id="rId44" Target="https://www.cftc.gov/PressRoom/PressReleases/8854-24" TargetMode="External" /><Relationship Type="http://schemas.openxmlformats.org/officeDocument/2006/relationships/hyperlink" Id="rId21" Target="https://www.columbia.edu/~ks20/FE-Notes/4700-07-Notes-GR.pdf" TargetMode="External" /><Relationship Type="http://schemas.openxmlformats.org/officeDocument/2006/relationships/hyperlink" Id="rId40" Target="https://www.davidhbailey.com/dhbpapers/backtest-prob.pdf" TargetMode="External" /><Relationship Type="http://schemas.openxmlformats.org/officeDocument/2006/relationships/hyperlink" Id="rId32" Target="https://www.edwardothorp.com/wp-content/uploads/2016/11/KellySimulationsNew.pdf" TargetMode="External" /><Relationship Type="http://schemas.openxmlformats.org/officeDocument/2006/relationships/hyperlink" Id="rId24" Target="https://www.princeton.edu/~wbialek/rome/refs/kelly_56.pdf" TargetMode="External" /><Relationship Type="http://schemas.openxmlformats.org/officeDocument/2006/relationships/hyperlink" Id="rId22" Target="https://www.randomservices.org/random/martingales/Stop.html" TargetMode="External" /><Relationship Type="http://schemas.openxmlformats.org/officeDocument/2006/relationships/hyperlink" Id="rId27" Target="https://www.sec.gov/about/reports-publications/investorpubsdaytipshtm" TargetMode="External" /><Relationship Type="http://schemas.openxmlformats.org/officeDocument/2006/relationships/hyperlink" Id="rId42" Target="https://www.sec.gov/files/algo_trading_report_2020.pdf" TargetMode="External" /></Relationships>
</file>

<file path=word/_rels/footnotes.xml.rels><?xml version="1.0" encoding="UTF-8"?><Relationships xmlns="http://schemas.openxmlformats.org/package/2006/relationships"><Relationship Type="http://schemas.openxmlformats.org/officeDocument/2006/relationships/hyperlink" Id="rId23" Target="https://faculty.haas.berkeley.edu/odean/papers/returns/individual_investor_performance_4-99.pdf" TargetMode="External" /><Relationship Type="http://schemas.openxmlformats.org/officeDocument/2006/relationships/hyperlink" Id="rId26" Target="https://math.dartmouth.edu/~pw/math100w13/lalonde.pdf" TargetMode="External" /><Relationship Type="http://schemas.openxmlformats.org/officeDocument/2006/relationships/hyperlink" Id="rId44" Target="https://www.cftc.gov/PressRoom/PressReleases/8854-24" TargetMode="External" /><Relationship Type="http://schemas.openxmlformats.org/officeDocument/2006/relationships/hyperlink" Id="rId21" Target="https://www.columbia.edu/~ks20/FE-Notes/4700-07-Notes-GR.pdf" TargetMode="External" /><Relationship Type="http://schemas.openxmlformats.org/officeDocument/2006/relationships/hyperlink" Id="rId40" Target="https://www.davidhbailey.com/dhbpapers/backtest-prob.pdf" TargetMode="External" /><Relationship Type="http://schemas.openxmlformats.org/officeDocument/2006/relationships/hyperlink" Id="rId32" Target="https://www.edwardothorp.com/wp-content/uploads/2016/11/KellySimulationsNew.pdf" TargetMode="External" /><Relationship Type="http://schemas.openxmlformats.org/officeDocument/2006/relationships/hyperlink" Id="rId24" Target="https://www.princeton.edu/~wbialek/rome/refs/kelly_56.pdf" TargetMode="External" /><Relationship Type="http://schemas.openxmlformats.org/officeDocument/2006/relationships/hyperlink" Id="rId22" Target="https://www.randomservices.org/random/martingales/Stop.html" TargetMode="External" /><Relationship Type="http://schemas.openxmlformats.org/officeDocument/2006/relationships/hyperlink" Id="rId27" Target="https://www.sec.gov/about/reports-publications/investorpubsdaytipshtm" TargetMode="External" /><Relationship Type="http://schemas.openxmlformats.org/officeDocument/2006/relationships/hyperlink" Id="rId42" Target="https://www.sec.gov/files/algo_trading_report_2020.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2026-03-27T22:26:58Z</dcterms:created>
  <dcterms:modified xsi:type="dcterms:W3CDTF">2026-03-27T22:26:58Z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