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1" w:name="content"/>
    <w:bookmarkStart w:id="80" w:name="Xd77a5596a9ee57a401f272299ae8606b9966f41"/>
    <w:p>
      <w:pPr>
        <w:pStyle w:val="Heading1"/>
      </w:pPr>
      <w:r>
        <w:t xml:space="preserve">Probability-Driven Trading or Betting Agent With $10 Risk Per Effort</w:t>
      </w:r>
    </w:p>
    <w:bookmarkStart w:id="24" w:name="executive-summary"/>
    <w:p>
      <w:pPr>
        <w:pStyle w:val="Heading2"/>
      </w:pPr>
      <w:r>
        <w:t xml:space="preserve">Executive summary</w:t>
      </w:r>
    </w:p>
    <w:p>
      <w:pPr>
        <w:pStyle w:val="FirstParagraph"/>
      </w:pPr>
      <w:r>
        <w:t xml:space="preserve">A probability-driven agent that “risks $10 per effort” can be modeled (as you requested) as a discrete-time random walk in</w:t>
      </w:r>
      <w:r>
        <w:t xml:space="preserve"> </w:t>
      </w:r>
      <w:r>
        <w:rPr>
          <w:b/>
          <w:bCs/>
        </w:rPr>
        <w:t xml:space="preserve">$10 units</w:t>
      </w:r>
      <w:r>
        <w:t xml:space="preserve"> </w:t>
      </w:r>
      <w:r>
        <w:t xml:space="preserve">that moves</w:t>
      </w:r>
      <w:r>
        <w:t xml:space="preserve"> </w:t>
      </w:r>
      <w:r>
        <w:rPr>
          <w:b/>
          <w:bCs/>
        </w:rPr>
        <w:t xml:space="preserve">+1 unit with probability</w:t>
      </w:r>
      <w:r>
        <w:rPr>
          <w:b/>
          <w:bCs/>
        </w:rPr>
        <w:t xml:space="preserve"> </w:t>
      </w:r>
      <m:oMath>
        <m:r>
          <m:t>p</m:t>
        </m:r>
      </m:oMath>
      <w:r>
        <w:t xml:space="preserve"> </w:t>
      </w:r>
      <w:r>
        <w:t xml:space="preserve">and</w:t>
      </w:r>
      <w:r>
        <w:t xml:space="preserve"> </w:t>
      </w:r>
      <w:r>
        <w:rPr>
          <w:b/>
          <w:bCs/>
        </w:rPr>
        <w:t xml:space="preserve">−1 unit with probability</w:t>
      </w:r>
      <w:r>
        <w:rPr>
          <w:b/>
          <w:bCs/>
        </w:rPr>
        <w:t xml:space="preserve"> </w:t>
      </w:r>
      <m:oMath>
        <m:r>
          <m:t>1</m:t>
        </m:r>
        <m:r>
          <m:rPr>
            <m:sty m:val="p"/>
          </m:rPr>
          <m:t>−</m:t>
        </m:r>
        <m:r>
          <m:t>p</m:t>
        </m:r>
      </m:oMath>
      <w:r>
        <w:t xml:space="preserve">, stopping at</w:t>
      </w:r>
      <w:r>
        <w:t xml:space="preserve"> </w:t>
      </w:r>
      <w:r>
        <w:rPr>
          <w:b/>
          <w:bCs/>
        </w:rPr>
        <w:t xml:space="preserve">ruin</w:t>
      </w:r>
      <w:r>
        <w:t xml:space="preserve"> </w:t>
      </w:r>
      <w:r>
        <w:t xml:space="preserve">(bankroll hits $0) or</w:t>
      </w:r>
      <w:r>
        <w:t xml:space="preserve"> </w:t>
      </w:r>
      <w:r>
        <w:rPr>
          <w:b/>
          <w:bCs/>
        </w:rPr>
        <w:t xml:space="preserve">success</w:t>
      </w:r>
      <w:r>
        <w:t xml:space="preserve"> </w:t>
      </w:r>
      <w:r>
        <w:t xml:space="preserve">(bankroll hits a target). Under this model, the probability of reaching a target before ruin is the classic</w:t>
      </w:r>
      <w:r>
        <w:t xml:space="preserve"> </w:t>
      </w:r>
      <w:r>
        <w:rPr>
          <w:b/>
          <w:bCs/>
        </w:rPr>
        <w:t xml:space="preserve">gambler’s-ruin hitting probability</w:t>
      </w:r>
      <w:r>
        <w:t xml:space="preserve">, which has a closed-form solution and yields directly computable “probability paths” to laddered payout goals.</w:t>
      </w:r>
      <w:r>
        <w:t xml:space="preserve"> </w:t>
      </w:r>
      <w:hyperlink r:id="rId21">
        <w:r>
          <w:rPr>
            <w:rStyle w:val="Hyperlink"/>
          </w:rPr>
          <w:t xml:space="preserve">[1]</w:t>
        </w:r>
      </w:hyperlink>
    </w:p>
    <w:p>
      <w:pPr>
        <w:pStyle w:val="BodyText"/>
      </w:pPr>
      <w:r>
        <w:t xml:space="preserve">Two results dominate the architecture:</w:t>
      </w:r>
    </w:p>
    <w:p>
      <w:pPr>
        <w:pStyle w:val="BodyText"/>
      </w:pPr>
      <w:r>
        <w:t xml:space="preserve">Starting at</w:t>
      </w:r>
      <w:r>
        <w:t xml:space="preserve"> </w:t>
      </w:r>
      <w:r>
        <w:rPr>
          <w:b/>
          <w:bCs/>
        </w:rPr>
        <w:t xml:space="preserve">$10</w:t>
      </w:r>
      <w:r>
        <w:t xml:space="preserve"> </w:t>
      </w:r>
      <w:r>
        <w:t xml:space="preserve">with fixed</w:t>
      </w:r>
      <w:r>
        <w:t xml:space="preserve"> </w:t>
      </w:r>
      <w:r>
        <w:rPr>
          <w:b/>
          <w:bCs/>
        </w:rPr>
        <w:t xml:space="preserve">$10</w:t>
      </w:r>
      <w:r>
        <w:t xml:space="preserve"> </w:t>
      </w:r>
      <w:r>
        <w:t xml:space="preserve">risk, a single loss is immediate ruin, so early-stage survivability is the entire game. Even with a positive edge</w:t>
      </w:r>
      <w:r>
        <w:t xml:space="preserve"> </w:t>
      </w:r>
      <m:oMath>
        <m:r>
          <m:t>p</m:t>
        </m:r>
        <m:r>
          <m:rPr>
            <m:sty m:val="p"/>
          </m:rPr>
          <m:t>&gt;</m:t>
        </m:r>
        <m:r>
          <m:t>0.5</m:t>
        </m:r>
      </m:oMath>
      <w:r>
        <w:t xml:space="preserve">, the probability of ever reaching large targets from one unit is capped; as targets grow, the success probability approaches</w:t>
      </w:r>
      <w:r>
        <w:t xml:space="preserve"> </w:t>
      </w:r>
      <m:oMath>
        <m:r>
          <m:t>1</m:t>
        </m:r>
        <m:r>
          <m:rPr>
            <m:sty m:val="p"/>
          </m:rPr>
          <m:t>−</m:t>
        </m:r>
        <m:f>
          <m:fPr>
            <m:type m:val="bar"/>
          </m:fPr>
          <m:num>
            <m:r>
              <m:t>1</m:t>
            </m:r>
            <m:r>
              <m:rPr>
                <m:sty m:val="p"/>
              </m:rPr>
              <m:t>−</m:t>
            </m:r>
            <m:r>
              <m:t>p</m:t>
            </m:r>
          </m:num>
          <m:den>
            <m:r>
              <m:t>p</m:t>
            </m:r>
          </m:den>
        </m:f>
      </m:oMath>
      <w:r>
        <w:t xml:space="preserve">.</w:t>
      </w:r>
      <w:r>
        <w:t xml:space="preserve"> </w:t>
      </w:r>
      <w:hyperlink r:id="rId21">
        <w:r>
          <w:rPr>
            <w:rStyle w:val="Hyperlink"/>
          </w:rPr>
          <w:t xml:space="preserve">[2]</w:t>
        </w:r>
      </w:hyperlink>
    </w:p>
    <w:p>
      <w:pPr>
        <w:pStyle w:val="BodyText"/>
      </w:pPr>
      <w:r>
        <w:t xml:space="preserve">If there is</w:t>
      </w:r>
      <w:r>
        <w:t xml:space="preserve"> </w:t>
      </w:r>
      <w:r>
        <w:rPr>
          <w:b/>
          <w:bCs/>
        </w:rPr>
        <w:t xml:space="preserve">no robust positive edge after costs</w:t>
      </w:r>
      <w:r>
        <w:t xml:space="preserve"> </w:t>
      </w:r>
      <w:r>
        <w:t xml:space="preserve">(effectively</w:t>
      </w:r>
      <w:r>
        <w:t xml:space="preserve"> </w:t>
      </w:r>
      <m:oMath>
        <m:r>
          <m:t>p</m:t>
        </m:r>
        <m:r>
          <m:rPr>
            <m:sty m:val="p"/>
          </m:rPr>
          <m:t>≤</m:t>
        </m:r>
        <m:r>
          <m:t>0.5</m:t>
        </m:r>
      </m:oMath>
      <w:r>
        <w:t xml:space="preserve"> </w:t>
      </w:r>
      <w:r>
        <w:t xml:space="preserve">in this stylized model), no staking or “double-down” progression can reliably convert that into a high-probability wealth path; this is the operational implication of</w:t>
      </w:r>
      <w:r>
        <w:t xml:space="preserve"> </w:t>
      </w:r>
      <w:r>
        <w:rPr>
          <w:b/>
          <w:bCs/>
        </w:rPr>
        <w:t xml:space="preserve">optional stopping</w:t>
      </w:r>
      <w:r>
        <w:t xml:space="preserve"> </w:t>
      </w:r>
      <w:r>
        <w:t xml:space="preserve">for (super)martingale-like bankroll processes.</w:t>
      </w:r>
      <w:r>
        <w:t xml:space="preserve"> </w:t>
      </w:r>
      <w:hyperlink r:id="rId22">
        <w:r>
          <w:rPr>
            <w:rStyle w:val="Hyperlink"/>
          </w:rPr>
          <w:t xml:space="preserve">[3]</w:t>
        </w:r>
      </w:hyperlink>
    </w:p>
    <w:p>
      <w:pPr>
        <w:pStyle w:val="BodyText"/>
      </w:pPr>
      <w:r>
        <w:t xml:space="preserve">Implementation-wise, the safest “v1” is</w:t>
      </w:r>
      <w:r>
        <w:t xml:space="preserve"> </w:t>
      </w:r>
      <w:r>
        <w:rPr>
          <w:b/>
          <w:bCs/>
        </w:rPr>
        <w:t xml:space="preserve">pregame only</w:t>
      </w:r>
      <w:r>
        <w:t xml:space="preserve"> </w:t>
      </w:r>
      <w:r>
        <w:t xml:space="preserve">(avoid latency races), in</w:t>
      </w:r>
      <w:r>
        <w:t xml:space="preserve"> </w:t>
      </w:r>
      <w:r>
        <w:rPr>
          <w:b/>
          <w:bCs/>
        </w:rPr>
        <w:t xml:space="preserve">one high-liquidity league</w:t>
      </w:r>
      <w:r>
        <w:t xml:space="preserve"> </w:t>
      </w:r>
      <w:r>
        <w:t xml:space="preserve">with simple</w:t>
      </w:r>
      <w:r>
        <w:t xml:space="preserve"> </w:t>
      </w:r>
      <w:r>
        <w:rPr>
          <w:b/>
          <w:bCs/>
        </w:rPr>
        <w:t xml:space="preserve">binary outcomes</w:t>
      </w:r>
      <w:r>
        <w:t xml:space="preserve"> </w:t>
      </w:r>
      <w:r>
        <w:t xml:space="preserve">(moneyline), using only</w:t>
      </w:r>
      <w:r>
        <w:t xml:space="preserve"> </w:t>
      </w:r>
      <w:r>
        <w:rPr>
          <w:b/>
          <w:bCs/>
        </w:rPr>
        <w:t xml:space="preserve">official APIs and explicit ToS-allowed data access</w:t>
      </w:r>
      <w:r>
        <w:t xml:space="preserve">. Many “odds APIs” are read-only, while automated bet placement is most feasible on</w:t>
      </w:r>
      <w:r>
        <w:t xml:space="preserve"> </w:t>
      </w:r>
      <w:r>
        <w:rPr>
          <w:b/>
          <w:bCs/>
        </w:rPr>
        <w:t xml:space="preserve">exchanges/prediction markets with official execution APIs</w:t>
      </w:r>
      <w:r>
        <w:t xml:space="preserve">, where available.</w:t>
      </w:r>
      <w:r>
        <w:t xml:space="preserve"> </w:t>
      </w:r>
      <w:hyperlink r:id="rId23">
        <w:r>
          <w:rPr>
            <w:rStyle w:val="Hyperlink"/>
          </w:rPr>
          <w:t xml:space="preserve">[4]</w:t>
        </w:r>
      </w:hyperlink>
    </w:p>
    <w:bookmarkEnd w:id="24"/>
    <w:bookmarkStart w:id="27" w:name="Xa66dc10a3b95b780887f2115b1c7163fbc7e122"/>
    <w:p>
      <w:pPr>
        <w:pStyle w:val="Heading2"/>
      </w:pPr>
      <w:r>
        <w:t xml:space="preserve">Assumptions and success or failure definitions</w:t>
      </w:r>
    </w:p>
    <w:bookmarkStart w:id="25" w:name="X5c81ac55df6fa7c35a22b45d19237ef06cf22aa"/>
    <w:p>
      <w:pPr>
        <w:pStyle w:val="Heading3"/>
      </w:pPr>
      <w:r>
        <w:t xml:space="preserve">Explicit assumptions (requested + required to make the math precise)</w:t>
      </w:r>
    </w:p>
    <w:p>
      <w:pPr>
        <w:pStyle w:val="FirstParagraph"/>
      </w:pPr>
      <w:r>
        <w:t xml:space="preserve">Per-effort risk: Fixed stake/risk per effort is</w:t>
      </w:r>
      <w:r>
        <w:t xml:space="preserve"> </w:t>
      </w:r>
      <m:oMath>
        <m:r>
          <m:t>s</m:t>
        </m:r>
        <m:r>
          <m:rPr>
            <m:sty m:val="p"/>
          </m:rPr>
          <m:t>=</m:t>
        </m:r>
        <m:r>
          <m:rPr>
            <m:sty m:val="p"/>
          </m:rPr>
          <m:t>$</m:t>
        </m:r>
        <m:r>
          <m:t>10</m:t>
        </m:r>
      </m:oMath>
      <w:r>
        <w:t xml:space="preserve">. (User-specified.)</w:t>
      </w:r>
    </w:p>
    <w:p>
      <w:pPr>
        <w:pStyle w:val="BodyText"/>
      </w:pPr>
      <w:r>
        <w:t xml:space="preserve">Unitization: Define 1 unit</w:t>
      </w:r>
      <w:r>
        <w:t xml:space="preserve"> </w:t>
      </w:r>
      <m:oMath>
        <m:r>
          <m:rPr>
            <m:sty m:val="p"/>
          </m:rPr>
          <m:t>=</m:t>
        </m:r>
        <m:r>
          <m:rPr>
            <m:sty m:val="p"/>
          </m:rPr>
          <m:t>$</m:t>
        </m:r>
        <m:r>
          <m:t>10</m:t>
        </m:r>
      </m:oMath>
      <w:r>
        <w:t xml:space="preserve">. Bankroll is tracked in integer units. (Assumption to match the gambler’s-ruin model.)</w:t>
      </w:r>
    </w:p>
    <w:p>
      <w:pPr>
        <w:pStyle w:val="BodyText"/>
      </w:pPr>
      <w:r>
        <w:t xml:space="preserve">Initial bankroll:</w:t>
      </w:r>
      <w:r>
        <w:t xml:space="preserve"> </w:t>
      </w:r>
      <m:oMath>
        <m:sSub>
          <m:e>
            <m:r>
              <m:t>B</m:t>
            </m:r>
          </m:e>
          <m:sub>
            <m:r>
              <m:t>0</m:t>
            </m:r>
          </m:sub>
        </m:sSub>
        <m:r>
          <m:rPr>
            <m:sty m:val="p"/>
          </m:rPr>
          <m:t>=</m:t>
        </m:r>
        <m:r>
          <m:rPr>
            <m:sty m:val="p"/>
          </m:rPr>
          <m:t>$</m:t>
        </m:r>
        <m:r>
          <m:t>10</m:t>
        </m:r>
      </m:oMath>
      <w:r>
        <w:t xml:space="preserve"> </w:t>
      </w:r>
      <w:r>
        <w:t xml:space="preserve">(i.e.,</w:t>
      </w:r>
      <w:r>
        <w:t xml:space="preserve"> </w:t>
      </w:r>
      <m:oMath>
        <m:sSub>
          <m:e>
            <m:r>
              <m:t>X</m:t>
            </m:r>
          </m:e>
          <m:sub>
            <m:r>
              <m:t>0</m:t>
            </m:r>
          </m:sub>
        </m:sSub>
        <m:r>
          <m:rPr>
            <m:sty m:val="p"/>
          </m:rPr>
          <m:t>=</m:t>
        </m:r>
        <m:r>
          <m:t>1</m:t>
        </m:r>
      </m:oMath>
      <w:r>
        <w:t xml:space="preserve"> </w:t>
      </w:r>
      <w:r>
        <w:t xml:space="preserve">unit). (User-specified assumption.)</w:t>
      </w:r>
    </w:p>
    <w:p>
      <w:pPr>
        <w:pStyle w:val="BodyText"/>
      </w:pPr>
      <w:r>
        <w:t xml:space="preserve">Leverage and margin:</w:t>
      </w:r>
      <w:r>
        <w:t xml:space="preserve"> </w:t>
      </w:r>
      <w:r>
        <w:rPr>
          <w:b/>
          <w:bCs/>
        </w:rPr>
        <w:t xml:space="preserve">None</w:t>
      </w:r>
      <w:r>
        <w:t xml:space="preserve">. Losses cannot exceed bankroll; bankroll cannot go negative. (User-specified assumption.)</w:t>
      </w:r>
    </w:p>
    <w:p>
      <w:pPr>
        <w:pStyle w:val="BodyText"/>
      </w:pPr>
      <w:r>
        <w:t xml:space="preserve">Effort frequency and horizon: Unlimited attempts; no time-based stop unless explicitly added. (User-specified assumption.)</w:t>
      </w:r>
    </w:p>
    <w:p>
      <w:pPr>
        <w:pStyle w:val="BodyText"/>
      </w:pPr>
      <w:r>
        <w:t xml:space="preserve">Outcome model per effort: Each effort changes bankroll by</w:t>
      </w:r>
      <w:r>
        <w:t xml:space="preserve"> </w:t>
      </w:r>
      <w:r>
        <w:rPr>
          <w:b/>
          <w:bCs/>
        </w:rPr>
        <w:t xml:space="preserve">+1 unit</w:t>
      </w:r>
      <w:r>
        <w:t xml:space="preserve"> </w:t>
      </w:r>
      <w:r>
        <w:t xml:space="preserve">with probability</w:t>
      </w:r>
      <w:r>
        <w:t xml:space="preserve"> </w:t>
      </w:r>
      <m:oMath>
        <m:r>
          <m:t>p</m:t>
        </m:r>
      </m:oMath>
      <w:r>
        <w:t xml:space="preserve"> </w:t>
      </w:r>
      <w:r>
        <w:t xml:space="preserve">and</w:t>
      </w:r>
      <w:r>
        <w:t xml:space="preserve"> </w:t>
      </w:r>
      <w:r>
        <w:rPr>
          <w:b/>
          <w:bCs/>
        </w:rPr>
        <w:t xml:space="preserve">−1 unit</w:t>
      </w:r>
      <w:r>
        <w:t xml:space="preserve"> </w:t>
      </w:r>
      <w:r>
        <w:t xml:space="preserve">with probability</w:t>
      </w:r>
      <w:r>
        <w:t xml:space="preserve"> </w:t>
      </w:r>
      <m:oMath>
        <m:r>
          <m:t>q</m:t>
        </m:r>
        <m:r>
          <m:rPr>
            <m:sty m:val="p"/>
          </m:rPr>
          <m:t>=</m:t>
        </m:r>
        <m:r>
          <m:t>1</m:t>
        </m:r>
        <m:r>
          <m:rPr>
            <m:sty m:val="p"/>
          </m:rPr>
          <m:t>−</m:t>
        </m:r>
        <m:r>
          <m:t>p</m:t>
        </m:r>
      </m:oMath>
      <w:r>
        <w:t xml:space="preserve">. Efforts are i.i.d. and</w:t>
      </w:r>
      <w:r>
        <w:t xml:space="preserve"> </w:t>
      </w:r>
      <m:oMath>
        <m:r>
          <m:t>p</m:t>
        </m:r>
      </m:oMath>
      <w:r>
        <w:t xml:space="preserve"> </w:t>
      </w:r>
      <w:r>
        <w:t xml:space="preserve">is constant across efforts. (User-specified assumption, with uncertainty analyzed later.)</w:t>
      </w:r>
    </w:p>
    <w:p>
      <w:pPr>
        <w:pStyle w:val="BodyText"/>
      </w:pPr>
      <w:r>
        <w:t xml:space="preserve">Costs: Initially ignored in the idealized model; later modeled as a reduction in effective</w:t>
      </w:r>
      <w:r>
        <w:t xml:space="preserve"> </w:t>
      </w:r>
      <m:oMath>
        <m:r>
          <m:t>p</m:t>
        </m:r>
      </m:oMath>
      <w:r>
        <w:t xml:space="preserve"> </w:t>
      </w:r>
      <w:r>
        <w:t xml:space="preserve">(or equivalently a change in payoff odds) after transaction costs/fees/slippage. (Assumption + later practical adjustment.)</w:t>
      </w:r>
    </w:p>
    <w:bookmarkEnd w:id="25"/>
    <w:bookmarkStart w:id="26" w:name="state-success-and-failure-conditions"/>
    <w:p>
      <w:pPr>
        <w:pStyle w:val="Heading3"/>
      </w:pPr>
      <w:r>
        <w:t xml:space="preserve">State, success, and failure conditions</w:t>
      </w:r>
    </w:p>
    <w:p>
      <w:pPr>
        <w:pStyle w:val="FirstParagraph"/>
      </w:pPr>
      <w:r>
        <w:t xml:space="preserve">Let</w:t>
      </w:r>
      <w:r>
        <w:t xml:space="preserve"> </w:t>
      </w:r>
      <m:oMath>
        <m:sSub>
          <m:e>
            <m:r>
              <m:t>X</m:t>
            </m:r>
          </m:e>
          <m:sub>
            <m:r>
              <m:t>t</m:t>
            </m:r>
          </m:sub>
        </m:sSub>
      </m:oMath>
      <w:r>
        <w:t xml:space="preserve"> </w:t>
      </w:r>
      <w:r>
        <w:t xml:space="preserve">be bankroll in units after effort</w:t>
      </w:r>
      <w:r>
        <w:t xml:space="preserve"> </w:t>
      </w:r>
      <m:oMath>
        <m:r>
          <m:t>t</m:t>
        </m:r>
      </m:oMath>
      <w:r>
        <w:t xml:space="preserve">. Then:</w:t>
      </w:r>
    </w:p>
    <w:p>
      <w:pPr>
        <w:pStyle w:val="BodyText"/>
      </w:pPr>
      <w:r>
        <w:t xml:space="preserve">State evolution:</w:t>
      </w:r>
    </w:p>
    <w:p>
      <w:pPr>
        <w:pStyle w:val="BodyText"/>
      </w:pPr>
      <m:oMathPara>
        <m:oMathParaPr>
          <m:jc m:val="center"/>
        </m:oMathParaPr>
        <m:oMath>
          <m:sSub>
            <m:e>
              <m:r>
                <m:t>X</m:t>
              </m:r>
            </m:e>
            <m:sub>
              <m:r>
                <m:t>t</m:t>
              </m:r>
              <m:r>
                <m:rPr>
                  <m:sty m:val="p"/>
                </m:rPr>
                <m:t>+</m:t>
              </m:r>
              <m:r>
                <m:t>1</m:t>
              </m:r>
            </m:sub>
          </m:sSub>
          <m:r>
            <m:rPr>
              <m:sty m:val="p"/>
            </m:rPr>
            <m:t>=</m:t>
          </m:r>
          <m:sSub>
            <m:e>
              <m:r>
                <m:t>X</m:t>
              </m:r>
            </m:e>
            <m:sub>
              <m:r>
                <m:t>t</m:t>
              </m:r>
            </m:sub>
          </m:sSub>
          <m:r>
            <m:rPr>
              <m:sty m:val="p"/>
            </m:rPr>
            <m:t>+</m:t>
          </m:r>
          <m:sSub>
            <m:e>
              <m:r>
                <m:t>Y</m:t>
              </m:r>
            </m:e>
            <m:sub>
              <m:r>
                <m:t>t</m:t>
              </m:r>
              <m:r>
                <m:rPr>
                  <m:sty m:val="p"/>
                </m:rPr>
                <m:t>+</m:t>
              </m:r>
              <m:r>
                <m:t>1</m:t>
              </m:r>
            </m:sub>
          </m:sSub>
          <m:r>
            <m:rPr>
              <m:sty m:val="p"/>
            </m:rPr>
            <m:t>,</m:t>
          </m:r>
          <m:r>
            <m:t> </m:t>
          </m:r>
          <m:sSub>
            <m:e>
              <m:r>
                <m:t>Y</m:t>
              </m:r>
            </m:e>
            <m:sub>
              <m:r>
                <m:t>t</m:t>
              </m:r>
              <m:r>
                <m:rPr>
                  <m:sty m:val="p"/>
                </m:rPr>
                <m:t>+</m:t>
              </m:r>
              <m:r>
                <m:t>1</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rPr>
                        <m:nor/>
                        <m:sty m:val="p"/>
                      </m:rPr>
                      <m:t>with prob </m:t>
                    </m:r>
                    <m:r>
                      <m:t>p</m:t>
                    </m:r>
                    <m:r>
                      <m:rPr>
                        <m:sty m:val="p"/>
                      </m:rPr>
                      <m:t>,</m:t>
                    </m:r>
                  </m:e>
                </m:mr>
                <m:mr>
                  <m:e>
                    <m:r>
                      <m:rPr>
                        <m:sty m:val="p"/>
                      </m:rPr>
                      <m:t>−</m:t>
                    </m:r>
                    <m:r>
                      <m:t>1</m:t>
                    </m:r>
                  </m:e>
                  <m:e>
                    <m:r>
                      <m:rPr>
                        <m:nor/>
                        <m:sty m:val="p"/>
                      </m:rPr>
                      <m:t>with prob </m:t>
                    </m:r>
                    <m:r>
                      <m:t>q</m:t>
                    </m:r>
                    <m:r>
                      <m:rPr>
                        <m:sty m:val="p"/>
                      </m:rPr>
                      <m:t>.</m:t>
                    </m:r>
                  </m:e>
                </m:mr>
              </m:m>
            </m:e>
          </m:d>
        </m:oMath>
      </m:oMathPara>
    </w:p>
    <w:p>
      <w:pPr>
        <w:pStyle w:val="FirstParagraph"/>
      </w:pPr>
      <w:r>
        <w:t xml:space="preserve">This is the canonical biased random walk used in gambler’s ruin.</w:t>
      </w:r>
      <w:r>
        <w:t xml:space="preserve"> </w:t>
      </w:r>
      <w:hyperlink r:id="rId21">
        <w:r>
          <w:rPr>
            <w:rStyle w:val="Hyperlink"/>
          </w:rPr>
          <w:t xml:space="preserve">[2]</w:t>
        </w:r>
      </w:hyperlink>
    </w:p>
    <w:p>
      <w:pPr>
        <w:pStyle w:val="BodyText"/>
      </w:pPr>
      <w:r>
        <w:t xml:space="preserve">Failure (ruin):</w:t>
      </w:r>
    </w:p>
    <w:p>
      <w:pPr>
        <w:pStyle w:val="BodyText"/>
      </w:pPr>
      <m:oMathPara>
        <m:oMathParaPr>
          <m:jc m:val="center"/>
        </m:oMathParaPr>
        <m:oMath>
          <m:sSub>
            <m:e>
              <m:r>
                <m:t>τ</m:t>
              </m:r>
            </m:e>
            <m:sub>
              <m:r>
                <m:t>0</m:t>
              </m:r>
            </m:sub>
          </m:sSub>
          <m:r>
            <m:rPr>
              <m:sty m:val="p"/>
            </m:rPr>
            <m:t>=</m:t>
          </m:r>
          <m:r>
            <m:rPr>
              <m:sty m:val="p"/>
            </m:rPr>
            <m:t>inf</m:t>
          </m:r>
          <m:r>
            <m:rPr>
              <m:sty m:val="p"/>
            </m:rPr>
            <m:t>{</m:t>
          </m:r>
          <m:r>
            <m:t>t</m:t>
          </m:r>
          <m:r>
            <m:rPr>
              <m:sty m:val="p"/>
            </m:rPr>
            <m:t>≥</m:t>
          </m:r>
          <m:r>
            <m:t>0</m:t>
          </m:r>
          <m:r>
            <m:rPr>
              <m:sty m:val="p"/>
            </m:rPr>
            <m:t>:</m:t>
          </m:r>
          <m:sSub>
            <m:e>
              <m:r>
                <m:t>X</m:t>
              </m:r>
            </m:e>
            <m:sub>
              <m:r>
                <m:t>t</m:t>
              </m:r>
            </m:sub>
          </m:sSub>
          <m:r>
            <m:rPr>
              <m:sty m:val="p"/>
            </m:rPr>
            <m:t>=</m:t>
          </m:r>
          <m:r>
            <m:t>0</m:t>
          </m:r>
          <m:r>
            <m:rPr>
              <m:sty m:val="p"/>
            </m:rPr>
            <m:t>}</m:t>
          </m:r>
          <m:r>
            <m:rPr>
              <m:sty m:val="p"/>
            </m:rPr>
            <m:t>.</m:t>
          </m:r>
        </m:oMath>
      </m:oMathPara>
    </w:p>
    <w:p>
      <w:pPr>
        <w:pStyle w:val="FirstParagraph"/>
      </w:pPr>
      <w:r>
        <w:t xml:space="preserve">Success (hit a target</w:t>
      </w:r>
      <w:r>
        <w:t xml:space="preserve"> </w:t>
      </w:r>
      <m:oMath>
        <m:r>
          <m:t>N</m:t>
        </m:r>
      </m:oMath>
      <w:r>
        <w:t xml:space="preserve"> </w:t>
      </w:r>
      <w:r>
        <w:t xml:space="preserve">units, e.g.</w:t>
      </w:r>
      <w:r>
        <w:t xml:space="preserve"> </w:t>
      </w:r>
      <m:oMath>
        <m:r>
          <m:t>N</m:t>
        </m:r>
        <m:r>
          <m:rPr>
            <m:sty m:val="p"/>
          </m:rPr>
          <m:t>=</m:t>
        </m:r>
        <m:r>
          <m:t>100</m:t>
        </m:r>
      </m:oMath>
      <w:r>
        <w:t xml:space="preserve"> </w:t>
      </w:r>
      <w:r>
        <w:t xml:space="preserve">for \$1,000):</w:t>
      </w:r>
    </w:p>
    <w:p>
      <w:pPr>
        <w:pStyle w:val="BodyText"/>
      </w:pPr>
      <m:oMathPara>
        <m:oMathParaPr>
          <m:jc m:val="center"/>
        </m:oMathParaPr>
        <m:oMath>
          <m:sSub>
            <m:e>
              <m:r>
                <m:t>τ</m:t>
              </m:r>
            </m:e>
            <m:sub>
              <m:r>
                <m:t>N</m:t>
              </m:r>
            </m:sub>
          </m:sSub>
          <m:r>
            <m:rPr>
              <m:sty m:val="p"/>
            </m:rPr>
            <m:t>=</m:t>
          </m:r>
          <m:r>
            <m:rPr>
              <m:sty m:val="p"/>
            </m:rPr>
            <m:t>inf</m:t>
          </m:r>
          <m:r>
            <m:rPr>
              <m:sty m:val="p"/>
            </m:rPr>
            <m:t>{</m:t>
          </m:r>
          <m:r>
            <m:t>t</m:t>
          </m:r>
          <m:r>
            <m:rPr>
              <m:sty m:val="p"/>
            </m:rPr>
            <m:t>≥</m:t>
          </m:r>
          <m:r>
            <m:t>0</m:t>
          </m:r>
          <m:r>
            <m:rPr>
              <m:sty m:val="p"/>
            </m:rPr>
            <m:t>:</m:t>
          </m:r>
          <m:sSub>
            <m:e>
              <m:r>
                <m:t>X</m:t>
              </m:r>
            </m:e>
            <m:sub>
              <m:r>
                <m:t>t</m:t>
              </m:r>
            </m:sub>
          </m:sSub>
          <m:r>
            <m:rPr>
              <m:sty m:val="p"/>
            </m:rPr>
            <m:t>=</m:t>
          </m:r>
          <m:r>
            <m:t>N</m:t>
          </m:r>
          <m:r>
            <m:rPr>
              <m:sty m:val="p"/>
            </m:rPr>
            <m:t>}</m:t>
          </m:r>
          <m:r>
            <m:rPr>
              <m:sty m:val="p"/>
            </m:rPr>
            <m:t>.</m:t>
          </m:r>
        </m:oMath>
      </m:oMathPara>
    </w:p>
    <w:p>
      <w:pPr>
        <w:pStyle w:val="FirstParagraph"/>
      </w:pPr>
      <w:r>
        <w:t xml:space="preserve">Stopping time (game ends):</w:t>
      </w:r>
    </w:p>
    <w:p>
      <w:pPr>
        <w:pStyle w:val="BodyText"/>
      </w:pPr>
      <m:oMathPara>
        <m:oMathParaPr>
          <m:jc m:val="center"/>
        </m:oMathParaPr>
        <m:oMath>
          <m:r>
            <m:t>τ</m:t>
          </m:r>
          <m:r>
            <m:rPr>
              <m:sty m:val="p"/>
            </m:rPr>
            <m:t>=</m:t>
          </m:r>
          <m:sSub>
            <m:e>
              <m:r>
                <m:t>τ</m:t>
              </m:r>
            </m:e>
            <m:sub>
              <m:r>
                <m:t>0</m:t>
              </m:r>
            </m:sub>
          </m:sSub>
          <m:r>
            <m:rPr>
              <m:sty m:val="p"/>
            </m:rPr>
            <m:t>∧</m:t>
          </m:r>
          <m:sSub>
            <m:e>
              <m:r>
                <m:t>τ</m:t>
              </m:r>
            </m:e>
            <m:sub>
              <m:r>
                <m:t>N</m:t>
              </m:r>
            </m:sub>
          </m:sSub>
          <m:r>
            <m:rPr>
              <m:sty m:val="p"/>
            </m:rPr>
            <m:t>.</m:t>
          </m:r>
        </m:oMath>
      </m:oMathPara>
    </w:p>
    <w:p>
      <w:pPr>
        <w:pStyle w:val="FirstParagraph"/>
      </w:pPr>
      <w:r>
        <w:t xml:space="preserve">Primary probability question (“probability path”):</w:t>
      </w:r>
    </w:p>
    <w:p>
      <w:pPr>
        <w:pStyle w:val="BodyText"/>
      </w:pPr>
      <m:oMathPara>
        <m:oMathParaPr>
          <m:jc m:val="center"/>
        </m:oMathParaPr>
        <m:oMath>
          <m:sSub>
            <m:e>
              <m:r>
                <m:rPr>
                  <m:sty m:val="p"/>
                  <m:scr m:val="double-struck"/>
                </m:rPr>
                <m:t>P</m:t>
              </m:r>
            </m:e>
            <m:sub>
              <m:r>
                <m:t>i</m:t>
              </m:r>
            </m:sub>
          </m:sSub>
          <m:d>
            <m:dPr>
              <m:begChr m:val="("/>
              <m:sepChr m:val=""/>
              <m:endChr m:val=")"/>
              <m:grow/>
            </m:dPr>
            <m:e>
              <m:sSub>
                <m:e>
                  <m:r>
                    <m:t>τ</m:t>
                  </m:r>
                </m:e>
                <m:sub>
                  <m:r>
                    <m:t>N</m:t>
                  </m:r>
                </m:sub>
              </m:sSub>
              <m:r>
                <m:rPr>
                  <m:sty m:val="p"/>
                </m:rPr>
                <m:t>&lt;</m:t>
              </m:r>
              <m:sSub>
                <m:e>
                  <m:r>
                    <m:t>τ</m:t>
                  </m:r>
                </m:e>
                <m:sub>
                  <m:r>
                    <m:t>0</m:t>
                  </m:r>
                </m:sub>
              </m:sSub>
            </m:e>
          </m:d>
        </m:oMath>
      </m:oMathPara>
    </w:p>
    <w:p>
      <w:pPr>
        <w:pStyle w:val="FirstParagraph"/>
      </w:pPr>
      <w:r>
        <w:t xml:space="preserve">starting from</w:t>
      </w:r>
      <w:r>
        <w:t xml:space="preserve"> </w:t>
      </w:r>
      <m:oMath>
        <m:sSub>
          <m:e>
            <m:r>
              <m:t>X</m:t>
            </m:r>
          </m:e>
          <m:sub>
            <m:r>
              <m:t>0</m:t>
            </m:r>
          </m:sub>
        </m:sSub>
        <m:r>
          <m:rPr>
            <m:sty m:val="p"/>
          </m:rPr>
          <m:t>=</m:t>
        </m:r>
        <m:r>
          <m:t>i</m:t>
        </m:r>
      </m:oMath>
      <w:r>
        <w:t xml:space="preserve"> </w:t>
      </w:r>
      <w:r>
        <w:t xml:space="preserve">units.</w:t>
      </w:r>
      <w:r>
        <w:t xml:space="preserve"> </w:t>
      </w:r>
      <w:hyperlink r:id="rId21">
        <w:r>
          <w:rPr>
            <w:rStyle w:val="Hyperlink"/>
          </w:rPr>
          <w:t xml:space="preserve">[2]</w:t>
        </w:r>
      </w:hyperlink>
    </w:p>
    <w:bookmarkEnd w:id="26"/>
    <w:bookmarkEnd w:id="27"/>
    <w:bookmarkStart w:id="36" w:name="X6df41dd4f8c6e3cb68bb0c1a8435f7046fa7ce2"/>
    <w:p>
      <w:pPr>
        <w:pStyle w:val="Heading2"/>
      </w:pPr>
      <w:r>
        <w:t xml:space="preserve">Mathematical core for payout-goal architecture</w:t>
      </w:r>
    </w:p>
    <w:bookmarkStart w:id="28" w:name="gamblers-ruin-hitting-probabilities"/>
    <w:p>
      <w:pPr>
        <w:pStyle w:val="Heading3"/>
      </w:pPr>
      <w:r>
        <w:t xml:space="preserve">Gambler’s-ruin hitting probabilities</w:t>
      </w:r>
    </w:p>
    <w:p>
      <w:pPr>
        <w:pStyle w:val="FirstParagraph"/>
      </w:pPr>
      <w:r>
        <w:t xml:space="preserve">Let</w:t>
      </w:r>
      <w:r>
        <w:t xml:space="preserve"> </w:t>
      </w:r>
      <m:oMath>
        <m:sSub>
          <m:e>
            <m:r>
              <m:t>P</m:t>
            </m:r>
          </m:e>
          <m:sub>
            <m:r>
              <m:t>i</m:t>
            </m:r>
          </m:sub>
        </m:sSub>
        <m:d>
          <m:dPr>
            <m:begChr m:val="("/>
            <m:sepChr m:val=""/>
            <m:endChr m:val=")"/>
            <m:grow/>
          </m:dPr>
          <m:e>
            <m:r>
              <m:t>N</m:t>
            </m:r>
          </m:e>
        </m:d>
        <m:r>
          <m:rPr>
            <m:sty m:val="p"/>
          </m:rPr>
          <m:t>=</m:t>
        </m:r>
        <m:sSub>
          <m:e>
            <m:r>
              <m:rPr>
                <m:sty m:val="p"/>
                <m:scr m:val="double-struck"/>
              </m:rPr>
              <m:t>P</m:t>
            </m:r>
          </m:e>
          <m:sub>
            <m:r>
              <m:t>i</m:t>
            </m:r>
          </m:sub>
        </m:sSub>
        <m:d>
          <m:dPr>
            <m:begChr m:val="("/>
            <m:sepChr m:val=""/>
            <m:endChr m:val=")"/>
            <m:grow/>
          </m:dPr>
          <m:e>
            <m:sSub>
              <m:e>
                <m:r>
                  <m:t>τ</m:t>
                </m:r>
              </m:e>
              <m:sub>
                <m:r>
                  <m:t>N</m:t>
                </m:r>
              </m:sub>
            </m:sSub>
            <m:r>
              <m:rPr>
                <m:sty m:val="p"/>
              </m:rPr>
              <m:t>&lt;</m:t>
            </m:r>
            <m:sSub>
              <m:e>
                <m:r>
                  <m:t>τ</m:t>
                </m:r>
              </m:e>
              <m:sub>
                <m:r>
                  <m:t>0</m:t>
                </m:r>
              </m:sub>
            </m:sSub>
          </m:e>
        </m:d>
      </m:oMath>
      <w:r>
        <w:t xml:space="preserve">. Standard first-step analysis gives the recurrence:</w:t>
      </w:r>
    </w:p>
    <w:p>
      <w:pPr>
        <w:pStyle w:val="BodyText"/>
      </w:pPr>
      <m:oMathPara>
        <m:oMathParaPr>
          <m:jc m:val="center"/>
        </m:oMathParaPr>
        <m:oMath>
          <m:sSub>
            <m:e>
              <m:r>
                <m:t>P</m:t>
              </m:r>
            </m:e>
            <m:sub>
              <m:r>
                <m:t>i</m:t>
              </m:r>
            </m:sub>
          </m:sSub>
          <m:d>
            <m:dPr>
              <m:begChr m:val="("/>
              <m:sepChr m:val=""/>
              <m:endChr m:val=")"/>
              <m:grow/>
            </m:dPr>
            <m:e>
              <m:r>
                <m:t>N</m:t>
              </m:r>
            </m:e>
          </m:d>
          <m:r>
            <m:rPr>
              <m:sty m:val="p"/>
            </m:rPr>
            <m:t>=</m:t>
          </m:r>
          <m:r>
            <m:t>p</m:t>
          </m:r>
          <m:sSub>
            <m:e>
              <m:r>
                <m:t>P</m:t>
              </m:r>
            </m:e>
            <m:sub>
              <m:r>
                <m:t>i</m:t>
              </m:r>
              <m:r>
                <m:rPr>
                  <m:sty m:val="p"/>
                </m:rPr>
                <m:t>+</m:t>
              </m:r>
              <m:r>
                <m:t>1</m:t>
              </m:r>
            </m:sub>
          </m:sSub>
          <m:d>
            <m:dPr>
              <m:begChr m:val="("/>
              <m:sepChr m:val=""/>
              <m:endChr m:val=")"/>
              <m:grow/>
            </m:dPr>
            <m:e>
              <m:r>
                <m:t>N</m:t>
              </m:r>
            </m:e>
          </m:d>
          <m:r>
            <m:rPr>
              <m:sty m:val="p"/>
            </m:rPr>
            <m:t>+</m:t>
          </m:r>
          <m:r>
            <m:t>q</m:t>
          </m:r>
          <m:sSub>
            <m:e>
              <m:r>
                <m:t>P</m:t>
              </m:r>
            </m:e>
            <m:sub>
              <m:r>
                <m:t>i</m:t>
              </m:r>
              <m:r>
                <m:rPr>
                  <m:sty m:val="p"/>
                </m:rPr>
                <m:t>−</m:t>
              </m:r>
              <m:r>
                <m:t>1</m:t>
              </m:r>
            </m:sub>
          </m:sSub>
          <m:d>
            <m:dPr>
              <m:begChr m:val="("/>
              <m:sepChr m:val=""/>
              <m:endChr m:val=")"/>
              <m:grow/>
            </m:dPr>
            <m:e>
              <m:r>
                <m:t>N</m:t>
              </m:r>
            </m:e>
          </m:d>
          <m:r>
            <m:rPr>
              <m:sty m:val="p"/>
            </m:rPr>
            <m:t>,</m:t>
          </m:r>
          <m:r>
            <m:t> </m:t>
          </m:r>
          <m:sSub>
            <m:e>
              <m:r>
                <m:t>P</m:t>
              </m:r>
            </m:e>
            <m:sub>
              <m:r>
                <m:t>0</m:t>
              </m:r>
            </m:sub>
          </m:sSub>
          <m:d>
            <m:dPr>
              <m:begChr m:val="("/>
              <m:sepChr m:val=""/>
              <m:endChr m:val=")"/>
              <m:grow/>
            </m:dPr>
            <m:e>
              <m:r>
                <m:t>N</m:t>
              </m:r>
            </m:e>
          </m:d>
          <m:r>
            <m:rPr>
              <m:sty m:val="p"/>
            </m:rPr>
            <m:t>=</m:t>
          </m:r>
          <m:r>
            <m:t>0</m:t>
          </m:r>
          <m:r>
            <m:rPr>
              <m:sty m:val="p"/>
            </m:rPr>
            <m:t>,</m:t>
          </m:r>
          <m:r>
            <m:t> </m:t>
          </m:r>
          <m:sSub>
            <m:e>
              <m:r>
                <m:t>P</m:t>
              </m:r>
            </m:e>
            <m:sub>
              <m:r>
                <m:t>N</m:t>
              </m:r>
            </m:sub>
          </m:sSub>
          <m:d>
            <m:dPr>
              <m:begChr m:val="("/>
              <m:sepChr m:val=""/>
              <m:endChr m:val=")"/>
              <m:grow/>
            </m:dPr>
            <m:e>
              <m:r>
                <m:t>N</m:t>
              </m:r>
            </m:e>
          </m:d>
          <m:r>
            <m:rPr>
              <m:sty m:val="p"/>
            </m:rPr>
            <m:t>=</m:t>
          </m:r>
          <m:r>
            <m:t>1</m:t>
          </m:r>
          <m:r>
            <m:rPr>
              <m:sty m:val="p"/>
            </m:rPr>
            <m:t>.</m:t>
          </m:r>
        </m:oMath>
      </m:oMathPara>
    </w:p>
    <w:p>
      <w:pPr>
        <w:pStyle w:val="FirstParagraph"/>
      </w:pPr>
      <w:hyperlink r:id="rId21">
        <w:r>
          <w:rPr>
            <w:rStyle w:val="Hyperlink"/>
          </w:rPr>
          <w:t xml:space="preserve">[5]</w:t>
        </w:r>
      </w:hyperlink>
    </w:p>
    <w:p>
      <w:pPr>
        <w:pStyle w:val="BodyText"/>
      </w:pPr>
      <w:r>
        <w:t xml:space="preserve">Closed form:</w:t>
      </w:r>
    </w:p>
    <w:p>
      <w:pPr>
        <w:pStyle w:val="BodyText"/>
      </w:pPr>
      <w:r>
        <w:t xml:space="preserve">If</w:t>
      </w:r>
      <w:r>
        <w:t xml:space="preserve"> </w:t>
      </w:r>
      <m:oMath>
        <m:r>
          <m:t>p</m:t>
        </m:r>
        <m:r>
          <m:rPr>
            <m:sty m:val="p"/>
          </m:rPr>
          <m:t>≠</m:t>
        </m:r>
        <m:f>
          <m:fPr>
            <m:type m:val="lin"/>
          </m:fPr>
          <m:num>
            <m:r>
              <m:t>1</m:t>
            </m:r>
          </m:num>
          <m:den>
            <m:r>
              <m:t>2</m:t>
            </m:r>
          </m:den>
        </m:f>
      </m:oMath>
      <w:r>
        <w:t xml:space="preserve">, define</w:t>
      </w:r>
      <w:r>
        <w:t xml:space="preserve"> </w:t>
      </w:r>
      <m:oMath>
        <m:r>
          <m:t>ρ</m:t>
        </m:r>
        <m:r>
          <m:rPr>
            <m:sty m:val="p"/>
          </m:rPr>
          <m:t>=</m:t>
        </m:r>
        <m:f>
          <m:fPr>
            <m:type m:val="bar"/>
          </m:fPr>
          <m:num>
            <m:r>
              <m:t>q</m:t>
            </m:r>
          </m:num>
          <m:den>
            <m:r>
              <m:t>p</m:t>
            </m:r>
          </m:den>
        </m:f>
      </m:oMath>
      <w:r>
        <w:t xml:space="preserve">. Then:</w:t>
      </w:r>
    </w:p>
    <w:p>
      <w:pPr>
        <w:pStyle w:val="BodyText"/>
      </w:pPr>
      <m:oMathPara>
        <m:oMathParaPr>
          <m:jc m:val="center"/>
        </m:oMathParaPr>
        <m:oMath>
          <m:sSub>
            <m:e>
              <m:r>
                <m:t>P</m:t>
              </m:r>
            </m:e>
            <m:sub>
              <m:r>
                <m:t>i</m:t>
              </m:r>
            </m:sub>
          </m:sSub>
          <m:d>
            <m:dPr>
              <m:begChr m:val="("/>
              <m:sepChr m:val=""/>
              <m:endChr m:val=")"/>
              <m:grow/>
            </m:dPr>
            <m:e>
              <m:r>
                <m:t>N</m:t>
              </m:r>
            </m:e>
          </m:d>
          <m:r>
            <m:rPr>
              <m:sty m:val="p"/>
            </m:rPr>
            <m:t>=</m:t>
          </m:r>
          <m:f>
            <m:fPr>
              <m:type m:val="bar"/>
            </m:fPr>
            <m:num>
              <m:r>
                <m:t>1</m:t>
              </m:r>
              <m:r>
                <m:rPr>
                  <m:sty m:val="p"/>
                </m:rPr>
                <m:t>−</m:t>
              </m:r>
              <m:sSup>
                <m:e>
                  <m:r>
                    <m:t>ρ</m:t>
                  </m:r>
                </m:e>
                <m:sup>
                  <m:r>
                    <m:t>i</m:t>
                  </m:r>
                </m:sup>
              </m:sSup>
            </m:num>
            <m:den>
              <m:r>
                <m:t>1</m:t>
              </m:r>
              <m:r>
                <m:rPr>
                  <m:sty m:val="p"/>
                </m:rPr>
                <m:t>−</m:t>
              </m:r>
              <m:sSup>
                <m:e>
                  <m:r>
                    <m:t>ρ</m:t>
                  </m:r>
                </m:e>
                <m:sup>
                  <m:r>
                    <m:t>N</m:t>
                  </m:r>
                </m:sup>
              </m:sSup>
            </m:den>
          </m:f>
          <m:r>
            <m:rPr>
              <m:sty m:val="p"/>
            </m:rPr>
            <m:t>.</m:t>
          </m:r>
        </m:oMath>
      </m:oMathPara>
    </w:p>
    <w:p>
      <w:pPr>
        <w:pStyle w:val="FirstParagraph"/>
      </w:pPr>
      <w:r>
        <w:t xml:space="preserve">If</w:t>
      </w:r>
      <w:r>
        <w:t xml:space="preserve"> </w:t>
      </w:r>
      <m:oMath>
        <m:r>
          <m:t>p</m:t>
        </m:r>
        <m:r>
          <m:rPr>
            <m:sty m:val="p"/>
          </m:rPr>
          <m:t>=</m:t>
        </m:r>
        <m:f>
          <m:fPr>
            <m:type m:val="lin"/>
          </m:fPr>
          <m:num>
            <m:r>
              <m:t>1</m:t>
            </m:r>
          </m:num>
          <m:den>
            <m:r>
              <m:t>2</m:t>
            </m:r>
          </m:den>
        </m:f>
      </m:oMath>
      <w:r>
        <w:t xml:space="preserve">:</w:t>
      </w:r>
    </w:p>
    <w:p>
      <w:pPr>
        <w:pStyle w:val="BodyText"/>
      </w:pPr>
      <m:oMathPara>
        <m:oMathParaPr>
          <m:jc m:val="center"/>
        </m:oMathParaPr>
        <m:oMath>
          <m:sSub>
            <m:e>
              <m:r>
                <m:t>P</m:t>
              </m:r>
            </m:e>
            <m:sub>
              <m:r>
                <m:t>i</m:t>
              </m:r>
            </m:sub>
          </m:sSub>
          <m:d>
            <m:dPr>
              <m:begChr m:val="("/>
              <m:sepChr m:val=""/>
              <m:endChr m:val=")"/>
              <m:grow/>
            </m:dPr>
            <m:e>
              <m:r>
                <m:t>N</m:t>
              </m:r>
            </m:e>
          </m:d>
          <m:r>
            <m:rPr>
              <m:sty m:val="p"/>
            </m:rPr>
            <m:t>=</m:t>
          </m:r>
          <m:f>
            <m:fPr>
              <m:type m:val="bar"/>
            </m:fPr>
            <m:num>
              <m:r>
                <m:t>i</m:t>
              </m:r>
            </m:num>
            <m:den>
              <m:r>
                <m:t>N</m:t>
              </m:r>
            </m:den>
          </m:f>
          <m:r>
            <m:rPr>
              <m:sty m:val="p"/>
            </m:rPr>
            <m:t>.</m:t>
          </m:r>
        </m:oMath>
      </m:oMathPara>
    </w:p>
    <w:p>
      <w:pPr>
        <w:pStyle w:val="FirstParagraph"/>
      </w:pPr>
      <w:hyperlink r:id="rId21">
        <w:r>
          <w:rPr>
            <w:rStyle w:val="Hyperlink"/>
          </w:rPr>
          <w:t xml:space="preserve">[2]</w:t>
        </w:r>
      </w:hyperlink>
    </w:p>
    <w:p>
      <w:pPr>
        <w:pStyle w:val="BodyText"/>
      </w:pPr>
      <w:r>
        <w:t xml:space="preserve">This formula is the backbone for every “withdraw now vs keep going” decision rule you asked for, because any “milestone + next target” pair is just a new</w:t>
      </w:r>
      <w:r>
        <w:t xml:space="preserve"> </w:t>
      </w:r>
      <m:oMath>
        <m:d>
          <m:dPr>
            <m:begChr m:val="("/>
            <m:sepChr m:val=""/>
            <m:endChr m:val=")"/>
            <m:grow/>
          </m:dPr>
          <m:e>
            <m:r>
              <m:t>i</m:t>
            </m:r>
            <m:r>
              <m:rPr>
                <m:sty m:val="p"/>
              </m:rPr>
              <m:t>,</m:t>
            </m:r>
            <m:r>
              <m:t>N</m:t>
            </m:r>
          </m:e>
        </m:d>
      </m:oMath>
      <w:r>
        <w:t xml:space="preserve"> </w:t>
      </w:r>
      <w:r>
        <w:t xml:space="preserve">hitting-probability problem.</w:t>
      </w:r>
    </w:p>
    <w:bookmarkEnd w:id="28"/>
    <w:bookmarkStart w:id="29" w:name="X3ad9a1753fd4dad1b798e9934fa15ad690e9ba3"/>
    <w:p>
      <w:pPr>
        <w:pStyle w:val="Heading3"/>
      </w:pPr>
      <w:r>
        <w:t xml:space="preserve">Optional stopping limits and why doubling systems do not create edge</w:t>
      </w:r>
    </w:p>
    <w:p>
      <w:pPr>
        <w:pStyle w:val="FirstParagraph"/>
      </w:pPr>
      <w:r>
        <w:t xml:space="preserve">A standard formulation of the</w:t>
      </w:r>
      <w:r>
        <w:t xml:space="preserve"> </w:t>
      </w:r>
      <w:r>
        <w:rPr>
          <w:b/>
          <w:bCs/>
        </w:rPr>
        <w:t xml:space="preserve">optional stopping theorem</w:t>
      </w:r>
      <w:r>
        <w:t xml:space="preserve">: if</w:t>
      </w:r>
      <w:r>
        <w:t xml:space="preserve"> </w:t>
      </w:r>
      <m:oMath>
        <m:d>
          <m:dPr>
            <m:begChr m:val="("/>
            <m:sepChr m:val=""/>
            <m:endChr m:val=")"/>
            <m:grow/>
          </m:dPr>
          <m:e>
            <m:sSub>
              <m:e>
                <m:r>
                  <m:t>M</m:t>
                </m:r>
              </m:e>
              <m:sub>
                <m:r>
                  <m:t>t</m:t>
                </m:r>
              </m:sub>
            </m:sSub>
          </m:e>
        </m:d>
      </m:oMath>
      <w:r>
        <w:t xml:space="preserve"> </w:t>
      </w:r>
      <w:r>
        <w:t xml:space="preserve">is a martingale and</w:t>
      </w:r>
      <w:r>
        <w:t xml:space="preserve"> </w:t>
      </w:r>
      <m:oMath>
        <m:r>
          <m:t>τ</m:t>
        </m:r>
      </m:oMath>
      <w:r>
        <w:t xml:space="preserve"> </w:t>
      </w:r>
      <w:r>
        <w:t xml:space="preserve">is a stopping time satisfying certain regularity conditions (bounded</w:t>
      </w:r>
      <w:r>
        <w:t xml:space="preserve"> </w:t>
      </w:r>
      <m:oMath>
        <m:r>
          <m:t>τ</m:t>
        </m:r>
      </m:oMath>
      <w:r>
        <w:t xml:space="preserve">, integrability/bounded increments, etc.), then:</w:t>
      </w:r>
    </w:p>
    <w:p>
      <w:pPr>
        <w:pStyle w:val="BodyText"/>
      </w:pPr>
      <m:oMathPara>
        <m:oMathParaPr>
          <m:jc m:val="center"/>
        </m:oMathParaPr>
        <m:oMath>
          <m:r>
            <m:rPr>
              <m:sty m:val="p"/>
              <m:scr m:val="double-struck"/>
            </m:rPr>
            <m:t>E</m:t>
          </m:r>
          <m:d>
            <m:dPr>
              <m:begChr m:val="["/>
              <m:sepChr m:val=""/>
              <m:endChr m:val="]"/>
              <m:grow/>
            </m:dPr>
            <m:e>
              <m:sSub>
                <m:e>
                  <m:r>
                    <m:t>M</m:t>
                  </m:r>
                </m:e>
                <m:sub>
                  <m:r>
                    <m:t>τ</m:t>
                  </m:r>
                </m:sub>
              </m:sSub>
            </m:e>
          </m:d>
          <m:r>
            <m:rPr>
              <m:sty m:val="p"/>
            </m:rPr>
            <m:t>=</m:t>
          </m:r>
          <m:r>
            <m:rPr>
              <m:sty m:val="p"/>
              <m:scr m:val="double-struck"/>
            </m:rPr>
            <m:t>E</m:t>
          </m:r>
          <m:d>
            <m:dPr>
              <m:begChr m:val="["/>
              <m:sepChr m:val=""/>
              <m:endChr m:val="]"/>
              <m:grow/>
            </m:dPr>
            <m:e>
              <m:sSub>
                <m:e>
                  <m:r>
                    <m:t>M</m:t>
                  </m:r>
                </m:e>
                <m:sub>
                  <m:r>
                    <m:t>0</m:t>
                  </m:r>
                </m:sub>
              </m:sSub>
            </m:e>
          </m:d>
          <m:r>
            <m:rPr>
              <m:sty m:val="p"/>
            </m:rPr>
            <m:t>.</m:t>
          </m:r>
        </m:oMath>
      </m:oMathPara>
    </w:p>
    <w:p>
      <w:pPr>
        <w:pStyle w:val="FirstParagraph"/>
      </w:pPr>
      <w:hyperlink r:id="rId22">
        <w:r>
          <w:rPr>
            <w:rStyle w:val="Hyperlink"/>
          </w:rPr>
          <w:t xml:space="preserve">[6]</w:t>
        </w:r>
      </w:hyperlink>
    </w:p>
    <w:p>
      <w:pPr>
        <w:pStyle w:val="BodyText"/>
      </w:pPr>
      <w:r>
        <w:t xml:space="preserve">Interpretation for bankroll processes:</w:t>
      </w:r>
    </w:p>
    <w:p>
      <w:pPr>
        <w:pStyle w:val="BodyText"/>
      </w:pPr>
      <w:r>
        <w:t xml:space="preserve">In a fair game (or an EV≤0 setting), “stop when up, double after losses, quit at a threshold” typically changes the</w:t>
      </w:r>
      <w:r>
        <w:t xml:space="preserve"> </w:t>
      </w:r>
      <w:r>
        <w:rPr>
          <w:b/>
          <w:bCs/>
        </w:rPr>
        <w:t xml:space="preserve">distribution</w:t>
      </w:r>
      <w:r>
        <w:t xml:space="preserve"> </w:t>
      </w:r>
      <w:r>
        <w:t xml:space="preserve">of outcomes, but does not manufacture positive expected value under the theorem’s conditions and real constraints (finite bankroll; bounded bets; limited time). This is why “martingale/doubling” betting progressions concentrate risk into rare catastrophic losses rather than delivering a high-probability path to large wealth.</w:t>
      </w:r>
      <w:r>
        <w:t xml:space="preserve"> </w:t>
      </w:r>
      <w:hyperlink r:id="rId22">
        <w:r>
          <w:rPr>
            <w:rStyle w:val="Hyperlink"/>
          </w:rPr>
          <w:t xml:space="preserve">[6]</w:t>
        </w:r>
      </w:hyperlink>
    </w:p>
    <w:bookmarkEnd w:id="29"/>
    <w:bookmarkStart w:id="30" w:name="risk-of-ruin-formulas"/>
    <w:p>
      <w:pPr>
        <w:pStyle w:val="Heading3"/>
      </w:pPr>
      <w:r>
        <w:t xml:space="preserve">Risk-of-ruin formulas</w:t>
      </w:r>
    </w:p>
    <w:p>
      <w:pPr>
        <w:pStyle w:val="FirstParagraph"/>
      </w:pPr>
      <w:r>
        <w:t xml:space="preserve">If the upper target is removed (you “play until you either go broke or grow without bound”), for the biased random walk with</w:t>
      </w:r>
      <w:r>
        <w:t xml:space="preserve"> </w:t>
      </w:r>
      <m:oMath>
        <m:r>
          <m:t>p</m:t>
        </m:r>
        <m:r>
          <m:rPr>
            <m:sty m:val="p"/>
          </m:rPr>
          <m:t>&gt;</m:t>
        </m:r>
        <m:r>
          <m:t>1</m:t>
        </m:r>
        <m:r>
          <m:rPr>
            <m:sty m:val="p"/>
          </m:rPr>
          <m:t>/</m:t>
        </m:r>
        <m:r>
          <m:t>2</m:t>
        </m:r>
      </m:oMath>
      <w:r>
        <w:t xml:space="preserve">, the probability of eventual ruin starting from</w:t>
      </w:r>
      <w:r>
        <w:t xml:space="preserve"> </w:t>
      </w:r>
      <m:oMath>
        <m:r>
          <m:t>i</m:t>
        </m:r>
      </m:oMath>
      <w:r>
        <w:t xml:space="preserve"> </w:t>
      </w:r>
      <w:r>
        <w:t xml:space="preserve">units is:</w:t>
      </w:r>
    </w:p>
    <w:p>
      <w:pPr>
        <w:pStyle w:val="BodyText"/>
      </w:pPr>
      <m:oMathPara>
        <m:oMathParaPr>
          <m:jc m:val="center"/>
        </m:oMathParaPr>
        <m:oMath>
          <m:sSub>
            <m:e>
              <m:r>
                <m:rPr>
                  <m:sty m:val="p"/>
                  <m:scr m:val="double-struck"/>
                </m:rPr>
                <m:t>P</m:t>
              </m:r>
            </m:e>
            <m:sub>
              <m:r>
                <m:t>i</m:t>
              </m:r>
            </m:sub>
          </m:sSub>
          <m:d>
            <m:dPr>
              <m:begChr m:val="("/>
              <m:sepChr m:val=""/>
              <m:endChr m:val=")"/>
              <m:grow/>
            </m:dPr>
            <m:e>
              <m:sSub>
                <m:e>
                  <m:r>
                    <m:t>τ</m:t>
                  </m:r>
                </m:e>
                <m:sub>
                  <m:r>
                    <m:t>0</m:t>
                  </m:r>
                </m:sub>
              </m:sSub>
              <m:r>
                <m:rPr>
                  <m:sty m:val="p"/>
                </m:rPr>
                <m:t>&lt;</m:t>
              </m:r>
              <m:r>
                <m:rPr>
                  <m:sty m:val="p"/>
                </m:rPr>
                <m:t>∞</m:t>
              </m:r>
            </m:e>
          </m:d>
          <m:r>
            <m:rPr>
              <m:sty m:val="p"/>
            </m:rPr>
            <m:t>=</m:t>
          </m:r>
          <m:sSup>
            <m:e>
              <m:d>
                <m:dPr>
                  <m:begChr m:val="("/>
                  <m:sepChr m:val=""/>
                  <m:endChr m:val=")"/>
                  <m:grow/>
                </m:dPr>
                <m:e>
                  <m:f>
                    <m:fPr>
                      <m:type m:val="bar"/>
                    </m:fPr>
                    <m:num>
                      <m:r>
                        <m:t>q</m:t>
                      </m:r>
                    </m:num>
                    <m:den>
                      <m:r>
                        <m:t>p</m:t>
                      </m:r>
                    </m:den>
                  </m:f>
                </m:e>
              </m:d>
            </m:e>
            <m:sup>
              <m:r>
                <m:t>i</m:t>
              </m:r>
            </m:sup>
          </m:sSup>
          <m:r>
            <m:rPr>
              <m:sty m:val="p"/>
            </m:rPr>
            <m:t>,</m:t>
          </m:r>
          <m:r>
            <m:t> </m:t>
          </m:r>
          <m:r>
            <m:rPr>
              <m:nor/>
              <m:sty m:val="p"/>
            </m:rPr>
            <m:t>so</m:t>
          </m:r>
          <m:r>
            <m:t> </m:t>
          </m:r>
          <m:sSub>
            <m:e>
              <m:r>
                <m:rPr>
                  <m:sty m:val="p"/>
                  <m:scr m:val="double-struck"/>
                </m:rPr>
                <m:t>P</m:t>
              </m:r>
            </m:e>
            <m:sub>
              <m:r>
                <m:t>i</m:t>
              </m:r>
            </m:sub>
          </m:sSub>
          <m:d>
            <m:dPr>
              <m:begChr m:val="("/>
              <m:sepChr m:val=""/>
              <m:endChr m:val=")"/>
              <m:grow/>
            </m:dPr>
            <m:e>
              <m:r>
                <m:rPr>
                  <m:nor/>
                  <m:sty m:val="p"/>
                </m:rPr>
                <m:t>never ruined</m:t>
              </m:r>
            </m:e>
          </m:d>
          <m:r>
            <m:rPr>
              <m:sty m:val="p"/>
            </m:rPr>
            <m:t>=</m:t>
          </m:r>
          <m:r>
            <m:t>1</m:t>
          </m:r>
          <m:r>
            <m:rPr>
              <m:sty m:val="p"/>
            </m:rPr>
            <m:t>−</m:t>
          </m:r>
          <m:sSup>
            <m:e>
              <m:d>
                <m:dPr>
                  <m:begChr m:val="("/>
                  <m:sepChr m:val=""/>
                  <m:endChr m:val=")"/>
                  <m:grow/>
                </m:dPr>
                <m:e>
                  <m:f>
                    <m:fPr>
                      <m:type m:val="bar"/>
                    </m:fPr>
                    <m:num>
                      <m:r>
                        <m:t>q</m:t>
                      </m:r>
                    </m:num>
                    <m:den>
                      <m:r>
                        <m:t>p</m:t>
                      </m:r>
                    </m:den>
                  </m:f>
                </m:e>
              </m:d>
            </m:e>
            <m:sup>
              <m:r>
                <m:t>i</m:t>
              </m:r>
            </m:sup>
          </m:sSup>
          <m:r>
            <m:rPr>
              <m:sty m:val="p"/>
            </m:rPr>
            <m:t>.</m:t>
          </m:r>
        </m:oMath>
      </m:oMathPara>
    </w:p>
    <w:p>
      <w:pPr>
        <w:pStyle w:val="FirstParagraph"/>
      </w:pPr>
      <w:r>
        <w:t xml:space="preserve">For</w:t>
      </w:r>
      <w:r>
        <w:t xml:space="preserve"> </w:t>
      </w:r>
      <m:oMath>
        <m:r>
          <m:t>p</m:t>
        </m:r>
        <m:r>
          <m:rPr>
            <m:sty m:val="p"/>
          </m:rPr>
          <m:t>≤</m:t>
        </m:r>
        <m:r>
          <m:t>1</m:t>
        </m:r>
        <m:r>
          <m:rPr>
            <m:sty m:val="p"/>
          </m:rPr>
          <m:t>/</m:t>
        </m:r>
        <m:r>
          <m:t>2</m:t>
        </m:r>
      </m:oMath>
      <w:r>
        <w:t xml:space="preserve">, eventual ruin probability is 1 in the unbounded-horizon setting.</w:t>
      </w:r>
      <w:r>
        <w:t xml:space="preserve"> </w:t>
      </w:r>
      <w:hyperlink r:id="rId21">
        <w:r>
          <w:rPr>
            <w:rStyle w:val="Hyperlink"/>
          </w:rPr>
          <w:t xml:space="preserve">[2]</w:t>
        </w:r>
      </w:hyperlink>
    </w:p>
    <w:p>
      <w:pPr>
        <w:pStyle w:val="BodyText"/>
      </w:pPr>
      <w:r>
        <w:t xml:space="preserve">This “eventual success” expression is the cleanest sensitivity tool for answering “how much starting bankroll (in $10 units) do I need for 90%/95% odds of not being wiped out before I reach a very large goal?”</w:t>
      </w:r>
    </w:p>
    <w:bookmarkEnd w:id="30"/>
    <w:bookmarkStart w:id="32" w:name="X2c0cee3228e87b40f262b1b42d3a26581754194"/>
    <w:p>
      <w:pPr>
        <w:pStyle w:val="Heading3"/>
      </w:pPr>
      <w:r>
        <w:t xml:space="preserve">Expected time-to-goal (expected stopping time)</w:t>
      </w:r>
    </w:p>
    <w:p>
      <w:pPr>
        <w:pStyle w:val="FirstParagraph"/>
      </w:pPr>
      <w:r>
        <w:t xml:space="preserve">Let</w:t>
      </w:r>
      <w:r>
        <w:t xml:space="preserve"> </w:t>
      </w:r>
      <m:oMath>
        <m:r>
          <m:t>τ</m:t>
        </m:r>
        <m:r>
          <m:rPr>
            <m:sty m:val="p"/>
          </m:rPr>
          <m:t>=</m:t>
        </m:r>
        <m:sSub>
          <m:e>
            <m:r>
              <m:t>τ</m:t>
            </m:r>
          </m:e>
          <m:sub>
            <m:r>
              <m:t>0</m:t>
            </m:r>
          </m:sub>
        </m:sSub>
        <m:r>
          <m:rPr>
            <m:sty m:val="p"/>
          </m:rPr>
          <m:t>∧</m:t>
        </m:r>
        <m:sSub>
          <m:e>
            <m:r>
              <m:t>τ</m:t>
            </m:r>
          </m:e>
          <m:sub>
            <m:r>
              <m:t>N</m:t>
            </m:r>
          </m:sub>
        </m:sSub>
      </m:oMath>
      <w:r>
        <w:t xml:space="preserve">.</w:t>
      </w:r>
    </w:p>
    <w:p>
      <w:pPr>
        <w:pStyle w:val="BodyText"/>
      </w:pPr>
      <w:r>
        <w:t xml:space="preserve">For</w:t>
      </w:r>
      <w:r>
        <w:t xml:space="preserve"> </w:t>
      </w:r>
      <m:oMath>
        <m:r>
          <m:t>p</m:t>
        </m:r>
        <m:r>
          <m:rPr>
            <m:sty m:val="p"/>
          </m:rPr>
          <m:t>=</m:t>
        </m:r>
        <m:f>
          <m:fPr>
            <m:type m:val="lin"/>
          </m:fPr>
          <m:num>
            <m:r>
              <m:t>1</m:t>
            </m:r>
          </m:num>
          <m:den>
            <m:r>
              <m:t>2</m:t>
            </m:r>
          </m:den>
        </m:f>
      </m:oMath>
      <w:r>
        <w:t xml:space="preserve"> </w:t>
      </w:r>
      <w:r>
        <w:t xml:space="preserve">(fair walk), the expected stopping time is:</w:t>
      </w:r>
    </w:p>
    <w:p>
      <w:pPr>
        <w:pStyle w:val="BodyText"/>
      </w:pPr>
      <m:oMathPara>
        <m:oMathParaPr>
          <m:jc m:val="center"/>
        </m:oMathParaPr>
        <m:oMath>
          <m:sSub>
            <m:e>
              <m:r>
                <m:rPr>
                  <m:sty m:val="p"/>
                  <m:scr m:val="double-struck"/>
                </m:rPr>
                <m:t>E</m:t>
              </m:r>
            </m:e>
            <m:sub>
              <m:r>
                <m:t>i</m:t>
              </m:r>
            </m:sub>
          </m:sSub>
          <m:d>
            <m:dPr>
              <m:begChr m:val="["/>
              <m:sepChr m:val=""/>
              <m:endChr m:val="]"/>
              <m:grow/>
            </m:dPr>
            <m:e>
              <m:r>
                <m:t>τ</m:t>
              </m:r>
            </m:e>
          </m:d>
          <m:r>
            <m:rPr>
              <m:sty m:val="p"/>
            </m:rPr>
            <m:t>=</m:t>
          </m:r>
          <m:r>
            <m:t>i</m:t>
          </m:r>
          <m:d>
            <m:dPr>
              <m:begChr m:val="("/>
              <m:sepChr m:val=""/>
              <m:endChr m:val=")"/>
              <m:grow/>
            </m:dPr>
            <m:e>
              <m:r>
                <m:t>N</m:t>
              </m:r>
              <m:r>
                <m:rPr>
                  <m:sty m:val="p"/>
                </m:rPr>
                <m:t>−</m:t>
              </m:r>
              <m:r>
                <m:t>i</m:t>
              </m:r>
            </m:e>
          </m:d>
          <m:r>
            <m:rPr>
              <m:sty m:val="p"/>
            </m:rPr>
            <m:t>.</m:t>
          </m:r>
        </m:oMath>
      </m:oMathPara>
    </w:p>
    <w:p>
      <w:pPr>
        <w:pStyle w:val="FirstParagraph"/>
      </w:pPr>
      <w:r>
        <w:t xml:space="preserve">This is derived in the MIT gambler’s-ruin lecture (via a second-moment martingale/recurrence approach), and implies</w:t>
      </w:r>
      <w:r>
        <w:t xml:space="preserve"> </w:t>
      </w:r>
      <w:r>
        <w:rPr>
          <w:b/>
          <w:bCs/>
        </w:rPr>
        <w:t xml:space="preserve">large expected durations</w:t>
      </w:r>
      <w:r>
        <w:t xml:space="preserve"> </w:t>
      </w:r>
      <w:r>
        <w:t xml:space="preserve">even though absorption occurs with probability 1.</w:t>
      </w:r>
      <w:r>
        <w:t xml:space="preserve"> </w:t>
      </w:r>
      <w:hyperlink r:id="rId31">
        <w:r>
          <w:rPr>
            <w:rStyle w:val="Hyperlink"/>
          </w:rPr>
          <w:t xml:space="preserve">[7]</w:t>
        </w:r>
      </w:hyperlink>
    </w:p>
    <w:p>
      <w:pPr>
        <w:pStyle w:val="BodyText"/>
      </w:pPr>
      <w:r>
        <w:t xml:space="preserve">For</w:t>
      </w:r>
      <w:r>
        <w:t xml:space="preserve"> </w:t>
      </w:r>
      <m:oMath>
        <m:r>
          <m:t>p</m:t>
        </m:r>
        <m:r>
          <m:rPr>
            <m:sty m:val="p"/>
          </m:rPr>
          <m:t>≠</m:t>
        </m:r>
        <m:f>
          <m:fPr>
            <m:type m:val="lin"/>
          </m:fPr>
          <m:num>
            <m:r>
              <m:t>1</m:t>
            </m:r>
          </m:num>
          <m:den>
            <m:r>
              <m:t>2</m:t>
            </m:r>
          </m:den>
        </m:f>
      </m:oMath>
      <w:r>
        <w:t xml:space="preserve"> </w:t>
      </w:r>
      <w:r>
        <w:t xml:space="preserve">(biased walk), one closed-form solution (same lecture) is:</w:t>
      </w:r>
    </w:p>
    <w:p>
      <w:pPr>
        <w:pStyle w:val="BodyText"/>
      </w:pPr>
      <m:oMathPara>
        <m:oMathParaPr>
          <m:jc m:val="center"/>
        </m:oMathParaPr>
        <m:oMath>
          <m:sSub>
            <m:e>
              <m:r>
                <m:rPr>
                  <m:sty m:val="p"/>
                  <m:scr m:val="double-struck"/>
                </m:rPr>
                <m:t>E</m:t>
              </m:r>
            </m:e>
            <m:sub>
              <m:r>
                <m:t>i</m:t>
              </m:r>
            </m:sub>
          </m:sSub>
          <m:d>
            <m:dPr>
              <m:begChr m:val="["/>
              <m:sepChr m:val=""/>
              <m:endChr m:val="]"/>
              <m:grow/>
            </m:dPr>
            <m:e>
              <m:r>
                <m:t>τ</m:t>
              </m:r>
            </m:e>
          </m:d>
          <m:r>
            <m:rPr>
              <m:sty m:val="p"/>
            </m:rPr>
            <m:t>=</m:t>
          </m:r>
          <m:f>
            <m:fPr>
              <m:type m:val="bar"/>
            </m:fPr>
            <m:num>
              <m:r>
                <m:t>i</m:t>
              </m:r>
            </m:num>
            <m:den>
              <m:r>
                <m:t>1</m:t>
              </m:r>
              <m:r>
                <m:rPr>
                  <m:sty m:val="p"/>
                </m:rPr>
                <m:t>−</m:t>
              </m:r>
              <m:r>
                <m:t>2</m:t>
              </m:r>
              <m:r>
                <m:t>p</m:t>
              </m:r>
            </m:den>
          </m:f>
          <m:r>
            <m:rPr>
              <m:sty m:val="p"/>
            </m:rPr>
            <m:t>−</m:t>
          </m:r>
          <m:f>
            <m:fPr>
              <m:type m:val="bar"/>
            </m:fPr>
            <m:num>
              <m:r>
                <m:t>N</m:t>
              </m:r>
            </m:num>
            <m:den>
              <m:r>
                <m:t>1</m:t>
              </m:r>
              <m:r>
                <m:rPr>
                  <m:sty m:val="p"/>
                </m:rPr>
                <m:t>−</m:t>
              </m:r>
              <m:r>
                <m:t>2</m:t>
              </m:r>
              <m:r>
                <m:t>p</m:t>
              </m:r>
            </m:den>
          </m:f>
          <m:r>
            <m:rPr>
              <m:sty m:val="p"/>
            </m:rPr>
            <m:t>⋅</m:t>
          </m:r>
          <m:f>
            <m:fPr>
              <m:type m:val="bar"/>
            </m:fPr>
            <m:num>
              <m:sSup>
                <m:e>
                  <m:d>
                    <m:dPr>
                      <m:begChr m:val="("/>
                      <m:sepChr m:val=""/>
                      <m:endChr m:val=")"/>
                      <m:grow/>
                    </m:dPr>
                    <m:e>
                      <m:f>
                        <m:fPr>
                          <m:type m:val="bar"/>
                        </m:fPr>
                        <m:num>
                          <m:r>
                            <m:t>q</m:t>
                          </m:r>
                        </m:num>
                        <m:den>
                          <m:r>
                            <m:t>p</m:t>
                          </m:r>
                        </m:den>
                      </m:f>
                    </m:e>
                  </m:d>
                </m:e>
                <m:sup>
                  <m:r>
                    <m:t>i</m:t>
                  </m:r>
                </m:sup>
              </m:sSup>
              <m:r>
                <m:rPr>
                  <m:sty m:val="p"/>
                </m:rPr>
                <m:t>−</m:t>
              </m:r>
              <m:r>
                <m:t>1</m:t>
              </m:r>
            </m:num>
            <m:den>
              <m:sSup>
                <m:e>
                  <m:d>
                    <m:dPr>
                      <m:begChr m:val="("/>
                      <m:sepChr m:val=""/>
                      <m:endChr m:val=")"/>
                      <m:grow/>
                    </m:dPr>
                    <m:e>
                      <m:f>
                        <m:fPr>
                          <m:type m:val="bar"/>
                        </m:fPr>
                        <m:num>
                          <m:r>
                            <m:t>q</m:t>
                          </m:r>
                        </m:num>
                        <m:den>
                          <m:r>
                            <m:t>p</m:t>
                          </m:r>
                        </m:den>
                      </m:f>
                    </m:e>
                  </m:d>
                </m:e>
                <m:sup>
                  <m:r>
                    <m:t>N</m:t>
                  </m:r>
                </m:sup>
              </m:sSup>
              <m:r>
                <m:rPr>
                  <m:sty m:val="p"/>
                </m:rPr>
                <m:t>−</m:t>
              </m:r>
              <m:r>
                <m:t>1</m:t>
              </m:r>
            </m:den>
          </m:f>
          <m:r>
            <m:rPr>
              <m:sty m:val="p"/>
            </m:rPr>
            <m:t>,</m:t>
          </m:r>
          <m:r>
            <m:t> </m:t>
          </m:r>
          <m:d>
            <m:dPr>
              <m:begChr m:val="("/>
              <m:sepChr m:val=""/>
              <m:endChr m:val=")"/>
              <m:grow/>
            </m:dPr>
            <m:e>
              <m:r>
                <m:t>p</m:t>
              </m:r>
              <m:r>
                <m:rPr>
                  <m:sty m:val="p"/>
                </m:rPr>
                <m:t>≠</m:t>
              </m:r>
              <m:f>
                <m:fPr>
                  <m:type m:val="lin"/>
                </m:fPr>
                <m:num>
                  <m:r>
                    <m:t>1</m:t>
                  </m:r>
                </m:num>
                <m:den>
                  <m:r>
                    <m:t>2</m:t>
                  </m:r>
                </m:den>
              </m:f>
            </m:e>
          </m:d>
          <m:r>
            <m:rPr>
              <m:sty m:val="p"/>
            </m:rPr>
            <m:t>,</m:t>
          </m:r>
        </m:oMath>
      </m:oMathPara>
    </w:p>
    <w:p>
      <w:pPr>
        <w:pStyle w:val="FirstParagraph"/>
      </w:pPr>
      <w:r>
        <w:t xml:space="preserve">with boundary conditions</w:t>
      </w:r>
      <w:r>
        <w:t xml:space="preserve"> </w:t>
      </w:r>
      <m:oMath>
        <m:sSub>
          <m:e>
            <m:r>
              <m:rPr>
                <m:sty m:val="p"/>
                <m:scr m:val="double-struck"/>
              </m:rPr>
              <m:t>E</m:t>
            </m:r>
          </m:e>
          <m:sub>
            <m:r>
              <m:t>0</m:t>
            </m:r>
          </m:sub>
        </m:sSub>
        <m:d>
          <m:dPr>
            <m:begChr m:val="["/>
            <m:sepChr m:val=""/>
            <m:endChr m:val="]"/>
            <m:grow/>
          </m:dPr>
          <m:e>
            <m:r>
              <m:t>τ</m:t>
            </m:r>
          </m:e>
        </m:d>
        <m:r>
          <m:rPr>
            <m:sty m:val="p"/>
          </m:rPr>
          <m:t>=</m:t>
        </m:r>
        <m:sSub>
          <m:e>
            <m:r>
              <m:rPr>
                <m:sty m:val="p"/>
                <m:scr m:val="double-struck"/>
              </m:rPr>
              <m:t>E</m:t>
            </m:r>
          </m:e>
          <m:sub>
            <m:r>
              <m:t>N</m:t>
            </m:r>
          </m:sub>
        </m:sSub>
        <m:d>
          <m:dPr>
            <m:begChr m:val="["/>
            <m:sepChr m:val=""/>
            <m:endChr m:val="]"/>
            <m:grow/>
          </m:dPr>
          <m:e>
            <m:r>
              <m:t>τ</m:t>
            </m:r>
          </m:e>
        </m:d>
        <m:r>
          <m:rPr>
            <m:sty m:val="p"/>
          </m:rPr>
          <m:t>=</m:t>
        </m:r>
        <m:r>
          <m:t>0</m:t>
        </m:r>
      </m:oMath>
      <w:r>
        <w:t xml:space="preserve">.</w:t>
      </w:r>
      <w:r>
        <w:t xml:space="preserve"> </w:t>
      </w:r>
      <w:hyperlink r:id="rId31">
        <w:r>
          <w:rPr>
            <w:rStyle w:val="Hyperlink"/>
          </w:rPr>
          <w:t xml:space="preserve">[7]</w:t>
        </w:r>
      </w:hyperlink>
    </w:p>
    <w:p>
      <w:pPr>
        <w:pStyle w:val="BodyText"/>
      </w:pPr>
      <w:r>
        <w:t xml:space="preserve">Caution for architecture: expected time is often less important than</w:t>
      </w:r>
      <w:r>
        <w:t xml:space="preserve"> </w:t>
      </w:r>
      <w:r>
        <w:rPr>
          <w:b/>
          <w:bCs/>
        </w:rPr>
        <w:t xml:space="preserve">probability of ruin</w:t>
      </w:r>
      <w:r>
        <w:t xml:space="preserve"> </w:t>
      </w:r>
      <w:r>
        <w:t xml:space="preserve">and</w:t>
      </w:r>
      <w:r>
        <w:t xml:space="preserve"> </w:t>
      </w:r>
      <w:r>
        <w:rPr>
          <w:b/>
          <w:bCs/>
        </w:rPr>
        <w:t xml:space="preserve">drawdown distribution</w:t>
      </w:r>
      <w:r>
        <w:t xml:space="preserve">, but it matters for operational planning (API costs, number of bets, statistical certainty on</w:t>
      </w:r>
      <w:r>
        <w:t xml:space="preserve"> </w:t>
      </w:r>
      <m:oMath>
        <m:r>
          <m:t>p</m:t>
        </m:r>
      </m:oMath>
      <w:r>
        <w:t xml:space="preserve">).</w:t>
      </w:r>
    </w:p>
    <w:bookmarkEnd w:id="32"/>
    <w:bookmarkStart w:id="35" w:name="Xbc27a9b9066bf269545a4a1058899aebfcb1511"/>
    <w:p>
      <w:pPr>
        <w:pStyle w:val="Heading3"/>
      </w:pPr>
      <w:r>
        <w:t xml:space="preserve">Kelly and fractional-Kelly sizing (parallel foundation)</w:t>
      </w:r>
    </w:p>
    <w:p>
      <w:pPr>
        <w:pStyle w:val="FirstParagraph"/>
      </w:pPr>
      <w:r>
        <w:t xml:space="preserve">While your requested fixed-$10 model is an additive walk, real betting/trading often scales position size with bankroll (multiplicative wealth dynamics). The canonical growth-optimal sizing is the</w:t>
      </w:r>
      <w:r>
        <w:t xml:space="preserve"> </w:t>
      </w:r>
      <w:r>
        <w:rPr>
          <w:b/>
          <w:bCs/>
        </w:rPr>
        <w:t xml:space="preserve">Kelly criterion</w:t>
      </w:r>
      <w:r>
        <w:t xml:space="preserve">, introduced by J. L. Kelly Jr.</w:t>
      </w:r>
      <w:hyperlink r:id="rId33">
        <w:r>
          <w:rPr>
            <w:rStyle w:val="Hyperlink"/>
          </w:rPr>
          <w:t xml:space="preserve">[8]</w:t>
        </w:r>
      </w:hyperlink>
      <w:r>
        <w:t xml:space="preserve">, maximizing expected log growth.</w:t>
      </w:r>
      <w:r>
        <w:t xml:space="preserve"> </w:t>
      </w:r>
      <w:hyperlink r:id="rId21">
        <w:r>
          <w:rPr>
            <w:rStyle w:val="Hyperlink"/>
          </w:rPr>
          <w:t xml:space="preserve">[9]</w:t>
        </w:r>
      </w:hyperlink>
    </w:p>
    <w:p>
      <w:pPr>
        <w:pStyle w:val="BodyText"/>
      </w:pPr>
      <w:r>
        <w:t xml:space="preserve">For a binary bet with:</w:t>
      </w:r>
    </w:p>
    <w:p>
      <w:pPr>
        <w:pStyle w:val="Compact"/>
        <w:numPr>
          <w:ilvl w:val="0"/>
          <w:numId w:val="1001"/>
        </w:numPr>
      </w:pPr>
      <w:r>
        <w:t xml:space="preserve">win probability</w:t>
      </w:r>
      <w:r>
        <w:t xml:space="preserve"> </w:t>
      </w:r>
      <m:oMath>
        <m:r>
          <m:t>p</m:t>
        </m:r>
      </m:oMath>
      <w:r>
        <w:t xml:space="preserve">,</w:t>
      </w:r>
    </w:p>
    <w:p>
      <w:pPr>
        <w:pStyle w:val="Compact"/>
        <w:numPr>
          <w:ilvl w:val="0"/>
          <w:numId w:val="1001"/>
        </w:numPr>
      </w:pPr>
      <w:r>
        <w:t xml:space="preserve">lose probability</w:t>
      </w:r>
      <w:r>
        <w:t xml:space="preserve"> </w:t>
      </w:r>
      <m:oMath>
        <m:r>
          <m:t>q</m:t>
        </m:r>
        <m:r>
          <m:rPr>
            <m:sty m:val="p"/>
          </m:rPr>
          <m:t>=</m:t>
        </m:r>
        <m:r>
          <m:t>1</m:t>
        </m:r>
        <m:r>
          <m:rPr>
            <m:sty m:val="p"/>
          </m:rPr>
          <m:t>−</m:t>
        </m:r>
        <m:r>
          <m:t>p</m:t>
        </m:r>
      </m:oMath>
      <w:r>
        <w:t xml:space="preserve">,</w:t>
      </w:r>
    </w:p>
    <w:p>
      <w:pPr>
        <w:pStyle w:val="Compact"/>
        <w:numPr>
          <w:ilvl w:val="0"/>
          <w:numId w:val="1001"/>
        </w:numPr>
      </w:pPr>
      <w:r>
        <w:t xml:space="preserve">net odds</w:t>
      </w:r>
      <w:r>
        <w:t xml:space="preserve"> </w:t>
      </w:r>
      <m:oMath>
        <m:r>
          <m:t>b</m:t>
        </m:r>
      </m:oMath>
      <w:r>
        <w:t xml:space="preserve"> </w:t>
      </w:r>
      <w:r>
        <w:t xml:space="preserve">(win returns</w:t>
      </w:r>
      <w:r>
        <w:t xml:space="preserve"> </w:t>
      </w:r>
      <m:oMath>
        <m:r>
          <m:rPr>
            <m:sty m:val="p"/>
          </m:rPr>
          <m:t>+</m:t>
        </m:r>
        <m:r>
          <m:t>b</m:t>
        </m:r>
      </m:oMath>
      <w:r>
        <w:t xml:space="preserve"> </w:t>
      </w:r>
      <w:r>
        <w:t xml:space="preserve">per \$1 staked; loss returns</w:t>
      </w:r>
      <w:r>
        <w:t xml:space="preserve"> </w:t>
      </w:r>
      <m:oMath>
        <m:r>
          <m:rPr>
            <m:sty m:val="p"/>
          </m:rPr>
          <m:t>−</m:t>
        </m:r>
        <m:r>
          <m:t>1</m:t>
        </m:r>
      </m:oMath>
      <w:r>
        <w:t xml:space="preserve"> </w:t>
      </w:r>
      <w:r>
        <w:t xml:space="preserve">per \$1 staked),</w:t>
      </w:r>
    </w:p>
    <w:p>
      <w:pPr>
        <w:pStyle w:val="Compact"/>
        <w:numPr>
          <w:ilvl w:val="0"/>
          <w:numId w:val="1001"/>
        </w:numPr>
      </w:pPr>
      <w:r>
        <w:t xml:space="preserve">stake fraction</w:t>
      </w:r>
      <w:r>
        <w:t xml:space="preserve"> </w:t>
      </w:r>
      <m:oMath>
        <m:r>
          <m:t>f</m:t>
        </m:r>
        <m:r>
          <m:rPr>
            <m:sty m:val="p"/>
          </m:rPr>
          <m:t>∈</m:t>
        </m:r>
        <m:r>
          <m:rPr>
            <m:sty m:val="p"/>
          </m:rPr>
          <m:t>[</m:t>
        </m:r>
        <m:r>
          <m:t>0</m:t>
        </m:r>
        <m:r>
          <m:rPr>
            <m:sty m:val="p"/>
          </m:rPr>
          <m:t>,</m:t>
        </m:r>
        <m:r>
          <m:t>1</m:t>
        </m:r>
        <m:r>
          <m:rPr>
            <m:sty m:val="p"/>
          </m:rPr>
          <m:t>)</m:t>
        </m:r>
      </m:oMath>
      <w:r>
        <w:t xml:space="preserve"> </w:t>
      </w:r>
      <w:r>
        <w:t xml:space="preserve">of bankroll,</w:t>
      </w:r>
    </w:p>
    <w:p>
      <w:pPr>
        <w:pStyle w:val="FirstParagraph"/>
      </w:pPr>
      <w:r>
        <w:t xml:space="preserve">the log-growth objective is:</w:t>
      </w:r>
    </w:p>
    <w:p>
      <w:pPr>
        <w:pStyle w:val="BodyText"/>
      </w:pPr>
      <m:oMathPara>
        <m:oMathParaPr>
          <m:jc m:val="center"/>
        </m:oMathParaPr>
        <m:oMath>
          <m:r>
            <m:t>g</m:t>
          </m:r>
          <m:d>
            <m:dPr>
              <m:begChr m:val="("/>
              <m:sepChr m:val=""/>
              <m:endChr m:val=")"/>
              <m:grow/>
            </m:dPr>
            <m:e>
              <m:r>
                <m:t>f</m:t>
              </m:r>
            </m:e>
          </m:d>
          <m:r>
            <m:rPr>
              <m:sty m:val="p"/>
            </m:rPr>
            <m:t>=</m:t>
          </m:r>
          <m:r>
            <m:t>p</m:t>
          </m:r>
          <m:r>
            <m:rPr>
              <m:sty m:val="p"/>
            </m:rPr>
            <m:t>ln</m:t>
          </m:r>
          <m:d>
            <m:dPr>
              <m:begChr m:val="("/>
              <m:sepChr m:val=""/>
              <m:endChr m:val=")"/>
              <m:grow/>
            </m:dPr>
            <m:e>
              <m:r>
                <m:t>1</m:t>
              </m:r>
              <m:r>
                <m:rPr>
                  <m:sty m:val="p"/>
                </m:rPr>
                <m:t>+</m:t>
              </m:r>
              <m:r>
                <m:t>f</m:t>
              </m:r>
              <m:r>
                <m:t>b</m:t>
              </m:r>
            </m:e>
          </m:d>
          <m:r>
            <m:rPr>
              <m:sty m:val="p"/>
            </m:rPr>
            <m:t>+</m:t>
          </m:r>
          <m:r>
            <m:t>q</m:t>
          </m:r>
          <m:r>
            <m:rPr>
              <m:sty m:val="p"/>
            </m:rPr>
            <m:t>ln</m:t>
          </m:r>
          <m:d>
            <m:dPr>
              <m:begChr m:val="("/>
              <m:sepChr m:val=""/>
              <m:endChr m:val=")"/>
              <m:grow/>
            </m:dPr>
            <m:e>
              <m:r>
                <m:t>1</m:t>
              </m:r>
              <m:r>
                <m:rPr>
                  <m:sty m:val="p"/>
                </m:rPr>
                <m:t>−</m:t>
              </m:r>
              <m:r>
                <m:t>f</m:t>
              </m:r>
            </m:e>
          </m:d>
          <m:r>
            <m:rPr>
              <m:sty m:val="p"/>
            </m:rPr>
            <m:t>.</m:t>
          </m:r>
        </m:oMath>
      </m:oMathPara>
    </w:p>
    <w:p>
      <w:pPr>
        <w:pStyle w:val="FirstParagraph"/>
      </w:pPr>
      <w:r>
        <w:t xml:space="preserve">Maximizing gives the Kelly fraction:</w:t>
      </w:r>
    </w:p>
    <w:p>
      <w:pPr>
        <w:pStyle w:val="BodyText"/>
      </w:pPr>
      <w:r>
        <w:t xml:space="preserve">$$
    f^\*=\frac{bp-q}{b}.
    $$</w:t>
      </w:r>
    </w:p>
    <w:p>
      <w:pPr>
        <w:pStyle w:val="FirstParagraph"/>
      </w:pPr>
      <w:hyperlink r:id="rId21">
        <w:r>
          <w:rPr>
            <w:rStyle w:val="Hyperlink"/>
          </w:rPr>
          <w:t xml:space="preserve">[9]</w:t>
        </w:r>
      </w:hyperlink>
    </w:p>
    <w:p>
      <w:pPr>
        <w:pStyle w:val="BodyText"/>
      </w:pPr>
      <w:r>
        <w:t xml:space="preserve">In the symmetric</w:t>
      </w:r>
      <w:r>
        <w:t xml:space="preserve"> </w:t>
      </w:r>
      <m:oMath>
        <m:r>
          <m:rPr>
            <m:sty m:val="p"/>
          </m:rPr>
          <m:t>±</m:t>
        </m:r>
        <m:r>
          <m:t>1</m:t>
        </m:r>
      </m:oMath>
      <w:r>
        <w:t xml:space="preserve"> </w:t>
      </w:r>
      <w:r>
        <w:t xml:space="preserve">payoff case (effectively</w:t>
      </w:r>
      <w:r>
        <w:t xml:space="preserve"> </w:t>
      </w:r>
      <m:oMath>
        <m:r>
          <m:t>b</m:t>
        </m:r>
        <m:r>
          <m:rPr>
            <m:sty m:val="p"/>
          </m:rPr>
          <m:t>=</m:t>
        </m:r>
        <m:r>
          <m:t>1</m:t>
        </m:r>
      </m:oMath>
      <w:r>
        <w:t xml:space="preserve">):</w:t>
      </w:r>
    </w:p>
    <w:p>
      <w:pPr>
        <w:pStyle w:val="BodyText"/>
      </w:pPr>
      <w:r>
        <w:t xml:space="preserve">$$
    f^\* = p-q = 2p-1.
    $$</w:t>
      </w:r>
    </w:p>
    <w:p>
      <w:pPr>
        <w:pStyle w:val="FirstParagraph"/>
      </w:pPr>
      <w:r>
        <w:t xml:space="preserve">So if</w:t>
      </w:r>
      <w:r>
        <w:t xml:space="preserve"> </w:t>
      </w:r>
      <m:oMath>
        <m:r>
          <m:t>p</m:t>
        </m:r>
        <m:r>
          <m:rPr>
            <m:sty m:val="p"/>
          </m:rPr>
          <m:t>=</m:t>
        </m:r>
        <m:r>
          <m:t>0.55</m:t>
        </m:r>
      </m:oMath>
      <w:r>
        <w:t xml:space="preserve">, full Kelly risks ~10% of bankroll per effort. Your fixed \$10 risk policy corresponds to</w:t>
      </w:r>
      <w:r>
        <w:t xml:space="preserve"> </w:t>
      </w:r>
      <m:oMath>
        <m:sSub>
          <m:e>
            <m:r>
              <m:t>f</m:t>
            </m:r>
          </m:e>
          <m:sub>
            <m:r>
              <m:t>t</m:t>
            </m:r>
          </m:sub>
        </m:sSub>
        <m:r>
          <m:rPr>
            <m:sty m:val="p"/>
          </m:rPr>
          <m:t>=</m:t>
        </m:r>
        <m:r>
          <m:t>10</m:t>
        </m:r>
        <m:r>
          <m:rPr>
            <m:sty m:val="p"/>
          </m:rPr>
          <m:t>/</m:t>
        </m:r>
        <m:sSub>
          <m:e>
            <m:r>
              <m:t>B</m:t>
            </m:r>
          </m:e>
          <m:sub>
            <m:r>
              <m:t>t</m:t>
            </m:r>
          </m:sub>
        </m:sSub>
      </m:oMath>
      <w:r>
        <w:t xml:space="preserve">, which is</w:t>
      </w:r>
      <w:r>
        <w:t xml:space="preserve"> </w:t>
      </w:r>
      <w:r>
        <w:rPr>
          <w:b/>
          <w:bCs/>
        </w:rPr>
        <w:t xml:space="preserve">over-Kelly</w:t>
      </w:r>
      <w:r>
        <w:t xml:space="preserve"> </w:t>
      </w:r>
      <w:r>
        <w:t xml:space="preserve">at small bankrolls (e.g.,</w:t>
      </w:r>
      <w:r>
        <w:t xml:space="preserve"> </w:t>
      </w:r>
      <m:oMath>
        <m:sSub>
          <m:e>
            <m:r>
              <m:t>B</m:t>
            </m:r>
          </m:e>
          <m:sub>
            <m:r>
              <m:t>t</m:t>
            </m:r>
          </m:sub>
        </m:sSub>
        <m:r>
          <m:rPr>
            <m:sty m:val="p"/>
          </m:rPr>
          <m:t>=</m:t>
        </m:r>
        <m:r>
          <m:rPr>
            <m:sty m:val="p"/>
          </m:rPr>
          <m:t>$</m:t>
        </m:r>
        <m:r>
          <m:t>10</m:t>
        </m:r>
        <m:r>
          <m:rPr>
            <m:sty m:val="p"/>
          </m:rPr>
          <m:t>⇒</m:t>
        </m:r>
        <m:sSub>
          <m:e>
            <m:r>
              <m:t>f</m:t>
            </m:r>
          </m:e>
          <m:sub>
            <m:r>
              <m:t>t</m:t>
            </m:r>
          </m:sub>
        </m:sSub>
        <m:r>
          <m:rPr>
            <m:sty m:val="p"/>
          </m:rPr>
          <m:t>=</m:t>
        </m:r>
        <m:r>
          <m:t>100</m:t>
        </m:r>
        <m:r>
          <m:rPr>
            <m:sty m:val="p"/>
          </m:rPr>
          <m:t>%</m:t>
        </m:r>
      </m:oMath>
      <w:r>
        <w:t xml:space="preserve">) and becomes</w:t>
      </w:r>
      <w:r>
        <w:t xml:space="preserve"> </w:t>
      </w:r>
      <w:r>
        <w:rPr>
          <w:b/>
          <w:bCs/>
        </w:rPr>
        <w:t xml:space="preserve">under-Kelly</w:t>
      </w:r>
      <w:r>
        <w:t xml:space="preserve"> </w:t>
      </w:r>
      <w:r>
        <w:t xml:space="preserve">later (e.g.,</w:t>
      </w:r>
      <w:r>
        <w:t xml:space="preserve"> </w:t>
      </w:r>
      <m:oMath>
        <m:sSub>
          <m:e>
            <m:r>
              <m:t>B</m:t>
            </m:r>
          </m:e>
          <m:sub>
            <m:r>
              <m:t>t</m:t>
            </m:r>
          </m:sub>
        </m:sSub>
        <m:r>
          <m:rPr>
            <m:sty m:val="p"/>
          </m:rPr>
          <m:t>=</m:t>
        </m:r>
        <m:r>
          <m:rPr>
            <m:sty m:val="p"/>
          </m:rPr>
          <m:t>$</m:t>
        </m:r>
        <m:r>
          <m:t>1</m:t>
        </m:r>
        <m:r>
          <m:rPr>
            <m:sty m:val="p"/>
          </m:rPr>
          <m:t>,</m:t>
        </m:r>
        <m:r>
          <m:t>000</m:t>
        </m:r>
        <m:r>
          <m:rPr>
            <m:sty m:val="p"/>
          </m:rPr>
          <m:t>⇒</m:t>
        </m:r>
        <m:sSub>
          <m:e>
            <m:r>
              <m:t>f</m:t>
            </m:r>
          </m:e>
          <m:sub>
            <m:r>
              <m:t>t</m:t>
            </m:r>
          </m:sub>
        </m:sSub>
        <m:r>
          <m:rPr>
            <m:sty m:val="p"/>
          </m:rPr>
          <m:t>=</m:t>
        </m:r>
        <m:r>
          <m:t>1</m:t>
        </m:r>
        <m:r>
          <m:rPr>
            <m:sty m:val="p"/>
          </m:rPr>
          <m:t>%</m:t>
        </m:r>
      </m:oMath>
      <w:r>
        <w:t xml:space="preserve">). That’s why early-stage risk dominates.</w:t>
      </w:r>
    </w:p>
    <w:p>
      <w:pPr>
        <w:pStyle w:val="BodyText"/>
      </w:pPr>
      <w:r>
        <w:t xml:space="preserve">In practice, fractional Kelly (e.g.,</w:t>
      </w:r>
      <w:r>
        <w:t xml:space="preserve"> </w:t>
      </w:r>
      <w:r>
        <w:t xml:space="preserve">$0.25f^\*$</w:t>
      </w:r>
      <w:r>
        <w:t xml:space="preserve"> </w:t>
      </w:r>
      <w:r>
        <w:t xml:space="preserve">or</w:t>
      </w:r>
      <w:r>
        <w:t xml:space="preserve"> </w:t>
      </w:r>
      <w:r>
        <w:t xml:space="preserve">$0.5f^\*$</w:t>
      </w:r>
      <w:r>
        <w:t xml:space="preserve">) is often used to reduce drawdowns and model risk; this is widely discussed in the Kelly investing literature.</w:t>
      </w:r>
      <w:r>
        <w:t xml:space="preserve"> </w:t>
      </w:r>
      <w:hyperlink r:id="rId34">
        <w:r>
          <w:rPr>
            <w:rStyle w:val="Hyperlink"/>
          </w:rPr>
          <w:t xml:space="preserve">[10]</w:t>
        </w:r>
      </w:hyperlink>
    </w:p>
    <w:bookmarkEnd w:id="35"/>
    <w:bookmarkEnd w:id="36"/>
    <w:bookmarkStart w:id="40" w:name="fixed-10-per-effort-model-computations"/>
    <w:p>
      <w:pPr>
        <w:pStyle w:val="Heading2"/>
      </w:pPr>
      <w:r>
        <w:t xml:space="preserve">Fixed $10-per-effort model computations</w:t>
      </w:r>
    </w:p>
    <w:p>
      <w:pPr>
        <w:pStyle w:val="FirstParagraph"/>
      </w:pPr>
      <w:r>
        <w:t xml:space="preserve">All results below use the closed-form</w:t>
      </w:r>
      <w:r>
        <w:t xml:space="preserve"> </w:t>
      </w:r>
      <m:oMath>
        <m:sSub>
          <m:e>
            <m:r>
              <m:t>P</m:t>
            </m:r>
          </m:e>
          <m:sub>
            <m:r>
              <m:t>i</m:t>
            </m:r>
          </m:sub>
        </m:sSub>
        <m:d>
          <m:dPr>
            <m:begChr m:val="("/>
            <m:sepChr m:val=""/>
            <m:endChr m:val=")"/>
            <m:grow/>
          </m:dPr>
          <m:e>
            <m:r>
              <m:t>N</m:t>
            </m:r>
          </m:e>
        </m:d>
      </m:oMath>
      <w:r>
        <w:t xml:space="preserve"> </w:t>
      </w:r>
      <w:r>
        <w:t xml:space="preserve">above with</w:t>
      </w:r>
      <w:r>
        <w:t xml:space="preserve"> </w:t>
      </w:r>
      <m:oMath>
        <m:r>
          <m:t>i</m:t>
        </m:r>
        <m:r>
          <m:rPr>
            <m:sty m:val="p"/>
          </m:rPr>
          <m:t>=</m:t>
        </m:r>
        <m:r>
          <m:t>1</m:t>
        </m:r>
      </m:oMath>
      <w:r>
        <w:t xml:space="preserve"> </w:t>
      </w:r>
      <w:r>
        <w:t xml:space="preserve">unit (starting bankroll $10) and</w:t>
      </w:r>
      <w:r>
        <w:t xml:space="preserve"> </w:t>
      </w:r>
      <m:oMath>
        <m:r>
          <m:t>N</m:t>
        </m:r>
        <m:r>
          <m:rPr>
            <m:sty m:val="p"/>
          </m:rPr>
          <m:t>=</m:t>
        </m:r>
        <m:f>
          <m:fPr>
            <m:type m:val="bar"/>
          </m:fPr>
          <m:num>
            <m:r>
              <m:rPr>
                <m:nor/>
                <m:sty m:val="p"/>
              </m:rPr>
              <m:t>target</m:t>
            </m:r>
          </m:num>
          <m:den>
            <m:r>
              <m:t>10</m:t>
            </m:r>
          </m:den>
        </m:f>
      </m:oMath>
      <w:r>
        <w:t xml:space="preserve"> </w:t>
      </w:r>
      <w:r>
        <w:t xml:space="preserve">units.</w:t>
      </w:r>
      <w:r>
        <w:t xml:space="preserve"> </w:t>
      </w:r>
      <w:hyperlink r:id="rId21">
        <w:r>
          <w:rPr>
            <w:rStyle w:val="Hyperlink"/>
          </w:rPr>
          <w:t xml:space="preserve">[2]</w:t>
        </w:r>
      </w:hyperlink>
    </w:p>
    <w:bookmarkStart w:id="37" w:name="Xe6af4c9ac018c425b67678b2165743f93cbae77"/>
    <w:p>
      <w:pPr>
        <w:pStyle w:val="Heading3"/>
      </w:pPr>
      <w:r>
        <w:t xml:space="preserve">Probability to reach target before ruin, starting from $10</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 (bankroll)</w:t>
            </w:r>
          </w:p>
        </w:tc>
        <w:tc>
          <w:tcPr/>
          <w:p>
            <w:pPr>
              <w:pStyle w:val="Compact"/>
              <w:jc w:val="right"/>
            </w:pPr>
            <w:r>
              <w:t xml:space="preserve">p=0.50</w:t>
            </w:r>
          </w:p>
        </w:tc>
        <w:tc>
          <w:tcPr/>
          <w:p>
            <w:pPr>
              <w:pStyle w:val="Compact"/>
              <w:jc w:val="right"/>
            </w:pPr>
            <w:r>
              <w:t xml:space="preserve">p=0.51</w:t>
            </w:r>
          </w:p>
        </w:tc>
        <w:tc>
          <w:tcPr/>
          <w:p>
            <w:pPr>
              <w:pStyle w:val="Compact"/>
              <w:jc w:val="right"/>
            </w:pPr>
            <w:r>
              <w:t xml:space="preserve">p=0.52</w:t>
            </w:r>
          </w:p>
        </w:tc>
        <w:tc>
          <w:tcPr/>
          <w:p>
            <w:pPr>
              <w:pStyle w:val="Compact"/>
              <w:jc w:val="right"/>
            </w:pPr>
            <w:r>
              <w:t xml:space="preserve">p=0.55</w:t>
            </w:r>
          </w:p>
        </w:tc>
        <w:tc>
          <w:tcPr/>
          <w:p>
            <w:pPr>
              <w:pStyle w:val="Compact"/>
              <w:jc w:val="right"/>
            </w:pPr>
            <w:r>
              <w:t xml:space="preserve">p=0.60</w:t>
            </w:r>
          </w:p>
        </w:tc>
      </w:tr>
      <w:tr>
        <w:tc>
          <w:tcPr/>
          <w:p>
            <w:pPr>
              <w:pStyle w:val="Compact"/>
            </w:pPr>
            <w:r>
              <w:t xml:space="preserve">$20</w:t>
            </w:r>
          </w:p>
        </w:tc>
        <w:tc>
          <w:tcPr/>
          <w:p>
            <w:pPr>
              <w:pStyle w:val="Compact"/>
              <w:jc w:val="right"/>
            </w:pPr>
            <w:r>
              <w:t xml:space="preserve">0.5</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0.55</w:t>
            </w:r>
          </w:p>
        </w:tc>
        <w:tc>
          <w:tcPr/>
          <w:p>
            <w:pPr>
              <w:pStyle w:val="Compact"/>
              <w:jc w:val="right"/>
            </w:pPr>
            <w:r>
              <w:t xml:space="preserve">0.6</w:t>
            </w:r>
          </w:p>
        </w:tc>
      </w:tr>
      <w:tr>
        <w:tc>
          <w:tcPr/>
          <w:p>
            <w:pPr>
              <w:pStyle w:val="Compact"/>
            </w:pPr>
            <w:r>
              <w:t xml:space="preserve">$50</w:t>
            </w:r>
          </w:p>
        </w:tc>
        <w:tc>
          <w:tcPr/>
          <w:p>
            <w:pPr>
              <w:pStyle w:val="Compact"/>
              <w:jc w:val="right"/>
            </w:pPr>
            <w:r>
              <w:t xml:space="preserve">0.2</w:t>
            </w:r>
          </w:p>
        </w:tc>
        <w:tc>
          <w:tcPr/>
          <w:p>
            <w:pPr>
              <w:pStyle w:val="Compact"/>
              <w:jc w:val="right"/>
            </w:pPr>
            <w:r>
              <w:t xml:space="preserve">0.216313</w:t>
            </w:r>
          </w:p>
        </w:tc>
        <w:tc>
          <w:tcPr/>
          <w:p>
            <w:pPr>
              <w:pStyle w:val="Compact"/>
              <w:jc w:val="right"/>
            </w:pPr>
            <w:r>
              <w:t xml:space="preserve">0.233225</w:t>
            </w:r>
          </w:p>
        </w:tc>
        <w:tc>
          <w:tcPr/>
          <w:p>
            <w:pPr>
              <w:pStyle w:val="Compact"/>
              <w:jc w:val="right"/>
            </w:pPr>
            <w:r>
              <w:t xml:space="preserve">0.287073</w:t>
            </w:r>
          </w:p>
        </w:tc>
        <w:tc>
          <w:tcPr/>
          <w:p>
            <w:pPr>
              <w:pStyle w:val="Compact"/>
              <w:jc w:val="right"/>
            </w:pPr>
            <w:r>
              <w:t xml:space="preserve">0.383886</w:t>
            </w:r>
          </w:p>
        </w:tc>
      </w:tr>
      <w:tr>
        <w:tc>
          <w:tcPr/>
          <w:p>
            <w:pPr>
              <w:pStyle w:val="Compact"/>
            </w:pPr>
            <w:r>
              <w:t xml:space="preserve">$100</w:t>
            </w:r>
          </w:p>
        </w:tc>
        <w:tc>
          <w:tcPr/>
          <w:p>
            <w:pPr>
              <w:pStyle w:val="Compact"/>
              <w:jc w:val="right"/>
            </w:pPr>
            <w:r>
              <w:t xml:space="preserve">0.1</w:t>
            </w:r>
          </w:p>
        </w:tc>
        <w:tc>
          <w:tcPr/>
          <w:p>
            <w:pPr>
              <w:pStyle w:val="Compact"/>
              <w:jc w:val="right"/>
            </w:pPr>
            <w:r>
              <w:t xml:space="preserve">0.118938</w:t>
            </w:r>
          </w:p>
        </w:tc>
        <w:tc>
          <w:tcPr/>
          <w:p>
            <w:pPr>
              <w:pStyle w:val="Compact"/>
              <w:jc w:val="right"/>
            </w:pPr>
            <w:r>
              <w:t xml:space="preserve">0.139641</w:t>
            </w:r>
          </w:p>
        </w:tc>
        <w:tc>
          <w:tcPr/>
          <w:p>
            <w:pPr>
              <w:pStyle w:val="Compact"/>
              <w:jc w:val="right"/>
            </w:pPr>
            <w:r>
              <w:t xml:space="preserve">0.210056</w:t>
            </w:r>
          </w:p>
        </w:tc>
        <w:tc>
          <w:tcPr/>
          <w:p>
            <w:pPr>
              <w:pStyle w:val="Compact"/>
              <w:jc w:val="right"/>
            </w:pPr>
            <w:r>
              <w:t xml:space="preserve">0.339216</w:t>
            </w:r>
          </w:p>
        </w:tc>
      </w:tr>
      <w:tr>
        <w:tc>
          <w:tcPr/>
          <w:p>
            <w:pPr>
              <w:pStyle w:val="Compact"/>
            </w:pPr>
            <w:r>
              <w:t xml:space="preserve">$250</w:t>
            </w:r>
          </w:p>
        </w:tc>
        <w:tc>
          <w:tcPr/>
          <w:p>
            <w:pPr>
              <w:pStyle w:val="Compact"/>
              <w:jc w:val="right"/>
            </w:pPr>
            <w:r>
              <w:t xml:space="preserve">0.040000</w:t>
            </w:r>
          </w:p>
        </w:tc>
        <w:tc>
          <w:tcPr/>
          <w:p>
            <w:pPr>
              <w:pStyle w:val="Compact"/>
              <w:jc w:val="right"/>
            </w:pPr>
            <w:r>
              <w:t xml:space="preserve">0.062033</w:t>
            </w:r>
          </w:p>
        </w:tc>
        <w:tc>
          <w:tcPr/>
          <w:p>
            <w:pPr>
              <w:pStyle w:val="Compact"/>
              <w:jc w:val="right"/>
            </w:pPr>
            <w:r>
              <w:t xml:space="preserve">0.088948</w:t>
            </w:r>
          </w:p>
        </w:tc>
        <w:tc>
          <w:tcPr/>
          <w:p>
            <w:pPr>
              <w:pStyle w:val="Compact"/>
              <w:jc w:val="right"/>
            </w:pPr>
            <w:r>
              <w:t xml:space="preserve">0.183031</w:t>
            </w:r>
          </w:p>
        </w:tc>
        <w:tc>
          <w:tcPr/>
          <w:p>
            <w:pPr>
              <w:pStyle w:val="Compact"/>
              <w:jc w:val="right"/>
            </w:pPr>
            <w:r>
              <w:t xml:space="preserve">0.333347</w:t>
            </w:r>
          </w:p>
        </w:tc>
      </w:tr>
      <w:tr>
        <w:tc>
          <w:tcPr/>
          <w:p>
            <w:pPr>
              <w:pStyle w:val="Compact"/>
            </w:pPr>
            <w:r>
              <w:t xml:space="preserve">$1,000</w:t>
            </w:r>
          </w:p>
        </w:tc>
        <w:tc>
          <w:tcPr/>
          <w:p>
            <w:pPr>
              <w:pStyle w:val="Compact"/>
              <w:jc w:val="right"/>
            </w:pPr>
            <w:r>
              <w:t xml:space="preserve">0.010000</w:t>
            </w:r>
          </w:p>
        </w:tc>
        <w:tc>
          <w:tcPr/>
          <w:p>
            <w:pPr>
              <w:pStyle w:val="Compact"/>
              <w:jc w:val="right"/>
            </w:pPr>
            <w:r>
              <w:t xml:space="preserve">0.039947</w:t>
            </w:r>
          </w:p>
        </w:tc>
        <w:tc>
          <w:tcPr/>
          <w:p>
            <w:pPr>
              <w:pStyle w:val="Compact"/>
              <w:jc w:val="right"/>
            </w:pPr>
            <w:r>
              <w:t xml:space="preserve">0.076949</w:t>
            </w:r>
          </w:p>
        </w:tc>
        <w:tc>
          <w:tcPr/>
          <w:p>
            <w:pPr>
              <w:pStyle w:val="Compact"/>
              <w:jc w:val="right"/>
            </w:pPr>
            <w:r>
              <w:t xml:space="preserve">0.181818</w:t>
            </w:r>
          </w:p>
        </w:tc>
        <w:tc>
          <w:tcPr/>
          <w:p>
            <w:pPr>
              <w:pStyle w:val="Compact"/>
              <w:jc w:val="right"/>
            </w:pPr>
            <w:r>
              <w:t xml:space="preserve">0.333333</w:t>
            </w:r>
          </w:p>
        </w:tc>
      </w:tr>
      <w:tr>
        <w:tc>
          <w:tcPr/>
          <w:p>
            <w:pPr>
              <w:pStyle w:val="Compact"/>
            </w:pPr>
            <w:r>
              <w:t xml:space="preserve">$10,000</w:t>
            </w:r>
          </w:p>
        </w:tc>
        <w:tc>
          <w:tcPr/>
          <w:p>
            <w:pPr>
              <w:pStyle w:val="Compact"/>
              <w:jc w:val="right"/>
            </w:pPr>
            <w:r>
              <w:t xml:space="preserve">0.001000</w:t>
            </w:r>
          </w:p>
        </w:tc>
        <w:tc>
          <w:tcPr/>
          <w:p>
            <w:pPr>
              <w:pStyle w:val="Compact"/>
              <w:jc w:val="right"/>
            </w:pPr>
            <w:r>
              <w:t xml:space="preserve">0.039216</w:t>
            </w:r>
          </w:p>
        </w:tc>
        <w:tc>
          <w:tcPr/>
          <w:p>
            <w:pPr>
              <w:pStyle w:val="Compact"/>
              <w:jc w:val="right"/>
            </w:pPr>
            <w:r>
              <w:t xml:space="preserve">0.076923</w:t>
            </w:r>
          </w:p>
        </w:tc>
        <w:tc>
          <w:tcPr/>
          <w:p>
            <w:pPr>
              <w:pStyle w:val="Compact"/>
              <w:jc w:val="right"/>
            </w:pPr>
            <w:r>
              <w:t xml:space="preserve">0.181818</w:t>
            </w:r>
          </w:p>
        </w:tc>
        <w:tc>
          <w:tcPr/>
          <w:p>
            <w:pPr>
              <w:pStyle w:val="Compact"/>
              <w:jc w:val="right"/>
            </w:pPr>
            <w:r>
              <w:t xml:space="preserve">0.333333</w:t>
            </w:r>
          </w:p>
        </w:tc>
      </w:tr>
    </w:tbl>
    <w:p>
      <w:pPr>
        <w:pStyle w:val="BodyText"/>
      </w:pPr>
      <w:r>
        <w:t xml:space="preserve">Interpretation:</w:t>
      </w:r>
    </w:p>
    <w:p>
      <w:pPr>
        <w:pStyle w:val="BodyText"/>
      </w:pPr>
      <w:r>
        <w:t xml:space="preserve">At</w:t>
      </w:r>
      <w:r>
        <w:t xml:space="preserve"> </w:t>
      </w:r>
      <m:oMath>
        <m:r>
          <m:t>p</m:t>
        </m:r>
        <m:r>
          <m:rPr>
            <m:sty m:val="p"/>
          </m:rPr>
          <m:t>=</m:t>
        </m:r>
        <m:r>
          <m:t>0.50</m:t>
        </m:r>
      </m:oMath>
      <w:r>
        <w:t xml:space="preserve"> </w:t>
      </w:r>
      <w:r>
        <w:t xml:space="preserve">(no edge), the result reduces to</w:t>
      </w:r>
      <w:r>
        <w:t xml:space="preserve"> </w:t>
      </w:r>
      <m:oMath>
        <m:r>
          <m:t>1</m:t>
        </m:r>
        <m:r>
          <m:rPr>
            <m:sty m:val="p"/>
          </m:rPr>
          <m:t>/</m:t>
        </m:r>
        <m:r>
          <m:t>N</m:t>
        </m:r>
      </m:oMath>
      <w:r>
        <w:t xml:space="preserve">, so $10→$10,000 is 0.1%.</w:t>
      </w:r>
      <w:r>
        <w:t xml:space="preserve"> </w:t>
      </w:r>
      <w:hyperlink r:id="rId21">
        <w:r>
          <w:rPr>
            <w:rStyle w:val="Hyperlink"/>
          </w:rPr>
          <w:t xml:space="preserve">[2]</w:t>
        </w:r>
      </w:hyperlink>
    </w:p>
    <w:p>
      <w:pPr>
        <w:pStyle w:val="BodyText"/>
      </w:pPr>
      <w:r>
        <w:t xml:space="preserve">For</w:t>
      </w:r>
      <w:r>
        <w:t xml:space="preserve"> </w:t>
      </w:r>
      <m:oMath>
        <m:r>
          <m:t>p</m:t>
        </m:r>
        <m:r>
          <m:rPr>
            <m:sty m:val="p"/>
          </m:rPr>
          <m:t>&gt;</m:t>
        </m:r>
        <m:r>
          <m:t>0.5</m:t>
        </m:r>
      </m:oMath>
      <w:r>
        <w:t xml:space="preserve">, as targets grow, the success probability approaches</w:t>
      </w:r>
      <w:r>
        <w:t xml:space="preserve"> </w:t>
      </w:r>
      <m:oMath>
        <m:r>
          <m:t>1</m:t>
        </m:r>
        <m:r>
          <m:rPr>
            <m:sty m:val="p"/>
          </m:rPr>
          <m:t>−</m:t>
        </m:r>
        <m:f>
          <m:fPr>
            <m:type m:val="bar"/>
          </m:fPr>
          <m:num>
            <m:r>
              <m:t>q</m:t>
            </m:r>
          </m:num>
          <m:den>
            <m:r>
              <m:t>p</m:t>
            </m:r>
          </m:den>
        </m:f>
      </m:oMath>
      <w:r>
        <w:t xml:space="preserve">; for</w:t>
      </w:r>
      <w:r>
        <w:t xml:space="preserve"> </w:t>
      </w:r>
      <m:oMath>
        <m:r>
          <m:t>p</m:t>
        </m:r>
        <m:r>
          <m:rPr>
            <m:sty m:val="p"/>
          </m:rPr>
          <m:t>=</m:t>
        </m:r>
        <m:r>
          <m:t>0.55</m:t>
        </m:r>
      </m:oMath>
      <w:r>
        <w:t xml:space="preserve">, that ceiling is</w:t>
      </w:r>
      <w:r>
        <w:t xml:space="preserve"> </w:t>
      </w:r>
      <m:oMath>
        <m:r>
          <m:t>1</m:t>
        </m:r>
        <m:r>
          <m:rPr>
            <m:sty m:val="p"/>
          </m:rPr>
          <m:t>−</m:t>
        </m:r>
        <m:r>
          <m:t>0.45</m:t>
        </m:r>
        <m:r>
          <m:rPr>
            <m:sty m:val="p"/>
          </m:rPr>
          <m:t>/</m:t>
        </m:r>
        <m:r>
          <m:t>0.55</m:t>
        </m:r>
        <m:r>
          <m:rPr>
            <m:sty m:val="p"/>
          </m:rPr>
          <m:t>≈</m:t>
        </m:r>
        <m:r>
          <m:t>0.1818</m:t>
        </m:r>
      </m:oMath>
      <w:r>
        <w:t xml:space="preserve">, matching the $1,000 and $10,000 entries.</w:t>
      </w:r>
      <w:r>
        <w:t xml:space="preserve"> </w:t>
      </w:r>
      <w:hyperlink r:id="rId21">
        <w:r>
          <w:rPr>
            <w:rStyle w:val="Hyperlink"/>
          </w:rPr>
          <w:t xml:space="preserve">[2]</w:t>
        </w:r>
      </w:hyperlink>
    </w:p>
    <w:bookmarkEnd w:id="37"/>
    <w:bookmarkStart w:id="38" w:name="conditional-rung-to-rung-probabilities"/>
    <w:p>
      <w:pPr>
        <w:pStyle w:val="Heading3"/>
      </w:pPr>
      <w:r>
        <w:t xml:space="preserve">Conditional “rung-to-rung” probabilities</w:t>
      </w:r>
    </w:p>
    <w:p>
      <w:pPr>
        <w:pStyle w:val="FirstParagraph"/>
      </w:pPr>
      <w:r>
        <w:t xml:space="preserve">Define rungs: $10 → $20 → $50 → $100 → $250 → $1,000 → $10,000.</w:t>
      </w:r>
    </w:p>
    <w:p>
      <w:pPr>
        <w:pStyle w:val="BodyText"/>
      </w:pPr>
      <w:r>
        <w:t xml:space="preserve">Because the walk must cross intermediate rungs on the way up, you can factor the overall probability as a product of conditional rung transitions:</w:t>
      </w:r>
    </w:p>
    <w:p>
      <w:pPr>
        <w:pStyle w:val="BodyText"/>
      </w:pPr>
      <m:oMathPara>
        <m:oMathParaPr>
          <m:jc m:val="center"/>
        </m:oMathParaPr>
        <m:oMath>
          <m:r>
            <m:rPr>
              <m:sty m:val="p"/>
              <m:scr m:val="double-struck"/>
            </m:rPr>
            <m:t>P</m:t>
          </m:r>
          <m:d>
            <m:dPr>
              <m:begChr m:val="("/>
              <m:sepChr m:val=""/>
              <m:endChr m:val=")"/>
              <m:grow/>
            </m:dPr>
            <m:e>
              <m:r>
                <m:rPr>
                  <m:nor/>
                  <m:sty m:val="p"/>
                </m:rPr>
                <m:t>hit </m:t>
              </m:r>
              <m:r>
                <m:t>10</m:t>
              </m:r>
              <m:r>
                <m:rPr>
                  <m:sty m:val="p"/>
                </m:rPr>
                <m:t>,</m:t>
              </m:r>
              <m:r>
                <m:t>000</m:t>
              </m:r>
              <m:r>
                <m:rPr>
                  <m:nor/>
                  <m:sty m:val="p"/>
                </m:rPr>
                <m:t> before ruin from </m:t>
              </m:r>
              <m:r>
                <m:t>10</m:t>
              </m:r>
            </m:e>
          </m:d>
          <m:r>
            <m:rPr>
              <m:sty m:val="p"/>
            </m:rPr>
            <m:t>=</m:t>
          </m:r>
          <m:nary>
            <m:naryPr>
              <m:chr m:val="∏"/>
              <m:limLoc m:val="undOvr"/>
              <m:subHide m:val="off"/>
              <m:supHide m:val="on"/>
            </m:naryPr>
            <m:sub>
              <m:r>
                <m:t>k</m:t>
              </m:r>
            </m:sub>
            <m:sup>
              <m:r>
                <m:t>​</m:t>
              </m:r>
            </m:sup>
            <m:e>
              <m:r>
                <m:rPr>
                  <m:sty m:val="p"/>
                  <m:scr m:val="double-struck"/>
                </m:rPr>
                <m:t>P</m:t>
              </m:r>
            </m:e>
          </m:nary>
          <m:d>
            <m:dPr>
              <m:begChr m:val="("/>
              <m:sepChr m:val=""/>
              <m:endChr m:val=")"/>
              <m:grow/>
            </m:dPr>
            <m:e>
              <m:sSub>
                <m:e>
                  <m:r>
                    <m:rPr>
                      <m:nor/>
                      <m:sty m:val="p"/>
                    </m:rPr>
                    <m:t>hit rung</m:t>
                  </m:r>
                </m:e>
                <m:sub>
                  <m:r>
                    <m:t>k</m:t>
                  </m:r>
                  <m:r>
                    <m:rPr>
                      <m:sty m:val="p"/>
                    </m:rPr>
                    <m:t>+</m:t>
                  </m:r>
                  <m:r>
                    <m:t>1</m:t>
                  </m:r>
                </m:sub>
              </m:sSub>
              <m:r>
                <m:rPr>
                  <m:nor/>
                  <m:sty m:val="p"/>
                </m:rPr>
                <m:t> before ruin </m:t>
              </m:r>
              <m:r>
                <m:rPr>
                  <m:sty m:val="p"/>
                </m:rPr>
                <m:t>|</m:t>
              </m:r>
              <m:sSub>
                <m:e>
                  <m:r>
                    <m:rPr>
                      <m:nor/>
                      <m:sty m:val="p"/>
                    </m:rPr>
                    <m:t>start at rung</m:t>
                  </m:r>
                </m:e>
                <m:sub>
                  <m:r>
                    <m:t>k</m:t>
                  </m:r>
                </m:sub>
              </m:sSub>
            </m:e>
          </m:d>
          <m:r>
            <m:rPr>
              <m:sty m:val="p"/>
            </m:rPr>
            <m:t>,</m:t>
          </m:r>
        </m:oMath>
      </m:oMathPara>
    </w:p>
    <w:p>
      <w:pPr>
        <w:pStyle w:val="FirstParagraph"/>
      </w:pPr>
      <w:r>
        <w:t xml:space="preserve">and each factor is itself a gambler’s-ruin probability</w:t>
      </w:r>
      <w:r>
        <w:t xml:space="preserve"> </w:t>
      </w:r>
      <m:oMath>
        <m:sSub>
          <m:e>
            <m:r>
              <m:t>P</m:t>
            </m:r>
          </m:e>
          <m:sub>
            <m:r>
              <m:t>i</m:t>
            </m:r>
          </m:sub>
        </m:sSub>
        <m:d>
          <m:dPr>
            <m:begChr m:val="("/>
            <m:sepChr m:val=""/>
            <m:endChr m:val=")"/>
            <m:grow/>
          </m:dPr>
          <m:e>
            <m:r>
              <m:t>N</m:t>
            </m:r>
          </m:e>
        </m:d>
      </m:oMath>
      <w:r>
        <w:t xml:space="preserve"> </w:t>
      </w:r>
      <w:r>
        <w:t xml:space="preserve">with</w:t>
      </w:r>
      <w:r>
        <w:t xml:space="preserve"> </w:t>
      </w:r>
      <m:oMath>
        <m:r>
          <m:t>i</m:t>
        </m:r>
        <m:r>
          <m:rPr>
            <m:sty m:val="p"/>
          </m:rPr>
          <m:t>=</m:t>
        </m:r>
      </m:oMath>
      <w:r>
        <w:t xml:space="preserve"> </w:t>
      </w:r>
      <w:r>
        <w:t xml:space="preserve">current rung (in units) and</w:t>
      </w:r>
      <w:r>
        <w:t xml:space="preserve"> </w:t>
      </w:r>
      <m:oMath>
        <m:r>
          <m:t>N</m:t>
        </m:r>
        <m:r>
          <m:rPr>
            <m:sty m:val="p"/>
          </m:rPr>
          <m:t>=</m:t>
        </m:r>
      </m:oMath>
      <w:r>
        <w:t xml:space="preserve"> </w:t>
      </w:r>
      <w:r>
        <w:t xml:space="preserve">next rung (in units).</w:t>
      </w:r>
      <w:r>
        <w:t xml:space="preserve"> </w:t>
      </w:r>
      <w:hyperlink r:id="rId21">
        <w:r>
          <w:rPr>
            <w:rStyle w:val="Hyperlink"/>
          </w:rPr>
          <w:t xml:space="preserve">[2]</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Rung transition</w:t>
            </w:r>
          </w:p>
        </w:tc>
        <w:tc>
          <w:tcPr/>
          <w:p>
            <w:pPr>
              <w:pStyle w:val="Compact"/>
              <w:jc w:val="right"/>
            </w:pPr>
            <w:r>
              <w:t xml:space="preserve">p=0.50</w:t>
            </w:r>
          </w:p>
        </w:tc>
        <w:tc>
          <w:tcPr/>
          <w:p>
            <w:pPr>
              <w:pStyle w:val="Compact"/>
              <w:jc w:val="right"/>
            </w:pPr>
            <w:r>
              <w:t xml:space="preserve">p=0.51</w:t>
            </w:r>
          </w:p>
        </w:tc>
        <w:tc>
          <w:tcPr/>
          <w:p>
            <w:pPr>
              <w:pStyle w:val="Compact"/>
              <w:jc w:val="right"/>
            </w:pPr>
            <w:r>
              <w:t xml:space="preserve">p=0.52</w:t>
            </w:r>
          </w:p>
        </w:tc>
        <w:tc>
          <w:tcPr/>
          <w:p>
            <w:pPr>
              <w:pStyle w:val="Compact"/>
              <w:jc w:val="right"/>
            </w:pPr>
            <w:r>
              <w:t xml:space="preserve">p=0.55</w:t>
            </w:r>
          </w:p>
        </w:tc>
        <w:tc>
          <w:tcPr/>
          <w:p>
            <w:pPr>
              <w:pStyle w:val="Compact"/>
              <w:jc w:val="right"/>
            </w:pPr>
            <w:r>
              <w:t xml:space="preserve">p=0.60</w:t>
            </w:r>
          </w:p>
        </w:tc>
      </w:tr>
      <w:tr>
        <w:tc>
          <w:tcPr/>
          <w:p>
            <w:pPr>
              <w:pStyle w:val="Compact"/>
            </w:pPr>
            <w:r>
              <w:t xml:space="preserve">$10→$20</w:t>
            </w:r>
          </w:p>
        </w:tc>
        <w:tc>
          <w:tcPr/>
          <w:p>
            <w:pPr>
              <w:pStyle w:val="Compact"/>
              <w:jc w:val="right"/>
            </w:pPr>
            <w:r>
              <w:t xml:space="preserve">0.5</w:t>
            </w:r>
          </w:p>
        </w:tc>
        <w:tc>
          <w:tcPr/>
          <w:p>
            <w:pPr>
              <w:pStyle w:val="Compact"/>
              <w:jc w:val="right"/>
            </w:pPr>
            <w:r>
              <w:t xml:space="preserve">0.51</w:t>
            </w:r>
          </w:p>
        </w:tc>
        <w:tc>
          <w:tcPr/>
          <w:p>
            <w:pPr>
              <w:pStyle w:val="Compact"/>
              <w:jc w:val="right"/>
            </w:pPr>
            <w:r>
              <w:t xml:space="preserve">0.52</w:t>
            </w:r>
          </w:p>
        </w:tc>
        <w:tc>
          <w:tcPr/>
          <w:p>
            <w:pPr>
              <w:pStyle w:val="Compact"/>
              <w:jc w:val="right"/>
            </w:pPr>
            <w:r>
              <w:t xml:space="preserve">0.55</w:t>
            </w:r>
          </w:p>
        </w:tc>
        <w:tc>
          <w:tcPr/>
          <w:p>
            <w:pPr>
              <w:pStyle w:val="Compact"/>
              <w:jc w:val="right"/>
            </w:pPr>
            <w:r>
              <w:t xml:space="preserve">0.6</w:t>
            </w:r>
          </w:p>
        </w:tc>
      </w:tr>
      <w:tr>
        <w:tc>
          <w:tcPr/>
          <w:p>
            <w:pPr>
              <w:pStyle w:val="Compact"/>
            </w:pPr>
            <w:r>
              <w:t xml:space="preserve">$20→$50</w:t>
            </w:r>
          </w:p>
        </w:tc>
        <w:tc>
          <w:tcPr/>
          <w:p>
            <w:pPr>
              <w:pStyle w:val="Compact"/>
              <w:jc w:val="right"/>
            </w:pPr>
            <w:r>
              <w:t xml:space="preserve">0.4</w:t>
            </w:r>
          </w:p>
        </w:tc>
        <w:tc>
          <w:tcPr/>
          <w:p>
            <w:pPr>
              <w:pStyle w:val="Compact"/>
              <w:jc w:val="right"/>
            </w:pPr>
            <w:r>
              <w:t xml:space="preserve">0.424144</w:t>
            </w:r>
          </w:p>
        </w:tc>
        <w:tc>
          <w:tcPr/>
          <w:p>
            <w:pPr>
              <w:pStyle w:val="Compact"/>
              <w:jc w:val="right"/>
            </w:pPr>
            <w:r>
              <w:t xml:space="preserve">0.44851</w:t>
            </w:r>
          </w:p>
        </w:tc>
        <w:tc>
          <w:tcPr/>
          <w:p>
            <w:pPr>
              <w:pStyle w:val="Compact"/>
              <w:jc w:val="right"/>
            </w:pPr>
            <w:r>
              <w:t xml:space="preserve">0.521951</w:t>
            </w:r>
          </w:p>
        </w:tc>
        <w:tc>
          <w:tcPr/>
          <w:p>
            <w:pPr>
              <w:pStyle w:val="Compact"/>
              <w:jc w:val="right"/>
            </w:pPr>
            <w:r>
              <w:t xml:space="preserve">0.63981</w:t>
            </w:r>
          </w:p>
        </w:tc>
      </w:tr>
      <w:tr>
        <w:tc>
          <w:tcPr/>
          <w:p>
            <w:pPr>
              <w:pStyle w:val="Compact"/>
            </w:pPr>
            <w:r>
              <w:t xml:space="preserve">$50→$100</w:t>
            </w:r>
          </w:p>
        </w:tc>
        <w:tc>
          <w:tcPr/>
          <w:p>
            <w:pPr>
              <w:pStyle w:val="Compact"/>
              <w:jc w:val="right"/>
            </w:pPr>
            <w:r>
              <w:t xml:space="preserve">0.5</w:t>
            </w:r>
          </w:p>
        </w:tc>
        <w:tc>
          <w:tcPr/>
          <w:p>
            <w:pPr>
              <w:pStyle w:val="Compact"/>
              <w:jc w:val="right"/>
            </w:pPr>
            <w:r>
              <w:t xml:space="preserve">0.549841</w:t>
            </w:r>
          </w:p>
        </w:tc>
        <w:tc>
          <w:tcPr/>
          <w:p>
            <w:pPr>
              <w:pStyle w:val="Compact"/>
              <w:jc w:val="right"/>
            </w:pPr>
            <w:r>
              <w:t xml:space="preserve">0.598739</w:t>
            </w:r>
          </w:p>
        </w:tc>
        <w:tc>
          <w:tcPr/>
          <w:p>
            <w:pPr>
              <w:pStyle w:val="Compact"/>
              <w:jc w:val="right"/>
            </w:pPr>
            <w:r>
              <w:t xml:space="preserve">0.731717</w:t>
            </w:r>
          </w:p>
        </w:tc>
        <w:tc>
          <w:tcPr/>
          <w:p>
            <w:pPr>
              <w:pStyle w:val="Compact"/>
              <w:jc w:val="right"/>
            </w:pPr>
            <w:r>
              <w:t xml:space="preserve">0.883636</w:t>
            </w:r>
          </w:p>
        </w:tc>
      </w:tr>
      <w:tr>
        <w:tc>
          <w:tcPr/>
          <w:p>
            <w:pPr>
              <w:pStyle w:val="Compact"/>
            </w:pPr>
            <w:r>
              <w:t xml:space="preserve">$100→$250</w:t>
            </w:r>
          </w:p>
        </w:tc>
        <w:tc>
          <w:tcPr/>
          <w:p>
            <w:pPr>
              <w:pStyle w:val="Compact"/>
              <w:jc w:val="right"/>
            </w:pPr>
            <w:r>
              <w:t xml:space="preserve">0.4</w:t>
            </w:r>
          </w:p>
        </w:tc>
        <w:tc>
          <w:tcPr/>
          <w:p>
            <w:pPr>
              <w:pStyle w:val="Compact"/>
              <w:jc w:val="right"/>
            </w:pPr>
            <w:r>
              <w:t xml:space="preserve">0.521562</w:t>
            </w:r>
          </w:p>
        </w:tc>
        <w:tc>
          <w:tcPr/>
          <w:p>
            <w:pPr>
              <w:pStyle w:val="Compact"/>
              <w:jc w:val="right"/>
            </w:pPr>
            <w:r>
              <w:t xml:space="preserve">0.636976</w:t>
            </w:r>
          </w:p>
        </w:tc>
        <w:tc>
          <w:tcPr/>
          <w:p>
            <w:pPr>
              <w:pStyle w:val="Compact"/>
              <w:jc w:val="right"/>
            </w:pPr>
            <w:r>
              <w:t xml:space="preserve">0.871343</w:t>
            </w:r>
          </w:p>
        </w:tc>
        <w:tc>
          <w:tcPr/>
          <w:p>
            <w:pPr>
              <w:pStyle w:val="Compact"/>
              <w:jc w:val="right"/>
            </w:pPr>
            <w:r>
              <w:t xml:space="preserve">0.982697</w:t>
            </w:r>
          </w:p>
        </w:tc>
      </w:tr>
      <w:tr>
        <w:tc>
          <w:tcPr/>
          <w:p>
            <w:pPr>
              <w:pStyle w:val="Compact"/>
            </w:pPr>
            <w:r>
              <w:t xml:space="preserve">$250→$1,000</w:t>
            </w:r>
          </w:p>
        </w:tc>
        <w:tc>
          <w:tcPr/>
          <w:p>
            <w:pPr>
              <w:pStyle w:val="Compact"/>
              <w:jc w:val="right"/>
            </w:pPr>
            <w:r>
              <w:t xml:space="preserve">0.25</w:t>
            </w:r>
          </w:p>
        </w:tc>
        <w:tc>
          <w:tcPr/>
          <w:p>
            <w:pPr>
              <w:pStyle w:val="Compact"/>
              <w:jc w:val="right"/>
            </w:pPr>
            <w:r>
              <w:t xml:space="preserve">0.643958</w:t>
            </w:r>
          </w:p>
        </w:tc>
        <w:tc>
          <w:tcPr/>
          <w:p>
            <w:pPr>
              <w:pStyle w:val="Compact"/>
              <w:jc w:val="right"/>
            </w:pPr>
            <w:r>
              <w:t xml:space="preserve">0.865098</w:t>
            </w:r>
          </w:p>
        </w:tc>
        <w:tc>
          <w:tcPr/>
          <w:p>
            <w:pPr>
              <w:pStyle w:val="Compact"/>
              <w:jc w:val="right"/>
            </w:pPr>
            <w:r>
              <w:t xml:space="preserve">0.993374</w:t>
            </w:r>
          </w:p>
        </w:tc>
        <w:tc>
          <w:tcPr/>
          <w:p>
            <w:pPr>
              <w:pStyle w:val="Compact"/>
              <w:jc w:val="right"/>
            </w:pPr>
            <w:r>
              <w:t xml:space="preserve">0.99996</w:t>
            </w:r>
          </w:p>
        </w:tc>
      </w:tr>
      <w:tr>
        <w:tc>
          <w:tcPr/>
          <w:p>
            <w:pPr>
              <w:pStyle w:val="Compact"/>
            </w:pPr>
            <w:r>
              <w:t xml:space="preserve">$1,000→$10,000</w:t>
            </w:r>
          </w:p>
        </w:tc>
        <w:tc>
          <w:tcPr/>
          <w:p>
            <w:pPr>
              <w:pStyle w:val="Compact"/>
              <w:jc w:val="right"/>
            </w:pPr>
            <w:r>
              <w:t xml:space="preserve">0.1</w:t>
            </w:r>
          </w:p>
        </w:tc>
        <w:tc>
          <w:tcPr/>
          <w:p>
            <w:pPr>
              <w:pStyle w:val="Compact"/>
              <w:jc w:val="right"/>
            </w:pPr>
            <w:r>
              <w:t xml:space="preserve">0.981694</w:t>
            </w:r>
          </w:p>
        </w:tc>
        <w:tc>
          <w:tcPr/>
          <w:p>
            <w:pPr>
              <w:pStyle w:val="Compact"/>
              <w:jc w:val="right"/>
            </w:pPr>
            <w:r>
              <w:t xml:space="preserve">0.999666</w:t>
            </w:r>
          </w:p>
        </w:tc>
        <w:tc>
          <w:tcPr/>
          <w:p>
            <w:pPr>
              <w:pStyle w:val="Compact"/>
              <w:jc w:val="right"/>
            </w:pPr>
            <w:r>
              <w:t xml:space="preserve">~1.0</w:t>
            </w:r>
          </w:p>
        </w:tc>
        <w:tc>
          <w:tcPr/>
          <w:p>
            <w:pPr>
              <w:pStyle w:val="Compact"/>
              <w:jc w:val="right"/>
            </w:pPr>
            <w:r>
              <w:t xml:space="preserve">~1.0</w:t>
            </w:r>
          </w:p>
        </w:tc>
      </w:tr>
    </w:tbl>
    <w:p>
      <w:pPr>
        <w:pStyle w:val="BodyText"/>
      </w:pPr>
      <w:r>
        <w:t xml:space="preserve">Verification example:</w:t>
      </w:r>
    </w:p>
    <w:p>
      <w:pPr>
        <w:pStyle w:val="BodyText"/>
      </w:pPr>
      <w:r>
        <w:t xml:space="preserve">For</w:t>
      </w:r>
      <w:r>
        <w:t xml:space="preserve"> </w:t>
      </w:r>
      <m:oMath>
        <m:r>
          <m:t>p</m:t>
        </m:r>
        <m:r>
          <m:rPr>
            <m:sty m:val="p"/>
          </m:rPr>
          <m:t>=</m:t>
        </m:r>
        <m:r>
          <m:t>0.55</m:t>
        </m:r>
      </m:oMath>
      <w:r>
        <w:t xml:space="preserve">, multiplying these rung-to-rung probabilities gives</w:t>
      </w:r>
      <w:r>
        <w:t xml:space="preserve"> </w:t>
      </w:r>
      <m:oMath>
        <m:r>
          <m:rPr>
            <m:sty m:val="p"/>
          </m:rPr>
          <m:t>≈</m:t>
        </m:r>
        <m:r>
          <m:t>0.181818</m:t>
        </m:r>
      </m:oMath>
      <w:r>
        <w:t xml:space="preserve">, matching the direct $10→$10,000 probability from the first table (up to rounding), as expected by the Markov property and the fact that rungs are unavoidable.</w:t>
      </w:r>
      <w:r>
        <w:t xml:space="preserve"> </w:t>
      </w:r>
      <w:hyperlink r:id="rId21">
        <w:r>
          <w:rPr>
            <w:rStyle w:val="Hyperlink"/>
          </w:rPr>
          <w:t xml:space="preserve">[2]</w:t>
        </w:r>
      </w:hyperlink>
    </w:p>
    <w:bookmarkEnd w:id="38"/>
    <w:bookmarkStart w:id="39" w:name="chart-probability-vs-target-log-x-axis"/>
    <w:p>
      <w:pPr>
        <w:pStyle w:val="Heading3"/>
      </w:pPr>
      <w:r>
        <w:t xml:space="preserve">Chart: probability vs target (log x-axis)</w:t>
      </w:r>
    </w:p>
    <w:p>
      <w:pPr>
        <w:pStyle w:val="FirstParagraph"/>
      </w:pPr>
      <w:r>
        <w:t xml:space="preserve">Hitting probability vs target</w:t>
      </w:r>
      <w:r>
        <w:br/>
      </w:r>
    </w:p>
    <w:p>
      <w:pPr>
        <w:pStyle w:val="BodyText"/>
      </w:pPr>
      <w:r>
        <w:t xml:space="preserve">This chart illustrates that, with</w:t>
      </w:r>
      <w:r>
        <w:t xml:space="preserve"> </w:t>
      </w:r>
      <m:oMath>
        <m:r>
          <m:t>i</m:t>
        </m:r>
        <m:r>
          <m:rPr>
            <m:sty m:val="p"/>
          </m:rPr>
          <m:t>=</m:t>
        </m:r>
        <m:r>
          <m:t>1</m:t>
        </m:r>
      </m:oMath>
      <w:r>
        <w:t xml:space="preserve">, improvements in</w:t>
      </w:r>
      <w:r>
        <w:t xml:space="preserve"> </w:t>
      </w:r>
      <m:oMath>
        <m:r>
          <m:t>p</m:t>
        </m:r>
      </m:oMath>
      <w:r>
        <w:t xml:space="preserve"> </w:t>
      </w:r>
      <w:r>
        <w:t xml:space="preserve">help, but the curve flattens toward</w:t>
      </w:r>
      <w:r>
        <w:t xml:space="preserve"> </w:t>
      </w:r>
      <m:oMath>
        <m:r>
          <m:t>1</m:t>
        </m:r>
        <m:r>
          <m:rPr>
            <m:sty m:val="p"/>
          </m:rPr>
          <m:t>−</m:t>
        </m:r>
        <m:r>
          <m:t>q</m:t>
        </m:r>
        <m:r>
          <m:rPr>
            <m:sty m:val="p"/>
          </m:rPr>
          <m:t>/</m:t>
        </m:r>
        <m:r>
          <m:t>p</m:t>
        </m:r>
      </m:oMath>
      <w:r>
        <w:t xml:space="preserve"> </w:t>
      </w:r>
      <w:r>
        <w:t xml:space="preserve">for large targets when</w:t>
      </w:r>
      <w:r>
        <w:t xml:space="preserve"> </w:t>
      </w:r>
      <m:oMath>
        <m:r>
          <m:t>p</m:t>
        </m:r>
        <m:r>
          <m:rPr>
            <m:sty m:val="p"/>
          </m:rPr>
          <m:t>&gt;</m:t>
        </m:r>
        <m:r>
          <m:t>0.5</m:t>
        </m:r>
      </m:oMath>
      <w:r>
        <w:t xml:space="preserve">.</w:t>
      </w:r>
      <w:r>
        <w:t xml:space="preserve"> </w:t>
      </w:r>
      <w:hyperlink r:id="rId21">
        <w:r>
          <w:rPr>
            <w:rStyle w:val="Hyperlink"/>
          </w:rPr>
          <w:t xml:space="preserve">[2]</w:t>
        </w:r>
      </w:hyperlink>
    </w:p>
    <w:bookmarkEnd w:id="39"/>
    <w:bookmarkEnd w:id="40"/>
    <w:bookmarkStart w:id="45" w:name="X1060f340f4f4cf3e900f62d4551012e01bbb002"/>
    <w:p>
      <w:pPr>
        <w:pStyle w:val="Heading2"/>
      </w:pPr>
      <w:r>
        <w:t xml:space="preserve">Payout-goal decision rules and withdrawal ladder examples</w:t>
      </w:r>
    </w:p>
    <w:bookmarkStart w:id="41" w:name="X8cc79afa7f04ab54b7f70d47d8f7bbb8339b7f9"/>
    <w:p>
      <w:pPr>
        <w:pStyle w:val="Heading3"/>
      </w:pPr>
      <w:r>
        <w:t xml:space="preserve">A rigorous rule template: withdraw</w:t>
      </w:r>
      <w:r>
        <w:t xml:space="preserve"> </w:t>
      </w:r>
      <m:oMath>
        <m:r>
          <m:t>W</m:t>
        </m:r>
      </m:oMath>
      <w:r>
        <w:t xml:space="preserve">, then attempt next goal</w:t>
      </w:r>
      <w:r>
        <w:t xml:space="preserve"> </w:t>
      </w:r>
      <m:oMath>
        <m:r>
          <m:t>G</m:t>
        </m:r>
      </m:oMath>
    </w:p>
    <w:p>
      <w:pPr>
        <w:pStyle w:val="FirstParagraph"/>
      </w:pPr>
      <w:r>
        <w:t xml:space="preserve">At a milestone bankroll</w:t>
      </w:r>
      <w:r>
        <w:t xml:space="preserve"> </w:t>
      </w:r>
      <m:oMath>
        <m:r>
          <m:t>S</m:t>
        </m:r>
      </m:oMath>
      <w:r>
        <w:t xml:space="preserve"> </w:t>
      </w:r>
      <w:r>
        <w:t xml:space="preserve">(in dollars), choose:</w:t>
      </w:r>
    </w:p>
    <w:p>
      <w:pPr>
        <w:pStyle w:val="BodyText"/>
      </w:pPr>
      <w:r>
        <w:t xml:space="preserve">An immediate withdrawal</w:t>
      </w:r>
      <w:r>
        <w:t xml:space="preserve"> </w:t>
      </w:r>
      <m:oMath>
        <m:r>
          <m:t>W</m:t>
        </m:r>
      </m:oMath>
      <w:r>
        <w:t xml:space="preserve"> </w:t>
      </w:r>
      <w:r>
        <w:t xml:space="preserve">(cash locked away, not at risk).</w:t>
      </w:r>
    </w:p>
    <w:p>
      <w:pPr>
        <w:pStyle w:val="BodyText"/>
      </w:pPr>
      <w:r>
        <w:t xml:space="preserve">A new “total wealth” goal</w:t>
      </w:r>
      <w:r>
        <w:t xml:space="preserve"> </w:t>
      </w:r>
      <m:oMath>
        <m:r>
          <m:t>G</m:t>
        </m:r>
        <m:r>
          <m:rPr>
            <m:sty m:val="p"/>
          </m:rPr>
          <m:t>&gt;</m:t>
        </m:r>
        <m:r>
          <m:t>S</m:t>
        </m:r>
      </m:oMath>
      <w:r>
        <w:t xml:space="preserve">.</w:t>
      </w:r>
    </w:p>
    <w:p>
      <w:pPr>
        <w:pStyle w:val="BodyText"/>
      </w:pPr>
      <w:r>
        <w:t xml:space="preserve">Then the at-risk trading wallet is</w:t>
      </w:r>
      <w:r>
        <w:t xml:space="preserve"> </w:t>
      </w:r>
      <m:oMath>
        <m:r>
          <m:t>S</m:t>
        </m:r>
        <m:r>
          <m:rPr>
            <m:sty m:val="p"/>
          </m:rPr>
          <m:t>−</m:t>
        </m:r>
        <m:r>
          <m:t>W</m:t>
        </m:r>
      </m:oMath>
      <w:r>
        <w:t xml:space="preserve">, and the wallet target is</w:t>
      </w:r>
      <w:r>
        <w:t xml:space="preserve"> </w:t>
      </w:r>
      <m:oMath>
        <m:r>
          <m:t>G</m:t>
        </m:r>
        <m:r>
          <m:rPr>
            <m:sty m:val="p"/>
          </m:rPr>
          <m:t>−</m:t>
        </m:r>
        <m:r>
          <m:t>W</m:t>
        </m:r>
      </m:oMath>
      <w:r>
        <w:t xml:space="preserve">. In units:</w:t>
      </w:r>
    </w:p>
    <w:p>
      <w:pPr>
        <w:pStyle w:val="BodyText"/>
      </w:pPr>
      <m:oMathPara>
        <m:oMathParaPr>
          <m:jc m:val="center"/>
        </m:oMathParaPr>
        <m:oMath>
          <m:r>
            <m:t>i</m:t>
          </m:r>
          <m:r>
            <m:rPr>
              <m:sty m:val="p"/>
            </m:rPr>
            <m:t>=</m:t>
          </m:r>
          <m:f>
            <m:fPr>
              <m:type m:val="bar"/>
            </m:fPr>
            <m:num>
              <m:r>
                <m:t>S</m:t>
              </m:r>
              <m:r>
                <m:rPr>
                  <m:sty m:val="p"/>
                </m:rPr>
                <m:t>−</m:t>
              </m:r>
              <m:r>
                <m:t>W</m:t>
              </m:r>
            </m:num>
            <m:den>
              <m:r>
                <m:t>10</m:t>
              </m:r>
            </m:den>
          </m:f>
          <m:r>
            <m:rPr>
              <m:sty m:val="p"/>
            </m:rPr>
            <m:t>,</m:t>
          </m:r>
          <m:r>
            <m:t> </m:t>
          </m:r>
          <m:r>
            <m:t>N</m:t>
          </m:r>
          <m:r>
            <m:rPr>
              <m:sty m:val="p"/>
            </m:rPr>
            <m:t>=</m:t>
          </m:r>
          <m:f>
            <m:fPr>
              <m:type m:val="bar"/>
            </m:fPr>
            <m:num>
              <m:r>
                <m:t>G</m:t>
              </m:r>
              <m:r>
                <m:rPr>
                  <m:sty m:val="p"/>
                </m:rPr>
                <m:t>−</m:t>
              </m:r>
              <m:r>
                <m:t>W</m:t>
              </m:r>
            </m:num>
            <m:den>
              <m:r>
                <m:t>10</m:t>
              </m:r>
            </m:den>
          </m:f>
          <m:r>
            <m:rPr>
              <m:sty m:val="p"/>
            </m:rPr>
            <m:t>.</m:t>
          </m:r>
        </m:oMath>
      </m:oMathPara>
    </w:p>
    <w:p>
      <w:pPr>
        <w:pStyle w:val="FirstParagraph"/>
      </w:pPr>
      <w:r>
        <w:t xml:space="preserve">The probability of reaching total wealth</w:t>
      </w:r>
      <w:r>
        <w:t xml:space="preserve"> </w:t>
      </w:r>
      <m:oMath>
        <m:r>
          <m:t>G</m:t>
        </m:r>
      </m:oMath>
      <w:r>
        <w:t xml:space="preserve"> </w:t>
      </w:r>
      <w:r>
        <w:t xml:space="preserve">before the at-risk wallet hits $0 is:</w:t>
      </w:r>
    </w:p>
    <w:p>
      <w:pPr>
        <w:pStyle w:val="BodyText"/>
      </w:pPr>
      <m:oMathPara>
        <m:oMathParaPr>
          <m:jc m:val="center"/>
        </m:oMathParaPr>
        <m:oMath>
          <m:r>
            <m:rPr>
              <m:sty m:val="p"/>
              <m:scr m:val="double-struck"/>
            </m:rPr>
            <m:t>P</m:t>
          </m:r>
          <m:d>
            <m:dPr>
              <m:begChr m:val="("/>
              <m:sepChr m:val=""/>
              <m:endChr m:val=")"/>
              <m:grow/>
            </m:dPr>
            <m:e>
              <m:r>
                <m:rPr>
                  <m:nor/>
                  <m:sty m:val="p"/>
                </m:rPr>
                <m:t>reach </m:t>
              </m:r>
              <m:r>
                <m:t>G</m:t>
              </m:r>
              <m:r>
                <m:rPr>
                  <m:nor/>
                  <m:sty m:val="p"/>
                </m:rPr>
                <m:t> before ruin</m:t>
              </m:r>
              <m:r>
                <m:rPr>
                  <m:sty m:val="p"/>
                </m:rPr>
                <m:t>∣</m:t>
              </m:r>
              <m:r>
                <m:t>S</m:t>
              </m:r>
              <m:r>
                <m:rPr>
                  <m:sty m:val="p"/>
                </m:rPr>
                <m:t>,</m:t>
              </m:r>
              <m:r>
                <m:t>W</m:t>
              </m:r>
              <m:r>
                <m:rPr>
                  <m:sty m:val="p"/>
                </m:rPr>
                <m:t>,</m:t>
              </m:r>
              <m:r>
                <m:t>G</m:t>
              </m:r>
              <m:r>
                <m:rPr>
                  <m:sty m:val="p"/>
                </m:rPr>
                <m:t>,</m:t>
              </m:r>
              <m:r>
                <m:t>p</m:t>
              </m:r>
            </m:e>
          </m:d>
          <m:r>
            <m:rPr>
              <m:sty m:val="p"/>
            </m:rPr>
            <m:t>=</m:t>
          </m:r>
          <m:sSub>
            <m:e>
              <m:r>
                <m:t>P</m:t>
              </m:r>
            </m:e>
            <m:sub>
              <m:r>
                <m:t>i</m:t>
              </m:r>
            </m:sub>
          </m:sSub>
          <m:d>
            <m:dPr>
              <m:begChr m:val="("/>
              <m:sepChr m:val=""/>
              <m:endChr m:val=")"/>
              <m:grow/>
            </m:dPr>
            <m:e>
              <m:r>
                <m:t>N</m:t>
              </m:r>
            </m:e>
          </m:d>
          <m:r>
            <m:rPr>
              <m:sty m:val="p"/>
            </m:rPr>
            <m:t>.</m:t>
          </m:r>
        </m:oMath>
      </m:oMathPara>
    </w:p>
    <w:p>
      <w:pPr>
        <w:pStyle w:val="FirstParagraph"/>
      </w:pPr>
      <w:hyperlink r:id="rId21">
        <w:r>
          <w:rPr>
            <w:rStyle w:val="Hyperlink"/>
          </w:rPr>
          <w:t xml:space="preserve">[2]</w:t>
        </w:r>
      </w:hyperlink>
    </w:p>
    <w:p>
      <w:pPr>
        <w:pStyle w:val="BodyText"/>
      </w:pPr>
      <w:r>
        <w:t xml:space="preserve">This yields an explicit “cash-out vs continue” probability tradeoff curve at each milestone.</w:t>
      </w:r>
    </w:p>
    <w:bookmarkEnd w:id="41"/>
    <w:bookmarkStart w:id="42" w:name="numeric-example-at-100-aim-for-200-total"/>
    <w:p>
      <w:pPr>
        <w:pStyle w:val="Heading3"/>
      </w:pPr>
      <w:r>
        <w:t xml:space="preserve">Numeric example: at $100, aim for $200 total</w:t>
      </w:r>
    </w:p>
    <w:p>
      <w:pPr>
        <w:pStyle w:val="FirstParagraph"/>
      </w:pPr>
      <w:r>
        <w:t xml:space="preserve">Assume you have reached</w:t>
      </w:r>
      <w:r>
        <w:t xml:space="preserve"> </w:t>
      </w:r>
      <m:oMath>
        <m:r>
          <m:t>S</m:t>
        </m:r>
        <m:r>
          <m:rPr>
            <m:sty m:val="p"/>
          </m:rPr>
          <m:t>=</m:t>
        </m:r>
        <m:r>
          <m:rPr>
            <m:sty m:val="p"/>
          </m:rPr>
          <m:t>$</m:t>
        </m:r>
        <m:r>
          <m:t>100</m:t>
        </m:r>
      </m:oMath>
      <w:r>
        <w:t xml:space="preserve"> </w:t>
      </w:r>
      <w:r>
        <w:t xml:space="preserve">and consider</w:t>
      </w:r>
      <w:r>
        <w:t xml:space="preserve"> </w:t>
      </w:r>
      <m:oMath>
        <m:r>
          <m:t>G</m:t>
        </m:r>
        <m:r>
          <m:rPr>
            <m:sty m:val="p"/>
          </m:rPr>
          <m:t>=</m:t>
        </m:r>
        <m:r>
          <m:rPr>
            <m:sty m:val="p"/>
          </m:rPr>
          <m:t>$</m:t>
        </m:r>
        <m:r>
          <m:t>200</m:t>
        </m:r>
      </m:oMath>
      <w:r>
        <w:t xml:space="preserve">. The table shows how the success probability declines as you lock in more cash (higher floor, lower risk capital). Computed via</w:t>
      </w:r>
      <w:r>
        <w:t xml:space="preserve"> </w:t>
      </w:r>
      <m:oMath>
        <m:sSub>
          <m:e>
            <m:r>
              <m:t>P</m:t>
            </m:r>
          </m:e>
          <m:sub>
            <m:r>
              <m:t>i</m:t>
            </m:r>
          </m:sub>
        </m:sSub>
        <m:d>
          <m:dPr>
            <m:begChr m:val="("/>
            <m:sepChr m:val=""/>
            <m:endChr m:val=")"/>
            <m:grow/>
          </m:dPr>
          <m:e>
            <m:r>
              <m:t>N</m:t>
            </m:r>
          </m:e>
        </m:d>
      </m:oMath>
      <w:r>
        <w:t xml:space="preserve">.</w:t>
      </w:r>
      <w:r>
        <w:t xml:space="preserve"> </w:t>
      </w:r>
      <w:hyperlink r:id="rId21">
        <w:r>
          <w:rPr>
            <w:rStyle w:val="Hyperlink"/>
          </w:rPr>
          <w:t xml:space="preserve">[2]</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Withdraw now</w:t>
            </w:r>
          </w:p>
        </w:tc>
        <w:tc>
          <w:tcPr/>
          <w:p>
            <w:pPr>
              <w:pStyle w:val="Compact"/>
              <w:jc w:val="right"/>
            </w:pPr>
            <w:r>
              <w:t xml:space="preserve">Locked-in floor</w:t>
            </w:r>
          </w:p>
        </w:tc>
        <w:tc>
          <w:tcPr/>
          <w:p>
            <w:pPr>
              <w:pStyle w:val="Compact"/>
              <w:jc w:val="right"/>
            </w:pPr>
            <w:r>
              <w:t xml:space="preserve">Risk capital left</w:t>
            </w:r>
          </w:p>
        </w:tc>
        <w:tc>
          <w:tcPr/>
          <w:p>
            <w:pPr>
              <w:pStyle w:val="Compact"/>
              <w:jc w:val="right"/>
            </w:pPr>
            <w:r>
              <w:t xml:space="preserve">Trading wallet goal</w:t>
            </w:r>
          </w:p>
        </w:tc>
        <w:tc>
          <w:tcPr/>
          <w:p>
            <w:pPr>
              <w:pStyle w:val="Compact"/>
              <w:jc w:val="right"/>
            </w:pPr>
            <w:r>
              <w:t xml:space="preserve">p=0.50</w:t>
            </w:r>
          </w:p>
        </w:tc>
        <w:tc>
          <w:tcPr/>
          <w:p>
            <w:pPr>
              <w:pStyle w:val="Compact"/>
              <w:jc w:val="right"/>
            </w:pPr>
            <w:r>
              <w:t xml:space="preserve">p=0.51</w:t>
            </w:r>
          </w:p>
        </w:tc>
        <w:tc>
          <w:tcPr/>
          <w:p>
            <w:pPr>
              <w:pStyle w:val="Compact"/>
              <w:jc w:val="right"/>
            </w:pPr>
            <w:r>
              <w:t xml:space="preserve">p=0.52</w:t>
            </w:r>
          </w:p>
        </w:tc>
        <w:tc>
          <w:tcPr/>
          <w:p>
            <w:pPr>
              <w:pStyle w:val="Compact"/>
              <w:jc w:val="right"/>
            </w:pPr>
            <w:r>
              <w:t xml:space="preserve">p=0.55</w:t>
            </w:r>
          </w:p>
        </w:tc>
        <w:tc>
          <w:tcPr/>
          <w:p>
            <w:pPr>
              <w:pStyle w:val="Compact"/>
              <w:jc w:val="right"/>
            </w:pPr>
            <w:r>
              <w:t xml:space="preserve">p=0.60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$200</w:t>
            </w:r>
          </w:p>
        </w:tc>
        <w:tc>
          <w:tcPr/>
          <w:p>
            <w:pPr>
              <w:pStyle w:val="Compact"/>
              <w:jc w:val="right"/>
            </w:pPr>
            <w:r>
              <w:t xml:space="preserve">0.5000</w:t>
            </w:r>
          </w:p>
        </w:tc>
        <w:tc>
          <w:tcPr/>
          <w:p>
            <w:pPr>
              <w:pStyle w:val="Compact"/>
              <w:jc w:val="right"/>
            </w:pPr>
            <w:r>
              <w:t xml:space="preserve">0.8811</w:t>
            </w:r>
          </w:p>
        </w:tc>
        <w:tc>
          <w:tcPr/>
          <w:p>
            <w:pPr>
              <w:pStyle w:val="Compact"/>
              <w:jc w:val="right"/>
            </w:pPr>
            <w:r>
              <w:t xml:space="preserve">0.9661</w:t>
            </w:r>
          </w:p>
        </w:tc>
        <w:tc>
          <w:tcPr/>
          <w:p>
            <w:pPr>
              <w:pStyle w:val="Compact"/>
              <w:jc w:val="right"/>
            </w:pPr>
            <w:r>
              <w:t xml:space="preserve">0.9824</w:t>
            </w:r>
          </w:p>
        </w:tc>
        <w:tc>
          <w:tcPr/>
          <w:p>
            <w:pPr>
              <w:pStyle w:val="Compact"/>
              <w:jc w:val="right"/>
            </w:pPr>
            <w:r>
              <w:t xml:space="preserve">0.9830</w:t>
            </w:r>
          </w:p>
        </w:tc>
      </w:tr>
      <w:tr>
        <w:tc>
          <w:tcPr/>
          <w:p>
            <w:pPr>
              <w:pStyle w:val="Compact"/>
              <w:jc w:val="right"/>
            </w:pPr>
            <w:r>
              <w:t xml:space="preserve">$20</w:t>
            </w:r>
          </w:p>
        </w:tc>
        <w:tc>
          <w:tcPr/>
          <w:p>
            <w:pPr>
              <w:pStyle w:val="Compact"/>
              <w:jc w:val="right"/>
            </w:pPr>
            <w:r>
              <w:t xml:space="preserve">$20</w:t>
            </w:r>
          </w:p>
        </w:tc>
        <w:tc>
          <w:tcPr/>
          <w:p>
            <w:pPr>
              <w:pStyle w:val="Compact"/>
              <w:jc w:val="right"/>
            </w:pPr>
            <w:r>
              <w:t xml:space="preserve">$80</w:t>
            </w:r>
          </w:p>
        </w:tc>
        <w:tc>
          <w:tcPr/>
          <w:p>
            <w:pPr>
              <w:pStyle w:val="Compact"/>
              <w:jc w:val="right"/>
            </w:pPr>
            <w:r>
              <w:t xml:space="preserve">$180</w:t>
            </w:r>
          </w:p>
        </w:tc>
        <w:tc>
          <w:tcPr/>
          <w:p>
            <w:pPr>
              <w:pStyle w:val="Compact"/>
              <w:jc w:val="right"/>
            </w:pPr>
            <w:r>
              <w:t xml:space="preserve">0.4444</w:t>
            </w:r>
          </w:p>
        </w:tc>
        <w:tc>
          <w:tcPr/>
          <w:p>
            <w:pPr>
              <w:pStyle w:val="Compact"/>
              <w:jc w:val="right"/>
            </w:pPr>
            <w:r>
              <w:t xml:space="preserve">0.8535</w:t>
            </w:r>
          </w:p>
        </w:tc>
        <w:tc>
          <w:tcPr/>
          <w:p>
            <w:pPr>
              <w:pStyle w:val="Compact"/>
              <w:jc w:val="right"/>
            </w:pPr>
            <w:r>
              <w:t xml:space="preserve">0.9563</w:t>
            </w:r>
          </w:p>
        </w:tc>
        <w:tc>
          <w:tcPr/>
          <w:p>
            <w:pPr>
              <w:pStyle w:val="Compact"/>
              <w:jc w:val="right"/>
            </w:pPr>
            <w:r>
              <w:t xml:space="preserve">0.9779</w:t>
            </w:r>
          </w:p>
        </w:tc>
        <w:tc>
          <w:tcPr/>
          <w:p>
            <w:pPr>
              <w:pStyle w:val="Compact"/>
              <w:jc w:val="right"/>
            </w:pPr>
            <w:r>
              <w:t xml:space="preserve">0.9616</w:t>
            </w:r>
          </w:p>
        </w:tc>
      </w:tr>
      <w:tr>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$150</w:t>
            </w:r>
          </w:p>
        </w:tc>
        <w:tc>
          <w:tcPr/>
          <w:p>
            <w:pPr>
              <w:pStyle w:val="Compact"/>
              <w:jc w:val="right"/>
            </w:pPr>
            <w:r>
              <w:t xml:space="preserve">0.3333</w:t>
            </w:r>
          </w:p>
        </w:tc>
        <w:tc>
          <w:tcPr/>
          <w:p>
            <w:pPr>
              <w:pStyle w:val="Compact"/>
              <w:jc w:val="right"/>
            </w:pPr>
            <w:r>
              <w:t xml:space="preserve">0.7586</w:t>
            </w:r>
          </w:p>
        </w:tc>
        <w:tc>
          <w:tcPr/>
          <w:p>
            <w:pPr>
              <w:pStyle w:val="Compact"/>
              <w:jc w:val="right"/>
            </w:pPr>
            <w:r>
              <w:t xml:space="preserve">0.9076</w:t>
            </w:r>
          </w:p>
        </w:tc>
        <w:tc>
          <w:tcPr/>
          <w:p>
            <w:pPr>
              <w:pStyle w:val="Compact"/>
              <w:jc w:val="right"/>
            </w:pPr>
            <w:r>
              <w:t xml:space="preserve">0.9530</w:t>
            </w:r>
          </w:p>
        </w:tc>
        <w:tc>
          <w:tcPr/>
          <w:p>
            <w:pPr>
              <w:pStyle w:val="Compact"/>
              <w:jc w:val="right"/>
            </w:pPr>
            <w:r>
              <w:t xml:space="preserve">0.8703</w:t>
            </w:r>
          </w:p>
        </w:tc>
      </w:tr>
      <w:tr>
        <w:tc>
          <w:tcPr/>
          <w:p>
            <w:pPr>
              <w:pStyle w:val="Compact"/>
              <w:jc w:val="right"/>
            </w:pPr>
            <w:r>
              <w:t xml:space="preserve">$80</w:t>
            </w:r>
          </w:p>
        </w:tc>
        <w:tc>
          <w:tcPr/>
          <w:p>
            <w:pPr>
              <w:pStyle w:val="Compact"/>
              <w:jc w:val="right"/>
            </w:pPr>
            <w:r>
              <w:t xml:space="preserve">$80</w:t>
            </w:r>
          </w:p>
        </w:tc>
        <w:tc>
          <w:tcPr/>
          <w:p>
            <w:pPr>
              <w:pStyle w:val="Compact"/>
              <w:jc w:val="right"/>
            </w:pPr>
            <w:r>
              <w:t xml:space="preserve">$20</w:t>
            </w:r>
          </w:p>
        </w:tc>
        <w:tc>
          <w:tcPr/>
          <w:p>
            <w:pPr>
              <w:pStyle w:val="Compact"/>
              <w:jc w:val="right"/>
            </w:pPr>
            <w:r>
              <w:t xml:space="preserve">$120</w:t>
            </w:r>
          </w:p>
        </w:tc>
        <w:tc>
          <w:tcPr/>
          <w:p>
            <w:pPr>
              <w:pStyle w:val="Compact"/>
              <w:jc w:val="right"/>
            </w:pPr>
            <w:r>
              <w:t xml:space="preserve">0.1667</w:t>
            </w:r>
          </w:p>
        </w:tc>
        <w:tc>
          <w:tcPr/>
          <w:p>
            <w:pPr>
              <w:pStyle w:val="Compact"/>
              <w:jc w:val="right"/>
            </w:pPr>
            <w:r>
              <w:t xml:space="preserve">0.4850</w:t>
            </w:r>
          </w:p>
        </w:tc>
        <w:tc>
          <w:tcPr/>
          <w:p>
            <w:pPr>
              <w:pStyle w:val="Compact"/>
              <w:jc w:val="right"/>
            </w:pPr>
            <w:r>
              <w:t xml:space="preserve">0.6330</w:t>
            </w:r>
          </w:p>
        </w:tc>
        <w:tc>
          <w:tcPr/>
          <w:p>
            <w:pPr>
              <w:pStyle w:val="Compact"/>
              <w:jc w:val="right"/>
            </w:pPr>
            <w:r>
              <w:t xml:space="preserve">0.7507</w:t>
            </w:r>
          </w:p>
        </w:tc>
        <w:tc>
          <w:tcPr/>
          <w:p>
            <w:pPr>
              <w:pStyle w:val="Compact"/>
              <w:jc w:val="right"/>
            </w:pPr>
            <w:r>
              <w:t xml:space="preserve">0.5599</w:t>
            </w:r>
          </w:p>
        </w:tc>
      </w:tr>
      <w:tr>
        <w:tc>
          <w:tcPr/>
          <w:p>
            <w:pPr>
              <w:pStyle w:val="Compact"/>
              <w:jc w:val="right"/>
            </w:pPr>
            <w:r>
              <w:t xml:space="preserve">$90</w:t>
            </w:r>
          </w:p>
        </w:tc>
        <w:tc>
          <w:tcPr/>
          <w:p>
            <w:pPr>
              <w:pStyle w:val="Compact"/>
              <w:jc w:val="right"/>
            </w:pPr>
            <w:r>
              <w:t xml:space="preserve">$90</w:t>
            </w:r>
          </w:p>
        </w:tc>
        <w:tc>
          <w:tcPr/>
          <w:p>
            <w:pPr>
              <w:pStyle w:val="Compact"/>
              <w:jc w:val="right"/>
            </w:pPr>
            <w:r>
              <w:t xml:space="preserve">$10</w:t>
            </w:r>
          </w:p>
        </w:tc>
        <w:tc>
          <w:tcPr/>
          <w:p>
            <w:pPr>
              <w:pStyle w:val="Compact"/>
              <w:jc w:val="right"/>
            </w:pPr>
            <w:r>
              <w:t xml:space="preserve">$110</w:t>
            </w:r>
          </w:p>
        </w:tc>
        <w:tc>
          <w:tcPr/>
          <w:p>
            <w:pPr>
              <w:pStyle w:val="Compact"/>
              <w:jc w:val="right"/>
            </w:pPr>
            <w:r>
              <w:t xml:space="preserve">0.0909</w:t>
            </w:r>
          </w:p>
        </w:tc>
        <w:tc>
          <w:tcPr/>
          <w:p>
            <w:pPr>
              <w:pStyle w:val="Compact"/>
              <w:jc w:val="right"/>
            </w:pPr>
            <w:r>
              <w:t xml:space="preserve">0.2710</w:t>
            </w:r>
          </w:p>
        </w:tc>
        <w:tc>
          <w:tcPr/>
          <w:p>
            <w:pPr>
              <w:pStyle w:val="Compact"/>
              <w:jc w:val="right"/>
            </w:pPr>
            <w:r>
              <w:t xml:space="preserve">0.3752</w:t>
            </w:r>
          </w:p>
        </w:tc>
        <w:tc>
          <w:tcPr/>
          <w:p>
            <w:pPr>
              <w:pStyle w:val="Compact"/>
              <w:jc w:val="right"/>
            </w:pPr>
            <w:r>
              <w:t xml:space="preserve">0.4515</w:t>
            </w:r>
          </w:p>
        </w:tc>
        <w:tc>
          <w:tcPr/>
          <w:p>
            <w:pPr>
              <w:pStyle w:val="Compact"/>
              <w:jc w:val="right"/>
            </w:pPr>
            <w:r>
              <w:t xml:space="preserve">0.3372</w:t>
            </w:r>
          </w:p>
        </w:tc>
      </w:tr>
    </w:tbl>
    <w:p>
      <w:pPr>
        <w:pStyle w:val="BodyText"/>
      </w:pPr>
      <w:r>
        <w:t xml:space="preserve">Notes:</w:t>
      </w:r>
    </w:p>
    <w:p>
      <w:pPr>
        <w:pStyle w:val="BodyText"/>
      </w:pPr>
      <w:r>
        <w:t xml:space="preserve">The</w:t>
      </w:r>
      <w:r>
        <w:t xml:space="preserve"> </w:t>
      </w:r>
      <m:oMath>
        <m:r>
          <m:t>p</m:t>
        </m:r>
        <m:r>
          <m:rPr>
            <m:sty m:val="p"/>
          </m:rPr>
          <m:t>=</m:t>
        </m:r>
        <m:r>
          <m:t>0.50</m:t>
        </m:r>
      </m:oMath>
      <w:r>
        <w:t xml:space="preserve"> </w:t>
      </w:r>
      <w:r>
        <w:t xml:space="preserve">column is simple: from wallet</w:t>
      </w:r>
      <w:r>
        <w:t xml:space="preserve"> </w:t>
      </w:r>
      <m:oMath>
        <m:r>
          <m:t>i</m:t>
        </m:r>
      </m:oMath>
      <w:r>
        <w:t xml:space="preserve"> </w:t>
      </w:r>
      <w:r>
        <w:t xml:space="preserve">to</w:t>
      </w:r>
      <w:r>
        <w:t xml:space="preserve"> </w:t>
      </w:r>
      <m:oMath>
        <m:r>
          <m:t>N</m:t>
        </m:r>
      </m:oMath>
      <w:r>
        <w:t xml:space="preserve">, success probability is</w:t>
      </w:r>
      <w:r>
        <w:t xml:space="preserve"> </w:t>
      </w:r>
      <m:oMath>
        <m:r>
          <m:t>i</m:t>
        </m:r>
        <m:r>
          <m:rPr>
            <m:sty m:val="p"/>
          </m:rPr>
          <m:t>/</m:t>
        </m:r>
        <m:r>
          <m:t>N</m:t>
        </m:r>
      </m:oMath>
      <w:r>
        <w:t xml:space="preserve">.</w:t>
      </w:r>
      <w:r>
        <w:t xml:space="preserve"> </w:t>
      </w:r>
      <w:hyperlink r:id="rId31">
        <w:r>
          <w:rPr>
            <w:rStyle w:val="Hyperlink"/>
          </w:rPr>
          <w:t xml:space="preserve">[11]</w:t>
        </w:r>
      </w:hyperlink>
    </w:p>
    <w:p>
      <w:pPr>
        <w:pStyle w:val="BodyText"/>
      </w:pPr>
      <w:r>
        <w:t xml:space="preserve">The table shows why “laddering” is a design choice, not a free lunch: you buy a higher guaranteed floor at the price of lower probability of achieving the next rung.</w:t>
      </w:r>
    </w:p>
    <w:bookmarkEnd w:id="42"/>
    <w:bookmarkStart w:id="43" w:name="X6781e4a383053640a83ae51c1d60d4afba0f583"/>
    <w:p>
      <w:pPr>
        <w:pStyle w:val="Heading3"/>
      </w:pPr>
      <w:r>
        <w:t xml:space="preserve">Numeric example: at $250, aim for $1,000 total</w:t>
      </w:r>
    </w:p>
    <w:p>
      <w:pPr>
        <w:pStyle w:val="FirstParagraph"/>
      </w:pPr>
      <w:r>
        <w:t xml:space="preserve">This demonstrates that once the at-risk wallet has many units, rung-to-rung success can become very high if</w:t>
      </w:r>
      <w:r>
        <w:t xml:space="preserve"> </w:t>
      </w:r>
      <m:oMath>
        <m:r>
          <m:t>p</m:t>
        </m:r>
        <m:r>
          <m:rPr>
            <m:sty m:val="p"/>
          </m:rPr>
          <m:t>&gt;</m:t>
        </m:r>
        <m:r>
          <m:t>0.5</m:t>
        </m:r>
      </m:oMath>
      <w:r>
        <w:t xml:space="preserve">, but you can still “pay for safety” by withdrawing.</w:t>
      </w:r>
      <w:r>
        <w:t xml:space="preserve"> </w:t>
      </w:r>
      <w:hyperlink r:id="rId21">
        <w:r>
          <w:rPr>
            <w:rStyle w:val="Hyperlink"/>
          </w:rPr>
          <w:t xml:space="preserve">[2]</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right"/>
            </w:pPr>
            <w:r>
              <w:t xml:space="preserve">Withdraw now</w:t>
            </w:r>
          </w:p>
        </w:tc>
        <w:tc>
          <w:tcPr/>
          <w:p>
            <w:pPr>
              <w:pStyle w:val="Compact"/>
              <w:jc w:val="right"/>
            </w:pPr>
            <w:r>
              <w:t xml:space="preserve">Locked-in floor</w:t>
            </w:r>
          </w:p>
        </w:tc>
        <w:tc>
          <w:tcPr/>
          <w:p>
            <w:pPr>
              <w:pStyle w:val="Compact"/>
              <w:jc w:val="right"/>
            </w:pPr>
            <w:r>
              <w:t xml:space="preserve">Risk capital left</w:t>
            </w:r>
          </w:p>
        </w:tc>
        <w:tc>
          <w:tcPr/>
          <w:p>
            <w:pPr>
              <w:pStyle w:val="Compact"/>
              <w:jc w:val="right"/>
            </w:pPr>
            <w:r>
              <w:t xml:space="preserve">Trading wallet goal</w:t>
            </w:r>
          </w:p>
        </w:tc>
        <w:tc>
          <w:tcPr/>
          <w:p>
            <w:pPr>
              <w:pStyle w:val="Compact"/>
              <w:jc w:val="right"/>
            </w:pPr>
            <w:r>
              <w:t xml:space="preserve">p=0.50</w:t>
            </w:r>
          </w:p>
        </w:tc>
        <w:tc>
          <w:tcPr/>
          <w:p>
            <w:pPr>
              <w:pStyle w:val="Compact"/>
              <w:jc w:val="right"/>
            </w:pPr>
            <w:r>
              <w:t xml:space="preserve">p=0.51</w:t>
            </w:r>
          </w:p>
        </w:tc>
        <w:tc>
          <w:tcPr/>
          <w:p>
            <w:pPr>
              <w:pStyle w:val="Compact"/>
              <w:jc w:val="right"/>
            </w:pPr>
            <w:r>
              <w:t xml:space="preserve">p=0.52</w:t>
            </w:r>
          </w:p>
        </w:tc>
        <w:tc>
          <w:tcPr/>
          <w:p>
            <w:pPr>
              <w:pStyle w:val="Compact"/>
              <w:jc w:val="right"/>
            </w:pPr>
            <w:r>
              <w:t xml:space="preserve">p=0.55</w:t>
            </w:r>
          </w:p>
        </w:tc>
        <w:tc>
          <w:tcPr/>
          <w:p>
            <w:pPr>
              <w:pStyle w:val="Compact"/>
              <w:jc w:val="right"/>
            </w:pPr>
            <w:r>
              <w:t xml:space="preserve">p=0.60</w:t>
            </w:r>
          </w:p>
        </w:tc>
      </w:tr>
      <w:tr>
        <w:tc>
          <w:tcPr/>
          <w:p>
            <w:pPr>
              <w:pStyle w:val="Compact"/>
              <w:jc w:val="right"/>
            </w:pPr>
            <w:r>
              <w:t xml:space="preserve">$0</w:t>
            </w:r>
          </w:p>
        </w:tc>
        <w:tc>
          <w:tcPr/>
          <w:p>
            <w:pPr>
              <w:pStyle w:val="Compact"/>
              <w:jc w:val="right"/>
            </w:pPr>
            <w:r>
              <w:t xml:space="preserve">$0</w:t>
            </w:r>
          </w:p>
        </w:tc>
        <w:tc>
          <w:tcPr/>
          <w:p>
            <w:pPr>
              <w:pStyle w:val="Compact"/>
              <w:jc w:val="right"/>
            </w:pPr>
            <w:r>
              <w:t xml:space="preserve">$250</w:t>
            </w:r>
          </w:p>
        </w:tc>
        <w:tc>
          <w:tcPr/>
          <w:p>
            <w:pPr>
              <w:pStyle w:val="Compact"/>
              <w:jc w:val="right"/>
            </w:pPr>
            <w:r>
              <w:t xml:space="preserve">$1,000</w:t>
            </w:r>
          </w:p>
        </w:tc>
        <w:tc>
          <w:tcPr/>
          <w:p>
            <w:pPr>
              <w:pStyle w:val="Compact"/>
              <w:jc w:val="right"/>
            </w:pPr>
            <w:r>
              <w:t xml:space="preserve">0.2500</w:t>
            </w:r>
          </w:p>
        </w:tc>
        <w:tc>
          <w:tcPr/>
          <w:p>
            <w:pPr>
              <w:pStyle w:val="Compact"/>
              <w:jc w:val="right"/>
            </w:pPr>
            <w:r>
              <w:t xml:space="preserve">0.6440</w:t>
            </w:r>
          </w:p>
        </w:tc>
        <w:tc>
          <w:tcPr/>
          <w:p>
            <w:pPr>
              <w:pStyle w:val="Compact"/>
              <w:jc w:val="right"/>
            </w:pPr>
            <w:r>
              <w:t xml:space="preserve">0.8651</w:t>
            </w:r>
          </w:p>
        </w:tc>
        <w:tc>
          <w:tcPr/>
          <w:p>
            <w:pPr>
              <w:pStyle w:val="Compact"/>
              <w:jc w:val="right"/>
            </w:pPr>
            <w:r>
              <w:t xml:space="preserve">0.9934</w:t>
            </w:r>
          </w:p>
        </w:tc>
        <w:tc>
          <w:tcPr/>
          <w:p>
            <w:pPr>
              <w:pStyle w:val="Compact"/>
              <w:jc w:val="right"/>
            </w:pPr>
            <w:r>
              <w:t xml:space="preserve">1.0000</w:t>
            </w:r>
          </w:p>
        </w:tc>
      </w:tr>
      <w:tr>
        <w:tc>
          <w:tcPr/>
          <w:p>
            <w:pPr>
              <w:pStyle w:val="Compact"/>
              <w:jc w:val="right"/>
            </w:pPr>
            <w:r>
              <w:t xml:space="preserve">$50</w:t>
            </w:r>
          </w:p>
        </w:tc>
        <w:tc>
          <w:tcPr/>
          <w:p>
            <w:pPr>
              <w:pStyle w:val="Compact"/>
              <w:jc w:val="right"/>
            </w:pPr>
            <w:r>
              <w:t xml:space="preserve">$50</w:t>
            </w:r>
          </w:p>
        </w:tc>
        <w:tc>
          <w:tcPr/>
          <w:p>
            <w:pPr>
              <w:pStyle w:val="Compact"/>
              <w:jc w:val="right"/>
            </w:pPr>
            <w:r>
              <w:t xml:space="preserve">$200</w:t>
            </w:r>
          </w:p>
        </w:tc>
        <w:tc>
          <w:tcPr/>
          <w:p>
            <w:pPr>
              <w:pStyle w:val="Compact"/>
              <w:jc w:val="right"/>
            </w:pPr>
            <w:r>
              <w:t xml:space="preserve">$950</w:t>
            </w:r>
          </w:p>
        </w:tc>
        <w:tc>
          <w:tcPr/>
          <w:p>
            <w:pPr>
              <w:pStyle w:val="Compact"/>
              <w:jc w:val="right"/>
            </w:pPr>
            <w:r>
              <w:t xml:space="preserve">0.2105</w:t>
            </w:r>
          </w:p>
        </w:tc>
        <w:tc>
          <w:tcPr/>
          <w:p>
            <w:pPr>
              <w:pStyle w:val="Compact"/>
              <w:jc w:val="right"/>
            </w:pPr>
            <w:r>
              <w:t xml:space="preserve">0.6108</w:t>
            </w:r>
          </w:p>
        </w:tc>
        <w:tc>
          <w:tcPr/>
          <w:p>
            <w:pPr>
              <w:pStyle w:val="Compact"/>
              <w:jc w:val="right"/>
            </w:pPr>
            <w:r>
              <w:t xml:space="preserve">0.8474</w:t>
            </w:r>
          </w:p>
        </w:tc>
        <w:tc>
          <w:tcPr/>
          <w:p>
            <w:pPr>
              <w:pStyle w:val="Compact"/>
              <w:jc w:val="right"/>
            </w:pPr>
            <w:r>
              <w:t xml:space="preserve">0.9924</w:t>
            </w:r>
          </w:p>
        </w:tc>
        <w:tc>
          <w:tcPr/>
          <w:p>
            <w:pPr>
              <w:pStyle w:val="Compact"/>
              <w:jc w:val="right"/>
            </w:pPr>
            <w:r>
              <w:t xml:space="preserve">0.9997</w:t>
            </w:r>
          </w:p>
        </w:tc>
      </w:tr>
      <w:tr>
        <w:tc>
          <w:tcPr/>
          <w:p>
            <w:pPr>
              <w:pStyle w:val="Compact"/>
              <w:jc w:val="right"/>
            </w:pPr>
            <w:r>
              <w:t xml:space="preserve">$100</w:t>
            </w:r>
          </w:p>
        </w:tc>
        <w:tc>
          <w:tcPr/>
          <w:p>
            <w:pPr>
              <w:pStyle w:val="Compact"/>
              <w:jc w:val="right"/>
            </w:pPr>
            <w:r>
              <w:t xml:space="preserve">$100</w:t>
            </w:r>
          </w:p>
        </w:tc>
        <w:tc>
          <w:tcPr/>
          <w:p>
            <w:pPr>
              <w:pStyle w:val="Compact"/>
              <w:jc w:val="right"/>
            </w:pPr>
            <w:r>
              <w:t xml:space="preserve">$150</w:t>
            </w:r>
          </w:p>
        </w:tc>
        <w:tc>
          <w:tcPr/>
          <w:p>
            <w:pPr>
              <w:pStyle w:val="Compact"/>
              <w:jc w:val="right"/>
            </w:pPr>
            <w:r>
              <w:t xml:space="preserve">$900</w:t>
            </w:r>
          </w:p>
        </w:tc>
        <w:tc>
          <w:tcPr/>
          <w:p>
            <w:pPr>
              <w:pStyle w:val="Compact"/>
              <w:jc w:val="right"/>
            </w:pPr>
            <w:r>
              <w:t xml:space="preserve">0.1667</w:t>
            </w:r>
          </w:p>
        </w:tc>
        <w:tc>
          <w:tcPr/>
          <w:p>
            <w:pPr>
              <w:pStyle w:val="Compact"/>
              <w:jc w:val="right"/>
            </w:pPr>
            <w:r>
              <w:t xml:space="preserve">0.5652</w:t>
            </w:r>
          </w:p>
        </w:tc>
        <w:tc>
          <w:tcPr/>
          <w:p>
            <w:pPr>
              <w:pStyle w:val="Compact"/>
              <w:jc w:val="right"/>
            </w:pPr>
            <w:r>
              <w:t xml:space="preserve">0.8220</w:t>
            </w:r>
          </w:p>
        </w:tc>
        <w:tc>
          <w:tcPr/>
          <w:p>
            <w:pPr>
              <w:pStyle w:val="Compact"/>
              <w:jc w:val="right"/>
            </w:pPr>
            <w:r>
              <w:t xml:space="preserve">0.9882</w:t>
            </w:r>
          </w:p>
        </w:tc>
        <w:tc>
          <w:tcPr/>
          <w:p>
            <w:pPr>
              <w:pStyle w:val="Compact"/>
              <w:jc w:val="right"/>
            </w:pPr>
            <w:r>
              <w:t xml:space="preserve">0.9977</w:t>
            </w:r>
          </w:p>
        </w:tc>
      </w:tr>
      <w:tr>
        <w:tc>
          <w:tcPr/>
          <w:p>
            <w:pPr>
              <w:pStyle w:val="Compact"/>
              <w:jc w:val="right"/>
            </w:pPr>
            <w:r>
              <w:t xml:space="preserve">$150</w:t>
            </w:r>
          </w:p>
        </w:tc>
        <w:tc>
          <w:tcPr/>
          <w:p>
            <w:pPr>
              <w:pStyle w:val="Compact"/>
              <w:jc w:val="right"/>
            </w:pPr>
            <w:r>
              <w:t xml:space="preserve">$150</w:t>
            </w:r>
          </w:p>
        </w:tc>
        <w:tc>
          <w:tcPr/>
          <w:p>
            <w:pPr>
              <w:pStyle w:val="Compact"/>
              <w:jc w:val="right"/>
            </w:pPr>
            <w:r>
              <w:t xml:space="preserve">$100</w:t>
            </w:r>
          </w:p>
        </w:tc>
        <w:tc>
          <w:tcPr/>
          <w:p>
            <w:pPr>
              <w:pStyle w:val="Compact"/>
              <w:jc w:val="right"/>
            </w:pPr>
            <w:r>
              <w:t xml:space="preserve">$850</w:t>
            </w:r>
          </w:p>
        </w:tc>
        <w:tc>
          <w:tcPr/>
          <w:p>
            <w:pPr>
              <w:pStyle w:val="Compact"/>
              <w:jc w:val="right"/>
            </w:pPr>
            <w:r>
              <w:t xml:space="preserve">0.1176</w:t>
            </w:r>
          </w:p>
        </w:tc>
        <w:tc>
          <w:tcPr/>
          <w:p>
            <w:pPr>
              <w:pStyle w:val="Compact"/>
              <w:jc w:val="right"/>
            </w:pPr>
            <w:r>
              <w:t xml:space="preserve">0.5055</w:t>
            </w:r>
          </w:p>
        </w:tc>
        <w:tc>
          <w:tcPr/>
          <w:p>
            <w:pPr>
              <w:pStyle w:val="Compact"/>
              <w:jc w:val="right"/>
            </w:pPr>
            <w:r>
              <w:t xml:space="preserve">0.7828</w:t>
            </w:r>
          </w:p>
        </w:tc>
        <w:tc>
          <w:tcPr/>
          <w:p>
            <w:pPr>
              <w:pStyle w:val="Compact"/>
              <w:jc w:val="right"/>
            </w:pPr>
            <w:r>
              <w:t xml:space="preserve">0.9707</w:t>
            </w:r>
          </w:p>
        </w:tc>
        <w:tc>
          <w:tcPr/>
          <w:p>
            <w:pPr>
              <w:pStyle w:val="Compact"/>
              <w:jc w:val="right"/>
            </w:pPr>
            <w:r>
              <w:t xml:space="preserve">0.9827</w:t>
            </w:r>
          </w:p>
        </w:tc>
      </w:tr>
      <w:tr>
        <w:tc>
          <w:tcPr/>
          <w:p>
            <w:pPr>
              <w:pStyle w:val="Compact"/>
              <w:jc w:val="right"/>
            </w:pPr>
            <w:r>
              <w:t xml:space="preserve">$200</w:t>
            </w:r>
          </w:p>
        </w:tc>
        <w:tc>
          <w:tcPr/>
          <w:p>
            <w:pPr>
              <w:pStyle w:val="Compact"/>
              <w:jc w:val="right"/>
            </w:pPr>
            <w:r>
              <w:t xml:space="preserve">$200</w:t>
            </w:r>
          </w:p>
        </w:tc>
        <w:tc>
          <w:tcPr/>
          <w:p>
            <w:pPr>
              <w:pStyle w:val="Compact"/>
              <w:jc w:val="right"/>
            </w:pPr>
            <w:r>
              <w:t xml:space="preserve">$50</w:t>
            </w:r>
          </w:p>
        </w:tc>
        <w:tc>
          <w:tcPr/>
          <w:p>
            <w:pPr>
              <w:pStyle w:val="Compact"/>
              <w:jc w:val="right"/>
            </w:pPr>
            <w:r>
              <w:t xml:space="preserve">$800</w:t>
            </w:r>
          </w:p>
        </w:tc>
        <w:tc>
          <w:tcPr/>
          <w:p>
            <w:pPr>
              <w:pStyle w:val="Compact"/>
              <w:jc w:val="right"/>
            </w:pPr>
            <w:r>
              <w:t xml:space="preserve">0.0625</w:t>
            </w:r>
          </w:p>
        </w:tc>
        <w:tc>
          <w:tcPr/>
          <w:p>
            <w:pPr>
              <w:pStyle w:val="Compact"/>
              <w:jc w:val="right"/>
            </w:pPr>
            <w:r>
              <w:t xml:space="preserve">0.4314</w:t>
            </w:r>
          </w:p>
        </w:tc>
        <w:tc>
          <w:tcPr/>
          <w:p>
            <w:pPr>
              <w:pStyle w:val="Compact"/>
              <w:jc w:val="right"/>
            </w:pPr>
            <w:r>
              <w:t xml:space="preserve">0.7145</w:t>
            </w:r>
          </w:p>
        </w:tc>
        <w:tc>
          <w:tcPr/>
          <w:p>
            <w:pPr>
              <w:pStyle w:val="Compact"/>
              <w:jc w:val="right"/>
            </w:pPr>
            <w:r>
              <w:t xml:space="preserve">0.8911</w:t>
            </w:r>
          </w:p>
        </w:tc>
        <w:tc>
          <w:tcPr/>
          <w:p>
            <w:pPr>
              <w:pStyle w:val="Compact"/>
              <w:jc w:val="right"/>
            </w:pPr>
            <w:r>
              <w:t xml:space="preserve">0.8683</w:t>
            </w:r>
          </w:p>
        </w:tc>
      </w:tr>
      <w:tr>
        <w:tc>
          <w:tcPr/>
          <w:p>
            <w:pPr>
              <w:pStyle w:val="Compact"/>
              <w:jc w:val="right"/>
            </w:pPr>
            <w:r>
              <w:t xml:space="preserve">$240</w:t>
            </w:r>
          </w:p>
        </w:tc>
        <w:tc>
          <w:tcPr/>
          <w:p>
            <w:pPr>
              <w:pStyle w:val="Compact"/>
              <w:jc w:val="right"/>
            </w:pPr>
            <w:r>
              <w:t xml:space="preserve">$240</w:t>
            </w:r>
          </w:p>
        </w:tc>
        <w:tc>
          <w:tcPr/>
          <w:p>
            <w:pPr>
              <w:pStyle w:val="Compact"/>
              <w:jc w:val="right"/>
            </w:pPr>
            <w:r>
              <w:t xml:space="preserve">$10</w:t>
            </w:r>
          </w:p>
        </w:tc>
        <w:tc>
          <w:tcPr/>
          <w:p>
            <w:pPr>
              <w:pStyle w:val="Compact"/>
              <w:jc w:val="right"/>
            </w:pPr>
            <w:r>
              <w:t xml:space="preserve">$760</w:t>
            </w:r>
          </w:p>
        </w:tc>
        <w:tc>
          <w:tcPr/>
          <w:p>
            <w:pPr>
              <w:pStyle w:val="Compact"/>
              <w:jc w:val="right"/>
            </w:pPr>
            <w:r>
              <w:t xml:space="preserve">0.0132</w:t>
            </w:r>
          </w:p>
        </w:tc>
        <w:tc>
          <w:tcPr/>
          <w:p>
            <w:pPr>
              <w:pStyle w:val="Compact"/>
              <w:jc w:val="right"/>
            </w:pPr>
            <w:r>
              <w:t xml:space="preserve">0.1014</w:t>
            </w:r>
          </w:p>
        </w:tc>
        <w:tc>
          <w:tcPr/>
          <w:p>
            <w:pPr>
              <w:pStyle w:val="Compact"/>
              <w:jc w:val="right"/>
            </w:pPr>
            <w:r>
              <w:t xml:space="preserve">0.1973</w:t>
            </w:r>
          </w:p>
        </w:tc>
        <w:tc>
          <w:tcPr/>
          <w:p>
            <w:pPr>
              <w:pStyle w:val="Compact"/>
              <w:jc w:val="right"/>
            </w:pPr>
            <w:r>
              <w:t xml:space="preserve">0.2732</w:t>
            </w:r>
          </w:p>
        </w:tc>
        <w:tc>
          <w:tcPr/>
          <w:p>
            <w:pPr>
              <w:pStyle w:val="Compact"/>
              <w:jc w:val="right"/>
            </w:pPr>
            <w:r>
              <w:t xml:space="preserve">0.3333</w:t>
            </w:r>
          </w:p>
        </w:tc>
      </w:tr>
    </w:tbl>
    <w:bookmarkEnd w:id="43"/>
    <w:bookmarkStart w:id="44" w:name="Xaf07043f1b1ae4a874c33adcba7909d0625746e"/>
    <w:p>
      <w:pPr>
        <w:pStyle w:val="Heading3"/>
      </w:pPr>
      <w:r>
        <w:t xml:space="preserve">Mermaid decision-flow for “cash out vs continue”</w:t>
      </w:r>
    </w:p>
    <w:p>
      <w:pPr>
        <w:pStyle w:val="SourceCode"/>
      </w:pPr>
      <w:r>
        <w:rPr>
          <w:rStyle w:val="VerbatimChar"/>
        </w:rPr>
        <w:t xml:space="preserve">flowchart TD</w:t>
      </w:r>
      <w:r>
        <w:br/>
      </w:r>
      <w:r>
        <w:rPr>
          <w:rStyle w:val="VerbatimChar"/>
        </w:rPr>
        <w:t xml:space="preserve">  A[New effort opportunity arrives] --&gt; B[Ingest odds/price + market metadata]</w:t>
      </w:r>
      <w:r>
        <w:br/>
      </w:r>
      <w:r>
        <w:rPr>
          <w:rStyle w:val="VerbatimChar"/>
        </w:rPr>
        <w:t xml:space="preserve">  B --&gt; C[Estimate p distribution (posterior) and EV after costs]</w:t>
      </w:r>
      <w:r>
        <w:br/>
      </w:r>
      <w:r>
        <w:rPr>
          <w:rStyle w:val="VerbatimChar"/>
        </w:rPr>
        <w:t xml:space="preserve">  C --&gt; D{Risk checks pass?}</w:t>
      </w:r>
      <w:r>
        <w:br/>
      </w:r>
      <w:r>
        <w:rPr>
          <w:rStyle w:val="VerbatimChar"/>
        </w:rPr>
        <w:t xml:space="preserve">  D -- No --&gt; E[No-bet / pause + alert]</w:t>
      </w:r>
      <w:r>
        <w:br/>
      </w:r>
      <w:r>
        <w:rPr>
          <w:rStyle w:val="VerbatimChar"/>
        </w:rPr>
        <w:t xml:space="preserve">  D -- Yes --&gt; F[Choose stake policy (fixed $10 or fractional)]</w:t>
      </w:r>
      <w:r>
        <w:br/>
      </w:r>
      <w:r>
        <w:rPr>
          <w:rStyle w:val="VerbatimChar"/>
        </w:rPr>
        <w:t xml:space="preserve">  F --&gt; G[Place order/bet via official execution API]</w:t>
      </w:r>
      <w:r>
        <w:br/>
      </w:r>
      <w:r>
        <w:rPr>
          <w:rStyle w:val="VerbatimChar"/>
        </w:rPr>
        <w:t xml:space="preserve">  G --&gt; H[Update bankroll + ledger + realized costs]</w:t>
      </w:r>
      <w:r>
        <w:br/>
      </w:r>
      <w:r>
        <w:rPr>
          <w:rStyle w:val="VerbatimChar"/>
        </w:rPr>
        <w:t xml:space="preserve">  H --&gt; I{Hit ruin floor? (bankroll = $0)}</w:t>
      </w:r>
      <w:r>
        <w:br/>
      </w:r>
      <w:r>
        <w:rPr>
          <w:rStyle w:val="VerbatimChar"/>
        </w:rPr>
        <w:t xml:space="preserve">  I -- Yes --&gt; J[Stop: failure]</w:t>
      </w:r>
      <w:r>
        <w:br/>
      </w:r>
      <w:r>
        <w:rPr>
          <w:rStyle w:val="VerbatimChar"/>
        </w:rPr>
        <w:t xml:space="preserve">  I -- No --&gt; K{Hit payout milestone?}</w:t>
      </w:r>
      <w:r>
        <w:br/>
      </w:r>
      <w:r>
        <w:rPr>
          <w:rStyle w:val="VerbatimChar"/>
        </w:rPr>
        <w:t xml:space="preserve">  K -- No --&gt; A</w:t>
      </w:r>
      <w:r>
        <w:br/>
      </w:r>
      <w:r>
        <w:rPr>
          <w:rStyle w:val="VerbatimChar"/>
        </w:rPr>
        <w:t xml:space="preserve">  K -- Yes --&gt; L[Compute ladder options: withdraw W vs continue to next goal]</w:t>
      </w:r>
      <w:r>
        <w:br/>
      </w:r>
      <w:r>
        <w:rPr>
          <w:rStyle w:val="VerbatimChar"/>
        </w:rPr>
        <w:t xml:space="preserve">  L --&gt; M{Withdraw now?}</w:t>
      </w:r>
      <w:r>
        <w:br/>
      </w:r>
      <w:r>
        <w:rPr>
          <w:rStyle w:val="VerbatimChar"/>
        </w:rPr>
        <w:t xml:space="preserve">  M -- Yes --&gt; N[Lock funds + reduce at-risk wallet]</w:t>
      </w:r>
      <w:r>
        <w:br/>
      </w:r>
      <w:r>
        <w:rPr>
          <w:rStyle w:val="VerbatimChar"/>
        </w:rPr>
        <w:t xml:space="preserve">  M -- No --&gt; O[Keep funds at risk]</w:t>
      </w:r>
      <w:r>
        <w:br/>
      </w:r>
      <w:r>
        <w:rPr>
          <w:rStyle w:val="VerbatimChar"/>
        </w:rPr>
        <w:t xml:space="preserve">  N --&gt; A</w:t>
      </w:r>
      <w:r>
        <w:br/>
      </w:r>
      <w:r>
        <w:rPr>
          <w:rStyle w:val="VerbatimChar"/>
        </w:rPr>
        <w:t xml:space="preserve">  O --&gt; A</w:t>
      </w:r>
    </w:p>
    <w:bookmarkEnd w:id="44"/>
    <w:bookmarkEnd w:id="45"/>
    <w:bookmarkStart w:id="52" w:name="X39d4fe8d10213fc7aaef24fa1fd35c28fbf7eda"/>
    <w:p>
      <w:pPr>
        <w:pStyle w:val="Heading2"/>
      </w:pPr>
      <w:r>
        <w:t xml:space="preserve">Sensitivity analysis and Bayesian uncertainty on</w:t>
      </w:r>
      <w:r>
        <w:t xml:space="preserve"> </w:t>
      </w:r>
      <m:oMath>
        <m:r>
          <m:t>p</m:t>
        </m:r>
      </m:oMath>
    </w:p>
    <w:bookmarkStart w:id="46" w:name="Xb044f8ad84a970dd2747422b2d333bfcbf4150b"/>
    <w:p>
      <w:pPr>
        <w:pStyle w:val="Heading3"/>
      </w:pPr>
      <w:r>
        <w:t xml:space="preserve">Required starting bankroll to achieve 90% or 95% eventual success</w:t>
      </w:r>
    </w:p>
    <w:p>
      <w:pPr>
        <w:pStyle w:val="FirstParagraph"/>
      </w:pPr>
      <w:r>
        <w:t xml:space="preserve">Under the unbounded-goal biased random walk model (i.e., you keep playing until you either hit ruin or “succeed indefinitely”), for</w:t>
      </w:r>
      <w:r>
        <w:t xml:space="preserve"> </w:t>
      </w:r>
      <m:oMath>
        <m:r>
          <m:t>p</m:t>
        </m:r>
        <m:r>
          <m:rPr>
            <m:sty m:val="p"/>
          </m:rPr>
          <m:t>&gt;</m:t>
        </m:r>
        <m:r>
          <m:t>0.5</m:t>
        </m:r>
      </m:oMath>
      <w:r>
        <w:t xml:space="preserve"> </w:t>
      </w:r>
      <w:r>
        <w:t xml:space="preserve">the eventual success probability is:</w:t>
      </w:r>
    </w:p>
    <w:p>
      <w:pPr>
        <w:pStyle w:val="BodyText"/>
      </w:pPr>
      <m:oMathPara>
        <m:oMathParaPr>
          <m:jc m:val="center"/>
        </m:oMathParaPr>
        <m:oMath>
          <m:sSub>
            <m:e>
              <m:r>
                <m:rPr>
                  <m:sty m:val="p"/>
                  <m:scr m:val="double-struck"/>
                </m:rPr>
                <m:t>P</m:t>
              </m:r>
            </m:e>
            <m:sub>
              <m:r>
                <m:t>i</m:t>
              </m:r>
            </m:sub>
          </m:sSub>
          <m:d>
            <m:dPr>
              <m:begChr m:val="("/>
              <m:sepChr m:val=""/>
              <m:endChr m:val=")"/>
              <m:grow/>
            </m:dPr>
            <m:e>
              <m:r>
                <m:rPr>
                  <m:nor/>
                  <m:sty m:val="p"/>
                </m:rPr>
                <m:t>eventual success</m:t>
              </m:r>
            </m:e>
          </m:d>
          <m:r>
            <m:rPr>
              <m:sty m:val="p"/>
            </m:rPr>
            <m:t>=</m:t>
          </m:r>
          <m:r>
            <m:t>1</m:t>
          </m:r>
          <m:r>
            <m:rPr>
              <m:sty m:val="p"/>
            </m:rPr>
            <m:t>−</m:t>
          </m:r>
          <m:sSup>
            <m:e>
              <m:d>
                <m:dPr>
                  <m:begChr m:val="("/>
                  <m:sepChr m:val=""/>
                  <m:endChr m:val=")"/>
                  <m:grow/>
                </m:dPr>
                <m:e>
                  <m:f>
                    <m:fPr>
                      <m:type m:val="bar"/>
                    </m:fPr>
                    <m:num>
                      <m:r>
                        <m:t>q</m:t>
                      </m:r>
                    </m:num>
                    <m:den>
                      <m:r>
                        <m:t>p</m:t>
                      </m:r>
                    </m:den>
                  </m:f>
                </m:e>
              </m:d>
            </m:e>
            <m:sup>
              <m:r>
                <m:t>i</m:t>
              </m:r>
            </m:sup>
          </m:sSup>
          <m:r>
            <m:rPr>
              <m:sty m:val="p"/>
            </m:rPr>
            <m:t>.</m:t>
          </m:r>
        </m:oMath>
      </m:oMathPara>
    </w:p>
    <w:p>
      <w:pPr>
        <w:pStyle w:val="FirstParagraph"/>
      </w:pPr>
      <w:r>
        <w:t xml:space="preserve">Solving</w:t>
      </w:r>
      <w:r>
        <w:t xml:space="preserve"> </w:t>
      </w:r>
      <m:oMath>
        <m:r>
          <m:t>1</m:t>
        </m:r>
        <m:r>
          <m:rPr>
            <m:sty m:val="p"/>
          </m:rPr>
          <m:t>−</m:t>
        </m:r>
        <m:sSup>
          <m:e>
            <m:d>
              <m:dPr>
                <m:begChr m:val="("/>
                <m:sepChr m:val=""/>
                <m:endChr m:val=")"/>
                <m:grow/>
              </m:dPr>
              <m:e>
                <m:r>
                  <m:t>q</m:t>
                </m:r>
                <m:r>
                  <m:rPr>
                    <m:sty m:val="p"/>
                  </m:rPr>
                  <m:t>/</m:t>
                </m:r>
                <m:r>
                  <m:t>p</m:t>
                </m:r>
              </m:e>
            </m:d>
          </m:e>
          <m:sup>
            <m:r>
              <m:t>i</m:t>
            </m:r>
          </m:sup>
        </m:sSup>
        <m:r>
          <m:rPr>
            <m:sty m:val="p"/>
          </m:rPr>
          <m:t>≥</m:t>
        </m:r>
        <m:r>
          <m:t>s</m:t>
        </m:r>
      </m:oMath>
      <w:r>
        <w:t xml:space="preserve"> </w:t>
      </w:r>
      <w:r>
        <w:t xml:space="preserve">for</w:t>
      </w:r>
      <w:r>
        <w:t xml:space="preserve"> </w:t>
      </w:r>
      <m:oMath>
        <m:r>
          <m:t>i</m:t>
        </m:r>
      </m:oMath>
      <w:r>
        <w:t xml:space="preserve"> </w:t>
      </w:r>
      <w:r>
        <w:t xml:space="preserve">gives:</w:t>
      </w:r>
    </w:p>
    <w:p>
      <w:pPr>
        <w:pStyle w:val="BodyText"/>
      </w:pPr>
      <m:oMathPara>
        <m:oMathParaPr>
          <m:jc m:val="center"/>
        </m:oMathParaPr>
        <m:oMath>
          <m:r>
            <m:t>i</m:t>
          </m:r>
          <m:r>
            <m:rPr>
              <m:sty m:val="p"/>
            </m:rPr>
            <m:t>≥</m:t>
          </m:r>
          <m:f>
            <m:fPr>
              <m:type m:val="bar"/>
            </m:fPr>
            <m:num>
              <m:r>
                <m:rPr>
                  <m:sty m:val="p"/>
                </m:rPr>
                <m:t>ln</m:t>
              </m:r>
              <m:d>
                <m:dPr>
                  <m:begChr m:val="("/>
                  <m:sepChr m:val=""/>
                  <m:endChr m:val=")"/>
                  <m:grow/>
                </m:dPr>
                <m:e>
                  <m:r>
                    <m:t>1</m:t>
                  </m:r>
                  <m:r>
                    <m:rPr>
                      <m:sty m:val="p"/>
                    </m:rPr>
                    <m:t>−</m:t>
                  </m:r>
                  <m:r>
                    <m:t>s</m:t>
                  </m:r>
                </m:e>
              </m:d>
            </m:num>
            <m:den>
              <m:r>
                <m:rPr>
                  <m:sty m:val="p"/>
                </m:rPr>
                <m:t>ln</m:t>
              </m:r>
              <m:d>
                <m:dPr>
                  <m:begChr m:val="("/>
                  <m:sepChr m:val=""/>
                  <m:endChr m:val=")"/>
                  <m:grow/>
                </m:dPr>
                <m:e>
                  <m:r>
                    <m:t>q</m:t>
                  </m:r>
                  <m:r>
                    <m:rPr>
                      <m:sty m:val="p"/>
                    </m:rPr>
                    <m:t>/</m:t>
                  </m:r>
                  <m:r>
                    <m:t>p</m:t>
                  </m:r>
                </m:e>
              </m:d>
            </m:den>
          </m:f>
          <m:r>
            <m:rPr>
              <m:sty m:val="p"/>
            </m:rPr>
            <m:t>,</m:t>
          </m:r>
          <m:r>
            <m:t> </m:t>
          </m:r>
          <m:d>
            <m:dPr>
              <m:begChr m:val="("/>
              <m:sepChr m:val=""/>
              <m:endChr m:val=")"/>
              <m:grow/>
            </m:dPr>
            <m:e>
              <m:r>
                <m:t>p</m:t>
              </m:r>
              <m:r>
                <m:rPr>
                  <m:sty m:val="p"/>
                </m:rPr>
                <m:t>&gt;</m:t>
              </m:r>
              <m:r>
                <m:t>0.5</m:t>
              </m:r>
            </m:e>
          </m:d>
          <m:r>
            <m:rPr>
              <m:sty m:val="p"/>
            </m:rPr>
            <m:t>.</m:t>
          </m:r>
        </m:oMath>
      </m:oMathPara>
    </w:p>
    <w:p>
      <w:pPr>
        <w:pStyle w:val="FirstParagraph"/>
      </w:pPr>
      <w:hyperlink r:id="rId21">
        <w:r>
          <w:rPr>
            <w:rStyle w:val="Hyperlink"/>
          </w:rPr>
          <w:t xml:space="preserve">[2]</w:t>
        </w:r>
      </w:hyperlink>
    </w:p>
    <w:p>
      <w:pPr>
        <w:pStyle w:val="BodyText"/>
      </w:pPr>
      <w:r>
        <w:t xml:space="preserve">Computed required starting bankroll (units of $10):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m:oMath>
              <m:r>
                <m:t>p</m:t>
              </m:r>
            </m:oMath>
          </w:p>
        </w:tc>
        <w:tc>
          <w:tcPr/>
          <w:p>
            <w:pPr>
              <w:pStyle w:val="Compact"/>
              <w:jc w:val="right"/>
            </w:pPr>
            <w:r>
              <w:t xml:space="preserve">Target eventual success</w:t>
            </w:r>
          </w:p>
        </w:tc>
        <w:tc>
          <w:tcPr/>
          <w:p>
            <w:pPr>
              <w:pStyle w:val="Compact"/>
              <w:jc w:val="right"/>
            </w:pPr>
            <w:r>
              <w:t xml:space="preserve">Required units</w:t>
            </w:r>
            <w:r>
              <w:t xml:space="preserve"> </w:t>
            </w:r>
            <m:oMath>
              <m:r>
                <m:t>i</m:t>
              </m:r>
            </m:oMath>
          </w:p>
        </w:tc>
        <w:tc>
          <w:tcPr/>
          <w:p>
            <w:pPr>
              <w:pStyle w:val="Compact"/>
              <w:jc w:val="right"/>
            </w:pPr>
            <w:r>
              <w:t xml:space="preserve">Required dollars</w:t>
            </w:r>
          </w:p>
        </w:tc>
      </w:tr>
      <w:tr>
        <w:tc>
          <w:tcPr/>
          <w:p>
            <w:pPr>
              <w:pStyle w:val="Compact"/>
              <w:jc w:val="right"/>
            </w:pPr>
            <w:r>
              <w:t xml:space="preserve">0.50</w:t>
            </w:r>
          </w:p>
        </w:tc>
        <w:tc>
          <w:tcPr/>
          <w:p>
            <w:pPr>
              <w:pStyle w:val="Compact"/>
              <w:jc w:val="right"/>
            </w:pPr>
            <w:r>
              <w:t xml:space="preserve">90%</w:t>
            </w:r>
          </w:p>
        </w:tc>
        <w:tc>
          <w:tcPr/>
          <w:p>
            <w:pPr>
              <w:pStyle w:val="Compact"/>
              <w:jc w:val="right"/>
            </w:pPr>
            <w:r>
              <w:t xml:space="preserve">not achievable (ruin prob = 1)</w:t>
            </w:r>
          </w:p>
        </w:tc>
        <w:tc>
          <w:tcPr/>
          <w:p>
            <w:pPr>
              <w:pStyle w:val="Compact"/>
              <w:jc w:val="right"/>
            </w:pPr>
            <w:r>
              <w:t xml:space="preserve">—</w:t>
            </w:r>
          </w:p>
        </w:tc>
      </w:tr>
      <w:tr>
        <w:tc>
          <w:tcPr/>
          <w:p>
            <w:pPr>
              <w:pStyle w:val="Compact"/>
              <w:jc w:val="right"/>
            </w:pPr>
            <w:r>
              <w:t xml:space="preserve">0.50</w:t>
            </w:r>
          </w:p>
        </w:tc>
        <w:tc>
          <w:tcPr/>
          <w:p>
            <w:pPr>
              <w:pStyle w:val="Compact"/>
              <w:jc w:val="right"/>
            </w:pPr>
            <w:r>
              <w:t xml:space="preserve">95%</w:t>
            </w:r>
          </w:p>
        </w:tc>
        <w:tc>
          <w:tcPr/>
          <w:p>
            <w:pPr>
              <w:pStyle w:val="Compact"/>
              <w:jc w:val="right"/>
            </w:pPr>
            <w:r>
              <w:t xml:space="preserve">not achievable (ruin prob = 1)</w:t>
            </w:r>
          </w:p>
        </w:tc>
        <w:tc>
          <w:tcPr/>
          <w:p>
            <w:pPr>
              <w:pStyle w:val="Compact"/>
              <w:jc w:val="right"/>
            </w:pPr>
            <w:r>
              <w:t xml:space="preserve">—</w:t>
            </w:r>
          </w:p>
        </w:tc>
      </w:tr>
      <w:tr>
        <w:tc>
          <w:tcPr/>
          <w:p>
            <w:pPr>
              <w:pStyle w:val="Compact"/>
              <w:jc w:val="right"/>
            </w:pPr>
            <w:r>
              <w:t xml:space="preserve">0.51</w:t>
            </w:r>
          </w:p>
        </w:tc>
        <w:tc>
          <w:tcPr/>
          <w:p>
            <w:pPr>
              <w:pStyle w:val="Compact"/>
              <w:jc w:val="right"/>
            </w:pPr>
            <w:r>
              <w:t xml:space="preserve">90%</w:t>
            </w:r>
          </w:p>
        </w:tc>
        <w:tc>
          <w:tcPr/>
          <w:p>
            <w:pPr>
              <w:pStyle w:val="Compact"/>
              <w:jc w:val="right"/>
            </w:pPr>
            <w:r>
              <w:t xml:space="preserve">58</w:t>
            </w:r>
          </w:p>
        </w:tc>
        <w:tc>
          <w:tcPr/>
          <w:p>
            <w:pPr>
              <w:pStyle w:val="Compact"/>
              <w:jc w:val="right"/>
            </w:pPr>
            <w:r>
              <w:t xml:space="preserve">$580</w:t>
            </w:r>
          </w:p>
        </w:tc>
      </w:tr>
      <w:tr>
        <w:tc>
          <w:tcPr/>
          <w:p>
            <w:pPr>
              <w:pStyle w:val="Compact"/>
              <w:jc w:val="right"/>
            </w:pPr>
            <w:r>
              <w:t xml:space="preserve">0.51</w:t>
            </w:r>
          </w:p>
        </w:tc>
        <w:tc>
          <w:tcPr/>
          <w:p>
            <w:pPr>
              <w:pStyle w:val="Compact"/>
              <w:jc w:val="right"/>
            </w:pPr>
            <w:r>
              <w:t xml:space="preserve">95%</w:t>
            </w:r>
          </w:p>
        </w:tc>
        <w:tc>
          <w:tcPr/>
          <w:p>
            <w:pPr>
              <w:pStyle w:val="Compact"/>
              <w:jc w:val="right"/>
            </w:pPr>
            <w:r>
              <w:t xml:space="preserve">75</w:t>
            </w:r>
          </w:p>
        </w:tc>
        <w:tc>
          <w:tcPr/>
          <w:p>
            <w:pPr>
              <w:pStyle w:val="Compact"/>
              <w:jc w:val="right"/>
            </w:pPr>
            <w:r>
              <w:t xml:space="preserve">$750</w:t>
            </w:r>
          </w:p>
        </w:tc>
      </w:tr>
      <w:tr>
        <w:tc>
          <w:tcPr/>
          <w:p>
            <w:pPr>
              <w:pStyle w:val="Compact"/>
              <w:jc w:val="right"/>
            </w:pPr>
            <w:r>
              <w:t xml:space="preserve">0.52</w:t>
            </w:r>
          </w:p>
        </w:tc>
        <w:tc>
          <w:tcPr/>
          <w:p>
            <w:pPr>
              <w:pStyle w:val="Compact"/>
              <w:jc w:val="right"/>
            </w:pPr>
            <w:r>
              <w:t xml:space="preserve">90%</w:t>
            </w:r>
          </w:p>
        </w:tc>
        <w:tc>
          <w:tcPr/>
          <w:p>
            <w:pPr>
              <w:pStyle w:val="Compact"/>
              <w:jc w:val="right"/>
            </w:pPr>
            <w:r>
              <w:t xml:space="preserve">29</w:t>
            </w:r>
          </w:p>
        </w:tc>
        <w:tc>
          <w:tcPr/>
          <w:p>
            <w:pPr>
              <w:pStyle w:val="Compact"/>
              <w:jc w:val="right"/>
            </w:pPr>
            <w:r>
              <w:t xml:space="preserve">$290</w:t>
            </w:r>
          </w:p>
        </w:tc>
      </w:tr>
      <w:tr>
        <w:tc>
          <w:tcPr/>
          <w:p>
            <w:pPr>
              <w:pStyle w:val="Compact"/>
              <w:jc w:val="right"/>
            </w:pPr>
            <w:r>
              <w:t xml:space="preserve">0.52</w:t>
            </w:r>
          </w:p>
        </w:tc>
        <w:tc>
          <w:tcPr/>
          <w:p>
            <w:pPr>
              <w:pStyle w:val="Compact"/>
              <w:jc w:val="right"/>
            </w:pPr>
            <w:r>
              <w:t xml:space="preserve">95%</w:t>
            </w:r>
          </w:p>
        </w:tc>
        <w:tc>
          <w:tcPr/>
          <w:p>
            <w:pPr>
              <w:pStyle w:val="Compact"/>
              <w:jc w:val="right"/>
            </w:pPr>
            <w:r>
              <w:t xml:space="preserve">38</w:t>
            </w:r>
          </w:p>
        </w:tc>
        <w:tc>
          <w:tcPr/>
          <w:p>
            <w:pPr>
              <w:pStyle w:val="Compact"/>
              <w:jc w:val="right"/>
            </w:pPr>
            <w:r>
              <w:t xml:space="preserve">$380</w:t>
            </w:r>
          </w:p>
        </w:tc>
      </w:tr>
      <w:tr>
        <w:tc>
          <w:tcPr/>
          <w:p>
            <w:pPr>
              <w:pStyle w:val="Compact"/>
              <w:jc w:val="right"/>
            </w:pPr>
            <w:r>
              <w:t xml:space="preserve">0.55</w:t>
            </w:r>
          </w:p>
        </w:tc>
        <w:tc>
          <w:tcPr/>
          <w:p>
            <w:pPr>
              <w:pStyle w:val="Compact"/>
              <w:jc w:val="right"/>
            </w:pPr>
            <w:r>
              <w:t xml:space="preserve">90%</w:t>
            </w:r>
          </w:p>
        </w:tc>
        <w:tc>
          <w:tcPr/>
          <w:p>
            <w:pPr>
              <w:pStyle w:val="Compact"/>
              <w:jc w:val="right"/>
            </w:pPr>
            <w:r>
              <w:t xml:space="preserve">12</w:t>
            </w:r>
          </w:p>
        </w:tc>
        <w:tc>
          <w:tcPr/>
          <w:p>
            <w:pPr>
              <w:pStyle w:val="Compact"/>
              <w:jc w:val="right"/>
            </w:pPr>
            <w:r>
              <w:t xml:space="preserve">$120</w:t>
            </w:r>
          </w:p>
        </w:tc>
      </w:tr>
      <w:tr>
        <w:tc>
          <w:tcPr/>
          <w:p>
            <w:pPr>
              <w:pStyle w:val="Compact"/>
              <w:jc w:val="right"/>
            </w:pPr>
            <w:r>
              <w:t xml:space="preserve">0.55</w:t>
            </w:r>
          </w:p>
        </w:tc>
        <w:tc>
          <w:tcPr/>
          <w:p>
            <w:pPr>
              <w:pStyle w:val="Compact"/>
              <w:jc w:val="right"/>
            </w:pPr>
            <w:r>
              <w:t xml:space="preserve">95%</w:t>
            </w:r>
          </w:p>
        </w:tc>
        <w:tc>
          <w:tcPr/>
          <w:p>
            <w:pPr>
              <w:pStyle w:val="Compact"/>
              <w:jc w:val="right"/>
            </w:pPr>
            <w:r>
              <w:t xml:space="preserve">15</w:t>
            </w:r>
          </w:p>
        </w:tc>
        <w:tc>
          <w:tcPr/>
          <w:p>
            <w:pPr>
              <w:pStyle w:val="Compact"/>
              <w:jc w:val="right"/>
            </w:pPr>
            <w:r>
              <w:t xml:space="preserve">$150</w:t>
            </w:r>
          </w:p>
        </w:tc>
      </w:tr>
      <w:tr>
        <w:tc>
          <w:tcPr/>
          <w:p>
            <w:pPr>
              <w:pStyle w:val="Compact"/>
              <w:jc w:val="right"/>
            </w:pPr>
            <w:r>
              <w:t xml:space="preserve">0.60</w:t>
            </w:r>
          </w:p>
        </w:tc>
        <w:tc>
          <w:tcPr/>
          <w:p>
            <w:pPr>
              <w:pStyle w:val="Compact"/>
              <w:jc w:val="right"/>
            </w:pPr>
            <w:r>
              <w:t xml:space="preserve">90%</w:t>
            </w:r>
          </w:p>
        </w:tc>
        <w:tc>
          <w:tcPr/>
          <w:p>
            <w:pPr>
              <w:pStyle w:val="Compact"/>
              <w:jc w:val="right"/>
            </w:pPr>
            <w:r>
              <w:t xml:space="preserve">6</w:t>
            </w:r>
          </w:p>
        </w:tc>
        <w:tc>
          <w:tcPr/>
          <w:p>
            <w:pPr>
              <w:pStyle w:val="Compact"/>
              <w:jc w:val="right"/>
            </w:pPr>
            <w:r>
              <w:t xml:space="preserve">$60</w:t>
            </w:r>
          </w:p>
        </w:tc>
      </w:tr>
      <w:tr>
        <w:tc>
          <w:tcPr/>
          <w:p>
            <w:pPr>
              <w:pStyle w:val="Compact"/>
              <w:jc w:val="right"/>
            </w:pPr>
            <w:r>
              <w:t xml:space="preserve">0.60</w:t>
            </w:r>
          </w:p>
        </w:tc>
        <w:tc>
          <w:tcPr/>
          <w:p>
            <w:pPr>
              <w:pStyle w:val="Compact"/>
              <w:jc w:val="right"/>
            </w:pPr>
            <w:r>
              <w:t xml:space="preserve">95%</w:t>
            </w:r>
          </w:p>
        </w:tc>
        <w:tc>
          <w:tcPr/>
          <w:p>
            <w:pPr>
              <w:pStyle w:val="Compact"/>
              <w:jc w:val="right"/>
            </w:pPr>
            <w:r>
              <w:t xml:space="preserve">8</w:t>
            </w:r>
          </w:p>
        </w:tc>
        <w:tc>
          <w:tcPr/>
          <w:p>
            <w:pPr>
              <w:pStyle w:val="Compact"/>
              <w:jc w:val="right"/>
            </w:pPr>
            <w:r>
              <w:t xml:space="preserve">$80</w:t>
            </w:r>
          </w:p>
        </w:tc>
      </w:tr>
    </w:tbl>
    <w:p>
      <w:pPr>
        <w:pStyle w:val="BodyText"/>
      </w:pPr>
      <w:r>
        <w:t xml:space="preserve">This quantifies a hard truth for your “start at $10, risk $10” constraint: with</w:t>
      </w:r>
      <w:r>
        <w:t xml:space="preserve"> </w:t>
      </w:r>
      <m:oMath>
        <m:r>
          <m:t>i</m:t>
        </m:r>
        <m:r>
          <m:rPr>
            <m:sty m:val="p"/>
          </m:rPr>
          <m:t>=</m:t>
        </m:r>
        <m:r>
          <m:t>1</m:t>
        </m:r>
      </m:oMath>
      <w:r>
        <w:t xml:space="preserve">, even decent</w:t>
      </w:r>
      <w:r>
        <w:t xml:space="preserve"> </w:t>
      </w:r>
      <m:oMath>
        <m:r>
          <m:t>p</m:t>
        </m:r>
      </m:oMath>
      <w:r>
        <w:t xml:space="preserve"> </w:t>
      </w:r>
      <w:r>
        <w:t xml:space="preserve">produces a large ruin chance before any “life-improving” target is reached.</w:t>
      </w:r>
      <w:r>
        <w:t xml:space="preserve"> </w:t>
      </w:r>
      <w:hyperlink r:id="rId21">
        <w:r>
          <w:rPr>
            <w:rStyle w:val="Hyperlink"/>
          </w:rPr>
          <w:t xml:space="preserve">[2]</w:t>
        </w:r>
      </w:hyperlink>
    </w:p>
    <w:bookmarkEnd w:id="46"/>
    <w:bookmarkStart w:id="47" w:name="X19a96fa4fc603d168c3233387b3c8975bc8412d"/>
    <w:p>
      <w:pPr>
        <w:pStyle w:val="Heading3"/>
      </w:pPr>
      <w:r>
        <w:t xml:space="preserve">Chart: sensitivity curve (starting bankroll vs eventual success probability)</w:t>
      </w:r>
    </w:p>
    <w:p>
      <w:pPr>
        <w:pStyle w:val="FirstParagraph"/>
      </w:pPr>
      <w:r>
        <w:t xml:space="preserve">Sensitivity curve: starting bankroll vs eventual success probability</w:t>
      </w:r>
      <w:r>
        <w:br/>
      </w:r>
    </w:p>
    <w:bookmarkEnd w:id="47"/>
    <w:bookmarkStart w:id="51" w:name="Xe80422aaaab34e6e7a4dcb51356a4b647ad1ec9"/>
    <w:p>
      <w:pPr>
        <w:pStyle w:val="Heading3"/>
      </w:pPr>
      <w:r>
        <w:t xml:space="preserve">Bayesian uncertainty: why you should plan with a lower bound on</w:t>
      </w:r>
      <w:r>
        <w:t xml:space="preserve"> </w:t>
      </w:r>
      <m:oMath>
        <m:r>
          <m:t>p</m:t>
        </m:r>
      </m:oMath>
    </w:p>
    <w:p>
      <w:pPr>
        <w:pStyle w:val="FirstParagraph"/>
      </w:pPr>
      <w:r>
        <w:t xml:space="preserve">A betting/trading agent does not know</w:t>
      </w:r>
      <w:r>
        <w:t xml:space="preserve"> </w:t>
      </w:r>
      <m:oMath>
        <m:r>
          <m:t>p</m:t>
        </m:r>
      </m:oMath>
      <w:r>
        <w:t xml:space="preserve">; it estimates it from data. With binary outcomes, the standard conjugate Bayesian model is:</w:t>
      </w:r>
    </w:p>
    <w:p>
      <w:pPr>
        <w:pStyle w:val="BodyText"/>
      </w:pPr>
      <w:r>
        <w:t xml:space="preserve">Likelihood:</w:t>
      </w:r>
    </w:p>
    <w:p>
      <w:pPr>
        <w:pStyle w:val="BodyText"/>
      </w:pPr>
      <m:oMathPara>
        <m:oMathParaPr>
          <m:jc m:val="center"/>
        </m:oMathParaPr>
        <m:oMath>
          <m:r>
            <m:t>x</m:t>
          </m:r>
          <m:r>
            <m:rPr>
              <m:sty m:val="p"/>
            </m:rPr>
            <m:t>∣</m:t>
          </m:r>
          <m:r>
            <m:t>p</m:t>
          </m:r>
          <m:r>
            <m:rPr>
              <m:sty m:val="p"/>
            </m:rPr>
            <m:t>∼</m:t>
          </m:r>
          <m:r>
            <m:rPr>
              <m:sty m:val="p"/>
            </m:rPr>
            <m:t>B</m:t>
          </m:r>
          <m:r>
            <m:rPr>
              <m:sty m:val="p"/>
            </m:rPr>
            <m:t>i</m:t>
          </m:r>
          <m:r>
            <m:rPr>
              <m:sty m:val="p"/>
            </m:rPr>
            <m:t>n</m:t>
          </m:r>
          <m:r>
            <m:rPr>
              <m:sty m:val="p"/>
            </m:rPr>
            <m:t>o</m:t>
          </m:r>
          <m:r>
            <m:rPr>
              <m:sty m:val="p"/>
            </m:rPr>
            <m:t>m</m:t>
          </m:r>
          <m:r>
            <m:rPr>
              <m:sty m:val="p"/>
            </m:rPr>
            <m:t>i</m:t>
          </m:r>
          <m:r>
            <m:rPr>
              <m:sty m:val="p"/>
            </m:rPr>
            <m:t>a</m:t>
          </m:r>
          <m:r>
            <m:rPr>
              <m:sty m:val="p"/>
            </m:rPr>
            <m:t>l</m:t>
          </m:r>
          <m:d>
            <m:dPr>
              <m:begChr m:val="("/>
              <m:sepChr m:val=""/>
              <m:endChr m:val=")"/>
              <m:grow/>
            </m:dPr>
            <m:e>
              <m:r>
                <m:t>n</m:t>
              </m:r>
              <m:r>
                <m:rPr>
                  <m:sty m:val="p"/>
                </m:rPr>
                <m:t>,</m:t>
              </m:r>
              <m:r>
                <m:t>p</m:t>
              </m:r>
            </m:e>
          </m:d>
          <m:r>
            <m:rPr>
              <m:sty m:val="p"/>
            </m:rPr>
            <m:t>.</m:t>
          </m:r>
        </m:oMath>
      </m:oMathPara>
    </w:p>
    <w:p>
      <w:pPr>
        <w:pStyle w:val="FirstParagraph"/>
      </w:pPr>
      <w:r>
        <w:t xml:space="preserve">Prior:</w:t>
      </w:r>
    </w:p>
    <w:p>
      <w:pPr>
        <w:pStyle w:val="BodyText"/>
      </w:pPr>
      <m:oMathPara>
        <m:oMathParaPr>
          <m:jc m:val="center"/>
        </m:oMathParaPr>
        <m:oMath>
          <m:r>
            <m:t>p</m:t>
          </m:r>
          <m:r>
            <m:rPr>
              <m:sty m:val="p"/>
            </m:rPr>
            <m:t>∼</m:t>
          </m:r>
          <m:r>
            <m:rPr>
              <m:sty m:val="p"/>
            </m:rPr>
            <m:t>B</m:t>
          </m:r>
          <m:r>
            <m:rPr>
              <m:sty m:val="p"/>
            </m:rPr>
            <m:t>e</m:t>
          </m:r>
          <m:r>
            <m:rPr>
              <m:sty m:val="p"/>
            </m:rPr>
            <m:t>t</m:t>
          </m:r>
          <m:r>
            <m:rPr>
              <m:sty m:val="p"/>
            </m:rPr>
            <m:t>a</m:t>
          </m:r>
          <m:d>
            <m:dPr>
              <m:begChr m:val="("/>
              <m:sepChr m:val=""/>
              <m:endChr m:val=")"/>
              <m:grow/>
            </m:dPr>
            <m:e>
              <m:r>
                <m:t>α</m:t>
              </m:r>
              <m:r>
                <m:rPr>
                  <m:sty m:val="p"/>
                </m:rPr>
                <m:t>,</m:t>
              </m:r>
              <m:r>
                <m:t>β</m:t>
              </m:r>
            </m:e>
          </m:d>
          <m:r>
            <m:rPr>
              <m:sty m:val="p"/>
            </m:rPr>
            <m:t>.</m:t>
          </m:r>
        </m:oMath>
      </m:oMathPara>
    </w:p>
    <w:p>
      <w:pPr>
        <w:pStyle w:val="FirstParagraph"/>
      </w:pPr>
      <w:r>
        <w:t xml:space="preserve">Posterior:</w:t>
      </w:r>
    </w:p>
    <w:p>
      <w:pPr>
        <w:pStyle w:val="BodyText"/>
      </w:pPr>
      <m:oMathPara>
        <m:oMathParaPr>
          <m:jc m:val="center"/>
        </m:oMathParaPr>
        <m:oMath>
          <m:r>
            <m:t>p</m:t>
          </m:r>
          <m:r>
            <m:rPr>
              <m:sty m:val="p"/>
            </m:rPr>
            <m:t>∣</m:t>
          </m:r>
          <m:r>
            <m:t>x</m:t>
          </m:r>
          <m:r>
            <m:rPr>
              <m:sty m:val="p"/>
            </m:rPr>
            <m:t>∼</m:t>
          </m:r>
          <m:r>
            <m:rPr>
              <m:sty m:val="p"/>
            </m:rPr>
            <m:t>B</m:t>
          </m:r>
          <m:r>
            <m:rPr>
              <m:sty m:val="p"/>
            </m:rPr>
            <m:t>e</m:t>
          </m:r>
          <m:r>
            <m:rPr>
              <m:sty m:val="p"/>
            </m:rPr>
            <m:t>t</m:t>
          </m:r>
          <m:r>
            <m:rPr>
              <m:sty m:val="p"/>
            </m:rPr>
            <m:t>a</m:t>
          </m:r>
          <m:d>
            <m:dPr>
              <m:begChr m:val="("/>
              <m:sepChr m:val=""/>
              <m:endChr m:val=")"/>
              <m:grow/>
            </m:dPr>
            <m:e>
              <m:r>
                <m:t>α</m:t>
              </m:r>
              <m:r>
                <m:rPr>
                  <m:sty m:val="p"/>
                </m:rPr>
                <m:t>+</m:t>
              </m:r>
              <m:r>
                <m:t>x</m:t>
              </m:r>
              <m:r>
                <m:rPr>
                  <m:sty m:val="p"/>
                </m:rPr>
                <m:t>,</m:t>
              </m:r>
              <m:r>
                <m:t> </m:t>
              </m:r>
              <m:r>
                <m:t>β</m:t>
              </m:r>
              <m:r>
                <m:rPr>
                  <m:sty m:val="p"/>
                </m:rPr>
                <m:t>+</m:t>
              </m:r>
              <m:r>
                <m:t>n</m:t>
              </m:r>
              <m:r>
                <m:rPr>
                  <m:sty m:val="p"/>
                </m:rPr>
                <m:t>−</m:t>
              </m:r>
              <m:r>
                <m:t>x</m:t>
              </m:r>
            </m:e>
          </m:d>
          <m:r>
            <m:rPr>
              <m:sty m:val="p"/>
            </m:rPr>
            <m:t>.</m:t>
          </m:r>
        </m:oMath>
      </m:oMathPara>
    </w:p>
    <w:p>
      <w:pPr>
        <w:pStyle w:val="FirstParagraph"/>
      </w:pPr>
      <w:hyperlink r:id="rId48">
        <w:r>
          <w:rPr>
            <w:rStyle w:val="Hyperlink"/>
          </w:rPr>
          <w:t xml:space="preserve">[12]</w:t>
        </w:r>
      </w:hyperlink>
    </w:p>
    <w:p>
      <w:pPr>
        <w:pStyle w:val="BodyText"/>
      </w:pPr>
      <w:r>
        <w:t xml:space="preserve">A common objective prior for a binomial proportion is the</w:t>
      </w:r>
      <w:r>
        <w:t xml:space="preserve"> </w:t>
      </w:r>
      <w:r>
        <w:rPr>
          <w:b/>
          <w:bCs/>
        </w:rPr>
        <w:t xml:space="preserve">Jeffreys prior</w:t>
      </w:r>
      <w:r>
        <w:t xml:space="preserve">, which yields:</w:t>
      </w:r>
    </w:p>
    <w:p>
      <w:pPr>
        <w:pStyle w:val="BodyText"/>
      </w:pPr>
      <m:oMathPara>
        <m:oMathParaPr>
          <m:jc m:val="center"/>
        </m:oMathParaPr>
        <m:oMath>
          <m:r>
            <m:t>p</m:t>
          </m:r>
          <m:r>
            <m:rPr>
              <m:sty m:val="p"/>
            </m:rPr>
            <m:t>∼</m:t>
          </m:r>
          <m:r>
            <m:rPr>
              <m:sty m:val="p"/>
            </m:rPr>
            <m:t>B</m:t>
          </m:r>
          <m:r>
            <m:rPr>
              <m:sty m:val="p"/>
            </m:rPr>
            <m:t>e</m:t>
          </m:r>
          <m:r>
            <m:rPr>
              <m:sty m:val="p"/>
            </m:rPr>
            <m:t>t</m:t>
          </m:r>
          <m:r>
            <m:rPr>
              <m:sty m:val="p"/>
            </m:rPr>
            <m:t>a</m:t>
          </m:r>
          <m:d>
            <m:dPr>
              <m:begChr m:val="("/>
              <m:sepChr m:val=""/>
              <m:endChr m:val=")"/>
              <m:grow/>
            </m:dPr>
            <m:e>
              <m:f>
                <m:fPr>
                  <m:type m:val="lin"/>
                </m:fPr>
                <m:num>
                  <m:r>
                    <m:t>1</m:t>
                  </m:r>
                </m:num>
                <m:den>
                  <m:r>
                    <m:t>2</m:t>
                  </m:r>
                </m:den>
              </m:f>
              <m:r>
                <m:rPr>
                  <m:sty m:val="p"/>
                </m:rPr>
                <m:t>,</m:t>
              </m:r>
              <m:f>
                <m:fPr>
                  <m:type m:val="lin"/>
                </m:fPr>
                <m:num>
                  <m:r>
                    <m:t>1</m:t>
                  </m:r>
                </m:num>
                <m:den>
                  <m:r>
                    <m:t>2</m:t>
                  </m:r>
                </m:den>
              </m:f>
            </m:e>
          </m:d>
          <m:r>
            <m:rPr>
              <m:sty m:val="p"/>
            </m:rPr>
            <m:t>,</m:t>
          </m:r>
          <m:r>
            <m:t> </m:t>
          </m:r>
          <m:r>
            <m:t>p</m:t>
          </m:r>
          <m:r>
            <m:rPr>
              <m:sty m:val="p"/>
            </m:rPr>
            <m:t>∣</m:t>
          </m:r>
          <m:r>
            <m:t>x</m:t>
          </m:r>
          <m:r>
            <m:rPr>
              <m:sty m:val="p"/>
            </m:rPr>
            <m:t>∼</m:t>
          </m:r>
          <m:r>
            <m:rPr>
              <m:sty m:val="p"/>
            </m:rPr>
            <m:t>B</m:t>
          </m:r>
          <m:r>
            <m:rPr>
              <m:sty m:val="p"/>
            </m:rPr>
            <m:t>e</m:t>
          </m:r>
          <m:r>
            <m:rPr>
              <m:sty m:val="p"/>
            </m:rPr>
            <m:t>t</m:t>
          </m:r>
          <m:r>
            <m:rPr>
              <m:sty m:val="p"/>
            </m:rPr>
            <m:t>a</m:t>
          </m:r>
          <m:d>
            <m:dPr>
              <m:begChr m:val="("/>
              <m:sepChr m:val=""/>
              <m:endChr m:val=")"/>
              <m:grow/>
            </m:dPr>
            <m:e>
              <m:r>
                <m:t>x</m:t>
              </m:r>
              <m:r>
                <m:rPr>
                  <m:sty m:val="p"/>
                </m:rPr>
                <m:t>+</m:t>
              </m:r>
              <m:f>
                <m:fPr>
                  <m:type m:val="lin"/>
                </m:fPr>
                <m:num>
                  <m:r>
                    <m:t>1</m:t>
                  </m:r>
                </m:num>
                <m:den>
                  <m:r>
                    <m:t>2</m:t>
                  </m:r>
                </m:den>
              </m:f>
              <m:r>
                <m:rPr>
                  <m:sty m:val="p"/>
                </m:rPr>
                <m:t>,</m:t>
              </m:r>
              <m:r>
                <m:t> </m:t>
              </m:r>
              <m:r>
                <m:t>n</m:t>
              </m:r>
              <m:r>
                <m:rPr>
                  <m:sty m:val="p"/>
                </m:rPr>
                <m:t>−</m:t>
              </m:r>
              <m:r>
                <m:t>x</m:t>
              </m:r>
              <m:r>
                <m:rPr>
                  <m:sty m:val="p"/>
                </m:rPr>
                <m:t>+</m:t>
              </m:r>
              <m:f>
                <m:fPr>
                  <m:type m:val="lin"/>
                </m:fPr>
                <m:num>
                  <m:r>
                    <m:t>1</m:t>
                  </m:r>
                </m:num>
                <m:den>
                  <m:r>
                    <m:t>2</m:t>
                  </m:r>
                </m:den>
              </m:f>
            </m:e>
          </m:d>
          <m:r>
            <m:rPr>
              <m:sty m:val="p"/>
            </m:rPr>
            <m:t>.</m:t>
          </m:r>
        </m:oMath>
      </m:oMathPara>
    </w:p>
    <w:p>
      <w:pPr>
        <w:pStyle w:val="FirstParagraph"/>
      </w:pPr>
      <w:hyperlink r:id="rId49">
        <w:r>
          <w:rPr>
            <w:rStyle w:val="Hyperlink"/>
          </w:rPr>
          <w:t xml:space="preserve">[13]</w:t>
        </w:r>
      </w:hyperlink>
    </w:p>
    <w:p>
      <w:pPr>
        <w:pStyle w:val="BodyText"/>
      </w:pPr>
      <w:r>
        <w:t xml:space="preserve">Planning recommendation (actionable and conservative):</w:t>
      </w:r>
    </w:p>
    <w:p>
      <w:pPr>
        <w:pStyle w:val="BodyText"/>
      </w:pPr>
      <w:r>
        <w:t xml:space="preserve">Define a planning probability</w:t>
      </w:r>
      <w:r>
        <w:t xml:space="preserve"> </w:t>
      </w:r>
      <m:oMath>
        <m:sSub>
          <m:e>
            <m:r>
              <m:t>p</m:t>
            </m:r>
          </m:e>
          <m:sub>
            <m:r>
              <m:rPr>
                <m:sty m:val="p"/>
              </m:rPr>
              <m:t>p</m:t>
            </m:r>
            <m:r>
              <m:rPr>
                <m:sty m:val="p"/>
              </m:rPr>
              <m:t>l</m:t>
            </m:r>
            <m:r>
              <m:rPr>
                <m:sty m:val="p"/>
              </m:rPr>
              <m:t>a</m:t>
            </m:r>
            <m:r>
              <m:rPr>
                <m:sty m:val="p"/>
              </m:rPr>
              <m:t>n</m:t>
            </m:r>
          </m:sub>
        </m:sSub>
      </m:oMath>
      <w:r>
        <w:t xml:space="preserve"> </w:t>
      </w:r>
      <w:r>
        <w:t xml:space="preserve">as a lower credible bound (e.g., 5th percentile of the posterior):</w:t>
      </w:r>
    </w:p>
    <w:p>
      <w:pPr>
        <w:pStyle w:val="BodyText"/>
      </w:pPr>
      <m:oMathPara>
        <m:oMathParaPr>
          <m:jc m:val="center"/>
        </m:oMathParaPr>
        <m:oMath>
          <m:sSub>
            <m:e>
              <m:r>
                <m:t>p</m:t>
              </m:r>
            </m:e>
            <m:sub>
              <m:r>
                <m:rPr>
                  <m:sty m:val="p"/>
                </m:rPr>
                <m:t>p</m:t>
              </m:r>
              <m:r>
                <m:rPr>
                  <m:sty m:val="p"/>
                </m:rPr>
                <m:t>l</m:t>
              </m:r>
              <m:r>
                <m:rPr>
                  <m:sty m:val="p"/>
                </m:rPr>
                <m:t>a</m:t>
              </m:r>
              <m:r>
                <m:rPr>
                  <m:sty m:val="p"/>
                </m:rPr>
                <m:t>n</m:t>
              </m:r>
            </m:sub>
          </m:sSub>
          <m:r>
            <m:rPr>
              <m:sty m:val="p"/>
            </m:rPr>
            <m:t>=</m:t>
          </m:r>
          <m:sSub>
            <m:e>
              <m:r>
                <m:rPr>
                  <m:sty m:val="p"/>
                </m:rPr>
                <m:t>B</m:t>
              </m:r>
              <m:r>
                <m:rPr>
                  <m:sty m:val="p"/>
                </m:rPr>
                <m:t>e</m:t>
              </m:r>
              <m:r>
                <m:rPr>
                  <m:sty m:val="p"/>
                </m:rPr>
                <m:t>t</m:t>
              </m:r>
              <m:r>
                <m:rPr>
                  <m:sty m:val="p"/>
                </m:rPr>
                <m:t>a</m:t>
              </m:r>
              <m:r>
                <m:rPr>
                  <m:sty m:val="p"/>
                </m:rPr>
                <m:t>I</m:t>
              </m:r>
              <m:r>
                <m:rPr>
                  <m:sty m:val="p"/>
                </m:rPr>
                <m:t>n</m:t>
              </m:r>
              <m:r>
                <m:rPr>
                  <m:sty m:val="p"/>
                </m:rPr>
                <m:t>v</m:t>
              </m:r>
              <m:r>
                <m:rPr>
                  <m:sty m:val="p"/>
                </m:rPr>
                <m:t>C</m:t>
              </m:r>
              <m:r>
                <m:rPr>
                  <m:sty m:val="p"/>
                </m:rPr>
                <m:t>D</m:t>
              </m:r>
              <m:r>
                <m:rPr>
                  <m:sty m:val="p"/>
                </m:rPr>
                <m:t>F</m:t>
              </m:r>
            </m:e>
            <m:sub>
              <m:r>
                <m:t>p</m:t>
              </m:r>
              <m:r>
                <m:rPr>
                  <m:sty m:val="p"/>
                </m:rPr>
                <m:t>∣</m:t>
              </m:r>
              <m:r>
                <m:t>x</m:t>
              </m:r>
            </m:sub>
          </m:sSub>
          <m:d>
            <m:dPr>
              <m:begChr m:val="("/>
              <m:sepChr m:val=""/>
              <m:endChr m:val=")"/>
              <m:grow/>
            </m:dPr>
            <m:e>
              <m:r>
                <m:t>0.05</m:t>
              </m:r>
            </m:e>
          </m:d>
          <m:r>
            <m:rPr>
              <m:sty m:val="p"/>
            </m:rPr>
            <m:t>.</m:t>
          </m:r>
        </m:oMath>
      </m:oMathPara>
    </w:p>
    <w:p>
      <w:pPr>
        <w:pStyle w:val="FirstParagraph"/>
      </w:pPr>
      <w:r>
        <w:t xml:space="preserve">Then compute ruin and hitting probabilities using</w:t>
      </w:r>
      <w:r>
        <w:t xml:space="preserve"> </w:t>
      </w:r>
      <m:oMath>
        <m:sSub>
          <m:e>
            <m:r>
              <m:t>p</m:t>
            </m:r>
          </m:e>
          <m:sub>
            <m:r>
              <m:rPr>
                <m:sty m:val="p"/>
              </m:rPr>
              <m:t>p</m:t>
            </m:r>
            <m:r>
              <m:rPr>
                <m:sty m:val="p"/>
              </m:rPr>
              <m:t>l</m:t>
            </m:r>
            <m:r>
              <m:rPr>
                <m:sty m:val="p"/>
              </m:rPr>
              <m:t>a</m:t>
            </m:r>
            <m:r>
              <m:rPr>
                <m:sty m:val="p"/>
              </m:rPr>
              <m:t>n</m:t>
            </m:r>
          </m:sub>
        </m:sSub>
      </m:oMath>
      <w:r>
        <w:t xml:space="preserve">, not the posterior mean. This forces “prove you have edge” before the bot takes large risk.</w:t>
      </w:r>
    </w:p>
    <w:p>
      <w:pPr>
        <w:pStyle w:val="BodyText"/>
      </w:pPr>
      <w:r>
        <w:t xml:space="preserve">Numeric examples (95% equal-tailed credible intervals; computed from the beta posterior):</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Trials</w:t>
            </w:r>
            <w:r>
              <w:t xml:space="preserve"> </w:t>
            </w:r>
            <m:oMath>
              <m:r>
                <m:t>n</m:t>
              </m:r>
            </m:oMath>
          </w:p>
        </w:tc>
        <w:tc>
          <w:tcPr/>
          <w:p>
            <w:pPr>
              <w:pStyle w:val="Compact"/>
              <w:jc w:val="right"/>
            </w:pPr>
            <w:r>
              <w:t xml:space="preserve">Wins</w:t>
            </w:r>
            <w:r>
              <w:t xml:space="preserve"> </w:t>
            </w:r>
            <m:oMath>
              <m:r>
                <m:t>x</m:t>
              </m:r>
            </m:oMath>
          </w:p>
        </w:tc>
        <w:tc>
          <w:tcPr/>
          <w:p>
            <w:pPr>
              <w:pStyle w:val="Compact"/>
              <w:jc w:val="right"/>
            </w:pPr>
            <w:r>
              <w:t xml:space="preserve">Observed win %</w:t>
            </w:r>
          </w:p>
        </w:tc>
        <w:tc>
          <w:tcPr/>
          <w:p>
            <w:pPr>
              <w:pStyle w:val="Compact"/>
            </w:pPr>
            <w:r>
              <w:t xml:space="preserve">Prior</w:t>
            </w:r>
          </w:p>
        </w:tc>
        <w:tc>
          <w:tcPr/>
          <w:p>
            <w:pPr>
              <w:pStyle w:val="Compact"/>
              <w:jc w:val="right"/>
            </w:pPr>
            <w:r>
              <w:t xml:space="preserve">Posterior mean</w:t>
            </w:r>
          </w:p>
        </w:tc>
        <w:tc>
          <w:tcPr/>
          <w:p>
            <w:pPr>
              <w:pStyle w:val="Compact"/>
              <w:jc w:val="right"/>
            </w:pPr>
            <w:r>
              <w:t xml:space="preserve">95% CI low</w:t>
            </w:r>
          </w:p>
        </w:tc>
        <w:tc>
          <w:tcPr/>
          <w:p>
            <w:pPr>
              <w:pStyle w:val="Compact"/>
              <w:jc w:val="right"/>
            </w:pPr>
            <w:r>
              <w:t xml:space="preserve">95% CI high</w:t>
            </w:r>
          </w:p>
        </w:tc>
        <w:tc>
          <w:tcPr/>
          <w:p>
            <w:pPr>
              <w:pStyle w:val="Compact"/>
              <w:jc w:val="right"/>
            </w:pPr>
            <m:oMath>
              <m:r>
                <m:t>P</m:t>
              </m:r>
              <m:d>
                <m:dPr>
                  <m:begChr m:val="("/>
                  <m:sepChr m:val=""/>
                  <m:endChr m:val=")"/>
                  <m:grow/>
                </m:dPr>
                <m:e>
                  <m:r>
                    <m:t>p</m:t>
                  </m:r>
                  <m:r>
                    <m:rPr>
                      <m:sty m:val="p"/>
                    </m:rPr>
                    <m:t>&gt;</m:t>
                  </m:r>
                  <m:r>
                    <m:t>0.5</m:t>
                  </m:r>
                </m:e>
              </m:d>
            </m:oMath>
          </w:p>
        </w:tc>
      </w:tr>
      <w:tr>
        <w:tc>
          <w:tcPr/>
          <w:p>
            <w:pPr>
              <w:pStyle w:val="Compact"/>
              <w:jc w:val="right"/>
            </w:pPr>
            <w:r>
              <w:t xml:space="preserve">50</w:t>
            </w:r>
          </w:p>
        </w:tc>
        <w:tc>
          <w:tcPr/>
          <w:p>
            <w:pPr>
              <w:pStyle w:val="Compact"/>
              <w:jc w:val="right"/>
            </w:pPr>
            <w:r>
              <w:t xml:space="preserve">28</w:t>
            </w:r>
          </w:p>
        </w:tc>
        <w:tc>
          <w:tcPr/>
          <w:p>
            <w:pPr>
              <w:pStyle w:val="Compact"/>
              <w:jc w:val="right"/>
            </w:pPr>
            <w:r>
              <w:t xml:space="preserve">56.00%</w:t>
            </w:r>
          </w:p>
        </w:tc>
        <w:tc>
          <w:tcPr/>
          <w:p>
            <w:pPr>
              <w:pStyle w:val="Compact"/>
            </w:pPr>
            <w:r>
              <w:t xml:space="preserve">Jeffreys Beta(0.5,0.5)</w:t>
            </w:r>
          </w:p>
        </w:tc>
        <w:tc>
          <w:tcPr/>
          <w:p>
            <w:pPr>
              <w:pStyle w:val="Compact"/>
              <w:jc w:val="right"/>
            </w:pPr>
            <w:r>
              <w:t xml:space="preserve">0.5588</w:t>
            </w:r>
          </w:p>
        </w:tc>
        <w:tc>
          <w:tcPr/>
          <w:p>
            <w:pPr>
              <w:pStyle w:val="Compact"/>
              <w:jc w:val="right"/>
            </w:pPr>
            <w:r>
              <w:t xml:space="preserve">0.4223</w:t>
            </w:r>
          </w:p>
        </w:tc>
        <w:tc>
          <w:tcPr/>
          <w:p>
            <w:pPr>
              <w:pStyle w:val="Compact"/>
              <w:jc w:val="right"/>
            </w:pPr>
            <w:r>
              <w:t xml:space="preserve">0.6910</w:t>
            </w:r>
          </w:p>
        </w:tc>
        <w:tc>
          <w:tcPr/>
          <w:p>
            <w:pPr>
              <w:pStyle w:val="Compact"/>
              <w:jc w:val="right"/>
            </w:pPr>
            <w:r>
              <w:t xml:space="preserve">0.8018</w:t>
            </w:r>
          </w:p>
        </w:tc>
      </w:tr>
      <w:tr>
        <w:tc>
          <w:tcPr/>
          <w:p>
            <w:pPr>
              <w:pStyle w:val="Compact"/>
              <w:jc w:val="right"/>
            </w:pPr>
            <w:r>
              <w:t xml:space="preserve">50</w:t>
            </w:r>
          </w:p>
        </w:tc>
        <w:tc>
          <w:tcPr/>
          <w:p>
            <w:pPr>
              <w:pStyle w:val="Compact"/>
              <w:jc w:val="right"/>
            </w:pPr>
            <w:r>
              <w:t xml:space="preserve">28</w:t>
            </w:r>
          </w:p>
        </w:tc>
        <w:tc>
          <w:tcPr/>
          <w:p>
            <w:pPr>
              <w:pStyle w:val="Compact"/>
              <w:jc w:val="right"/>
            </w:pPr>
            <w:r>
              <w:t xml:space="preserve">56.00%</w:t>
            </w:r>
          </w:p>
        </w:tc>
        <w:tc>
          <w:tcPr/>
          <w:p>
            <w:pPr>
              <w:pStyle w:val="Compact"/>
            </w:pPr>
            <w:r>
              <w:t xml:space="preserve">Weak Beta(2,2)</w:t>
            </w:r>
          </w:p>
        </w:tc>
        <w:tc>
          <w:tcPr/>
          <w:p>
            <w:pPr>
              <w:pStyle w:val="Compact"/>
              <w:jc w:val="right"/>
            </w:pPr>
            <w:r>
              <w:t xml:space="preserve">0.5517</w:t>
            </w:r>
          </w:p>
        </w:tc>
        <w:tc>
          <w:tcPr/>
          <w:p>
            <w:pPr>
              <w:pStyle w:val="Compact"/>
              <w:jc w:val="right"/>
            </w:pPr>
            <w:r>
              <w:t xml:space="preserve">0.4228</w:t>
            </w:r>
          </w:p>
        </w:tc>
        <w:tc>
          <w:tcPr/>
          <w:p>
            <w:pPr>
              <w:pStyle w:val="Compact"/>
              <w:jc w:val="right"/>
            </w:pPr>
            <w:r>
              <w:t xml:space="preserve">0.6844</w:t>
            </w:r>
          </w:p>
        </w:tc>
        <w:tc>
          <w:tcPr/>
          <w:p>
            <w:pPr>
              <w:pStyle w:val="Compact"/>
              <w:jc w:val="right"/>
            </w:pPr>
            <w:r>
              <w:t xml:space="preserve">0.7949</w:t>
            </w:r>
          </w:p>
        </w:tc>
      </w:tr>
      <w:tr>
        <w:tc>
          <w:tcPr/>
          <w:p>
            <w:pPr>
              <w:pStyle w:val="Compact"/>
              <w:jc w:val="right"/>
            </w:pPr>
            <w:r>
              <w:t xml:space="preserve">200</w:t>
            </w:r>
          </w:p>
        </w:tc>
        <w:tc>
          <w:tcPr/>
          <w:p>
            <w:pPr>
              <w:pStyle w:val="Compact"/>
              <w:jc w:val="right"/>
            </w:pPr>
            <w:r>
              <w:t xml:space="preserve">110</w:t>
            </w:r>
          </w:p>
        </w:tc>
        <w:tc>
          <w:tcPr/>
          <w:p>
            <w:pPr>
              <w:pStyle w:val="Compact"/>
              <w:jc w:val="right"/>
            </w:pPr>
            <w:r>
              <w:t xml:space="preserve">55.00%</w:t>
            </w:r>
          </w:p>
        </w:tc>
        <w:tc>
          <w:tcPr/>
          <w:p>
            <w:pPr>
              <w:pStyle w:val="Compact"/>
            </w:pPr>
            <w:r>
              <w:t xml:space="preserve">Jeffreys Beta(0.5,0.5)</w:t>
            </w:r>
          </w:p>
        </w:tc>
        <w:tc>
          <w:tcPr/>
          <w:p>
            <w:pPr>
              <w:pStyle w:val="Compact"/>
              <w:jc w:val="right"/>
            </w:pPr>
            <w:r>
              <w:t xml:space="preserve">0.5500</w:t>
            </w:r>
          </w:p>
        </w:tc>
        <w:tc>
          <w:tcPr/>
          <w:p>
            <w:pPr>
              <w:pStyle w:val="Compact"/>
              <w:jc w:val="right"/>
            </w:pPr>
            <w:r>
              <w:t xml:space="preserve">0.4807</w:t>
            </w:r>
          </w:p>
        </w:tc>
        <w:tc>
          <w:tcPr/>
          <w:p>
            <w:pPr>
              <w:pStyle w:val="Compact"/>
              <w:jc w:val="right"/>
            </w:pPr>
            <w:r>
              <w:t xml:space="preserve">0.6178</w:t>
            </w:r>
          </w:p>
        </w:tc>
        <w:tc>
          <w:tcPr/>
          <w:p>
            <w:pPr>
              <w:pStyle w:val="Compact"/>
              <w:jc w:val="right"/>
            </w:pPr>
            <w:r>
              <w:t xml:space="preserve">0.9214</w:t>
            </w:r>
          </w:p>
        </w:tc>
      </w:tr>
      <w:tr>
        <w:tc>
          <w:tcPr/>
          <w:p>
            <w:pPr>
              <w:pStyle w:val="Compact"/>
              <w:jc w:val="right"/>
            </w:pPr>
            <w:r>
              <w:t xml:space="preserve">200</w:t>
            </w:r>
          </w:p>
        </w:tc>
        <w:tc>
          <w:tcPr/>
          <w:p>
            <w:pPr>
              <w:pStyle w:val="Compact"/>
              <w:jc w:val="right"/>
            </w:pPr>
            <w:r>
              <w:t xml:space="preserve">110</w:t>
            </w:r>
          </w:p>
        </w:tc>
        <w:tc>
          <w:tcPr/>
          <w:p>
            <w:pPr>
              <w:pStyle w:val="Compact"/>
              <w:jc w:val="right"/>
            </w:pPr>
            <w:r>
              <w:t xml:space="preserve">55.00%</w:t>
            </w:r>
          </w:p>
        </w:tc>
        <w:tc>
          <w:tcPr/>
          <w:p>
            <w:pPr>
              <w:pStyle w:val="Compact"/>
            </w:pPr>
            <w:r>
              <w:t xml:space="preserve">Weak Beta(2,2)</w:t>
            </w:r>
          </w:p>
        </w:tc>
        <w:tc>
          <w:tcPr/>
          <w:p>
            <w:pPr>
              <w:pStyle w:val="Compact"/>
              <w:jc w:val="right"/>
            </w:pPr>
            <w:r>
              <w:t xml:space="preserve">0.5495</w:t>
            </w:r>
          </w:p>
        </w:tc>
        <w:tc>
          <w:tcPr/>
          <w:p>
            <w:pPr>
              <w:pStyle w:val="Compact"/>
              <w:jc w:val="right"/>
            </w:pPr>
            <w:r>
              <w:t xml:space="preserve">0.4805</w:t>
            </w:r>
          </w:p>
        </w:tc>
        <w:tc>
          <w:tcPr/>
          <w:p>
            <w:pPr>
              <w:pStyle w:val="Compact"/>
              <w:jc w:val="right"/>
            </w:pPr>
            <w:r>
              <w:t xml:space="preserve">0.6166</w:t>
            </w:r>
          </w:p>
        </w:tc>
        <w:tc>
          <w:tcPr/>
          <w:p>
            <w:pPr>
              <w:pStyle w:val="Compact"/>
              <w:jc w:val="right"/>
            </w:pPr>
            <w:r>
              <w:t xml:space="preserve">0.9199</w:t>
            </w:r>
          </w:p>
        </w:tc>
      </w:tr>
      <w:tr>
        <w:tc>
          <w:tcPr/>
          <w:p>
            <w:pPr>
              <w:pStyle w:val="Compact"/>
              <w:jc w:val="right"/>
            </w:pPr>
            <w:r>
              <w:t xml:space="preserve">1000</w:t>
            </w:r>
          </w:p>
        </w:tc>
        <w:tc>
          <w:tcPr/>
          <w:p>
            <w:pPr>
              <w:pStyle w:val="Compact"/>
              <w:jc w:val="right"/>
            </w:pPr>
            <w:r>
              <w:t xml:space="preserve">550</w:t>
            </w:r>
          </w:p>
        </w:tc>
        <w:tc>
          <w:tcPr/>
          <w:p>
            <w:pPr>
              <w:pStyle w:val="Compact"/>
              <w:jc w:val="right"/>
            </w:pPr>
            <w:r>
              <w:t xml:space="preserve">55.00%</w:t>
            </w:r>
          </w:p>
        </w:tc>
        <w:tc>
          <w:tcPr/>
          <w:p>
            <w:pPr>
              <w:pStyle w:val="Compact"/>
            </w:pPr>
            <w:r>
              <w:t xml:space="preserve">Jeffreys Beta(0.5,0.5)</w:t>
            </w:r>
          </w:p>
        </w:tc>
        <w:tc>
          <w:tcPr/>
          <w:p>
            <w:pPr>
              <w:pStyle w:val="Compact"/>
              <w:jc w:val="right"/>
            </w:pPr>
            <w:r>
              <w:t xml:space="preserve">0.5500</w:t>
            </w:r>
          </w:p>
        </w:tc>
        <w:tc>
          <w:tcPr/>
          <w:p>
            <w:pPr>
              <w:pStyle w:val="Compact"/>
              <w:jc w:val="right"/>
            </w:pPr>
            <w:r>
              <w:t xml:space="preserve">0.5191</w:t>
            </w:r>
          </w:p>
        </w:tc>
        <w:tc>
          <w:tcPr/>
          <w:p>
            <w:pPr>
              <w:pStyle w:val="Compact"/>
              <w:jc w:val="right"/>
            </w:pPr>
            <w:r>
              <w:t xml:space="preserve">0.5807</w:t>
            </w:r>
          </w:p>
        </w:tc>
        <w:tc>
          <w:tcPr/>
          <w:p>
            <w:pPr>
              <w:pStyle w:val="Compact"/>
              <w:jc w:val="right"/>
            </w:pPr>
            <w:r>
              <w:t xml:space="preserve">0.9992</w:t>
            </w:r>
          </w:p>
        </w:tc>
      </w:tr>
      <w:tr>
        <w:tc>
          <w:tcPr/>
          <w:p>
            <w:pPr>
              <w:pStyle w:val="Compact"/>
              <w:jc w:val="right"/>
            </w:pPr>
            <w:r>
              <w:t xml:space="preserve">1000</w:t>
            </w:r>
          </w:p>
        </w:tc>
        <w:tc>
          <w:tcPr/>
          <w:p>
            <w:pPr>
              <w:pStyle w:val="Compact"/>
              <w:jc w:val="right"/>
            </w:pPr>
            <w:r>
              <w:t xml:space="preserve">550</w:t>
            </w:r>
          </w:p>
        </w:tc>
        <w:tc>
          <w:tcPr/>
          <w:p>
            <w:pPr>
              <w:pStyle w:val="Compact"/>
              <w:jc w:val="right"/>
            </w:pPr>
            <w:r>
              <w:t xml:space="preserve">55.00%</w:t>
            </w:r>
          </w:p>
        </w:tc>
        <w:tc>
          <w:tcPr/>
          <w:p>
            <w:pPr>
              <w:pStyle w:val="Compact"/>
            </w:pPr>
            <w:r>
              <w:t xml:space="preserve">Weak Beta(2,2)</w:t>
            </w:r>
          </w:p>
        </w:tc>
        <w:tc>
          <w:tcPr/>
          <w:p>
            <w:pPr>
              <w:pStyle w:val="Compact"/>
              <w:jc w:val="right"/>
            </w:pPr>
            <w:r>
              <w:t xml:space="preserve">0.5499</w:t>
            </w:r>
          </w:p>
        </w:tc>
        <w:tc>
          <w:tcPr/>
          <w:p>
            <w:pPr>
              <w:pStyle w:val="Compact"/>
              <w:jc w:val="right"/>
            </w:pPr>
            <w:r>
              <w:t xml:space="preserve">0.5190</w:t>
            </w:r>
          </w:p>
        </w:tc>
        <w:tc>
          <w:tcPr/>
          <w:p>
            <w:pPr>
              <w:pStyle w:val="Compact"/>
              <w:jc w:val="right"/>
            </w:pPr>
            <w:r>
              <w:t xml:space="preserve">0.5805</w:t>
            </w:r>
          </w:p>
        </w:tc>
        <w:tc>
          <w:tcPr/>
          <w:p>
            <w:pPr>
              <w:pStyle w:val="Compact"/>
              <w:jc w:val="right"/>
            </w:pPr>
            <w:r>
              <w:t xml:space="preserve">0.9992</w:t>
            </w:r>
          </w:p>
        </w:tc>
      </w:tr>
    </w:tbl>
    <w:p>
      <w:pPr>
        <w:pStyle w:val="BodyText"/>
      </w:pPr>
      <w:r>
        <w:t xml:space="preserve">Key takeaway: even a 55% observed win rate on 200 trials does not yield a 95% lower bound above 0.5; the conservative</w:t>
      </w:r>
      <w:r>
        <w:t xml:space="preserve"> </w:t>
      </w:r>
      <m:oMath>
        <m:sSub>
          <m:e>
            <m:r>
              <m:t>p</m:t>
            </m:r>
          </m:e>
          <m:sub>
            <m:r>
              <m:rPr>
                <m:sty m:val="p"/>
              </m:rPr>
              <m:t>p</m:t>
            </m:r>
            <m:r>
              <m:rPr>
                <m:sty m:val="p"/>
              </m:rPr>
              <m:t>l</m:t>
            </m:r>
            <m:r>
              <m:rPr>
                <m:sty m:val="p"/>
              </m:rPr>
              <m:t>a</m:t>
            </m:r>
            <m:r>
              <m:rPr>
                <m:sty m:val="p"/>
              </m:rPr>
              <m:t>n</m:t>
            </m:r>
          </m:sub>
        </m:sSub>
      </m:oMath>
      <w:r>
        <w:t xml:space="preserve"> </w:t>
      </w:r>
      <w:r>
        <w:t xml:space="preserve">would be ~0.48, which is “negative drift” under the fixed-step model. Your architecture should treat that as “no verified edge yet,” despite an optimistic backtest mean.</w:t>
      </w:r>
      <w:r>
        <w:t xml:space="preserve"> </w:t>
      </w:r>
      <w:hyperlink r:id="rId49">
        <w:r>
          <w:rPr>
            <w:rStyle w:val="Hyperlink"/>
          </w:rPr>
          <w:t xml:space="preserve">[14]</w:t>
        </w:r>
      </w:hyperlink>
    </w:p>
    <w:p>
      <w:pPr>
        <w:pStyle w:val="BodyText"/>
      </w:pPr>
      <w:r>
        <w:t xml:space="preserve">This interacts directly with backtest overfitting: the probability that a backtest is overfit rises with the number of tried configurations, and uncorrected backtests can inflate apparent performance.</w:t>
      </w:r>
      <w:r>
        <w:t xml:space="preserve"> </w:t>
      </w:r>
      <w:hyperlink r:id="rId50">
        <w:r>
          <w:rPr>
            <w:rStyle w:val="Hyperlink"/>
          </w:rPr>
          <w:t xml:space="preserve">[15]</w:t>
        </w:r>
      </w:hyperlink>
    </w:p>
    <w:bookmarkEnd w:id="51"/>
    <w:bookmarkEnd w:id="52"/>
    <w:bookmarkStart w:id="65" w:name="practical-limits-and-bot-risk-controls"/>
    <w:p>
      <w:pPr>
        <w:pStyle w:val="Heading2"/>
      </w:pPr>
      <w:r>
        <w:t xml:space="preserve">Practical limits and bot risk controls</w:t>
      </w:r>
    </w:p>
    <w:bookmarkStart w:id="59" w:name="Xf52abf704a9db1f8c5ae0bfde76b50d6c20febe"/>
    <w:p>
      <w:pPr>
        <w:pStyle w:val="Heading3"/>
      </w:pPr>
      <w:r>
        <w:t xml:space="preserve">Practical limits that break the idealized</w:t>
      </w:r>
      <w:r>
        <w:t xml:space="preserve"> </w:t>
      </w:r>
      <m:oMath>
        <m:r>
          <m:t>p</m:t>
        </m:r>
      </m:oMath>
      <w:r>
        <w:t xml:space="preserve"> </w:t>
      </w:r>
      <w:r>
        <w:t xml:space="preserve">model</w:t>
      </w:r>
    </w:p>
    <w:p>
      <w:pPr>
        <w:pStyle w:val="FirstParagraph"/>
      </w:pPr>
      <w:r>
        <w:t xml:space="preserve">Transaction costs and fees: sportsbooks embed margin in prices (“vig”/overround), while exchanges/prediction markets often charge explicit fees or commission on profit. This reduces effective edge (lowers</w:t>
      </w:r>
      <w:r>
        <w:t xml:space="preserve"> </w:t>
      </w:r>
      <m:oMath>
        <m:r>
          <m:t>p</m:t>
        </m:r>
      </m:oMath>
      <w:r>
        <w:t xml:space="preserve"> </w:t>
      </w:r>
      <w:r>
        <w:t xml:space="preserve">or reduces payout odds</w:t>
      </w:r>
      <w:r>
        <w:t xml:space="preserve"> </w:t>
      </w:r>
      <m:oMath>
        <m:r>
          <m:t>b</m:t>
        </m:r>
      </m:oMath>
      <w:r>
        <w:t xml:space="preserve">) and must be modeled explicitly. Examples of explicit fee structures in execution venues include commission on net winnings and fee schedules.</w:t>
      </w:r>
      <w:r>
        <w:t xml:space="preserve"> </w:t>
      </w:r>
      <w:hyperlink r:id="rId53">
        <w:r>
          <w:rPr>
            <w:rStyle w:val="Hyperlink"/>
          </w:rPr>
          <w:t xml:space="preserve">[16]</w:t>
        </w:r>
      </w:hyperlink>
    </w:p>
    <w:p>
      <w:pPr>
        <w:pStyle w:val="BodyText"/>
      </w:pPr>
      <w:r>
        <w:t xml:space="preserve">Slippage and price movement: if the agent decides at time</w:t>
      </w:r>
      <w:r>
        <w:t xml:space="preserve"> </w:t>
      </w:r>
      <m:oMath>
        <m:r>
          <m:t>t</m:t>
        </m:r>
      </m:oMath>
      <w:r>
        <w:t xml:space="preserve"> </w:t>
      </w:r>
      <w:r>
        <w:t xml:space="preserve">but executes at</w:t>
      </w:r>
      <w:r>
        <w:t xml:space="preserve"> </w:t>
      </w:r>
      <m:oMath>
        <m:r>
          <m:t>t</m:t>
        </m:r>
        <m:r>
          <m:rPr>
            <m:sty m:val="p"/>
          </m:rPr>
          <m:t>+</m:t>
        </m:r>
        <m:r>
          <m:t>Δ</m:t>
        </m:r>
      </m:oMath>
      <w:r>
        <w:t xml:space="preserve">, the line may move, turning a positive-EV signal into negative-EV. This is amplified live/in-play and mitigated pregame by limiting decision windows and by using limit orders (where supported). Evidence of platform-side delays (e.g., imposed in-play delay) matters operationally.</w:t>
      </w:r>
      <w:r>
        <w:t xml:space="preserve"> </w:t>
      </w:r>
      <w:hyperlink r:id="rId54">
        <w:r>
          <w:rPr>
            <w:rStyle w:val="Hyperlink"/>
          </w:rPr>
          <w:t xml:space="preserve">[17]</w:t>
        </w:r>
      </w:hyperlink>
    </w:p>
    <w:p>
      <w:pPr>
        <w:pStyle w:val="BodyText"/>
      </w:pPr>
      <w:r>
        <w:t xml:space="preserve">Latency and data delay: “free” or low tiers in data vendors can impose delays and throttles (e.g., 5-minute data delay; update intervals; per-request burst limits), which makes live betting fragile and can invalidate backtests if you assume real-time availability.</w:t>
      </w:r>
      <w:r>
        <w:t xml:space="preserve"> </w:t>
      </w:r>
      <w:hyperlink r:id="rId55">
        <w:r>
          <w:rPr>
            <w:rStyle w:val="Hyperlink"/>
          </w:rPr>
          <w:t xml:space="preserve">[18]</w:t>
        </w:r>
      </w:hyperlink>
    </w:p>
    <w:p>
      <w:pPr>
        <w:pStyle w:val="BodyText"/>
      </w:pPr>
      <w:r>
        <w:t xml:space="preserve">Leverage/margin: your assumed “no leverage” is prudent. In market trading, margin can cause losses larger than initial capital; even in betting, promotional credits/partial fills and settlement rules can create unexpected exposures. General investor warnings on active trading emphasize that rapid and severe losses are common and that capital/temperament constraints matter.</w:t>
      </w:r>
      <w:r>
        <w:t xml:space="preserve"> </w:t>
      </w:r>
      <w:hyperlink r:id="rId56">
        <w:r>
          <w:rPr>
            <w:rStyle w:val="Hyperlink"/>
          </w:rPr>
          <w:t xml:space="preserve">[19]</w:t>
        </w:r>
      </w:hyperlink>
    </w:p>
    <w:p>
      <w:pPr>
        <w:pStyle w:val="BodyText"/>
      </w:pPr>
      <w:r>
        <w:t xml:space="preserve">Regulatory and legal uncertainty (especially in 2025–2026 for prediction-market “sports contracts”): some sports-event contract offerings are subject to active disputes and state-level actions, which can affect availability by state and continuity of execution access.</w:t>
      </w:r>
      <w:r>
        <w:t xml:space="preserve"> </w:t>
      </w:r>
      <w:hyperlink r:id="rId57">
        <w:r>
          <w:rPr>
            <w:rStyle w:val="Hyperlink"/>
          </w:rPr>
          <w:t xml:space="preserve">[20]</w:t>
        </w:r>
      </w:hyperlink>
    </w:p>
    <w:p>
      <w:pPr>
        <w:pStyle w:val="BodyText"/>
      </w:pPr>
      <w:r>
        <w:t xml:space="preserve">Fraud/claims risk: regulators explicitly warn that “AI trading bots” are used in scams promising implausible returns and “guaranteed” win rates—your design should assume the opposite (that edge is small and uncertain until proven).</w:t>
      </w:r>
      <w:r>
        <w:t xml:space="preserve"> </w:t>
      </w:r>
      <w:hyperlink r:id="rId58">
        <w:r>
          <w:rPr>
            <w:rStyle w:val="Hyperlink"/>
          </w:rPr>
          <w:t xml:space="preserve">[21]</w:t>
        </w:r>
      </w:hyperlink>
    </w:p>
    <w:bookmarkEnd w:id="59"/>
    <w:bookmarkStart w:id="63" w:name="X261589ba75ac0b51e504390c0f166e1c08d2208"/>
    <w:p>
      <w:pPr>
        <w:pStyle w:val="Heading3"/>
      </w:pPr>
      <w:r>
        <w:t xml:space="preserve">Risk controls to implement (adapted from algorithmic trading best practice)</w:t>
      </w:r>
    </w:p>
    <w:p>
      <w:pPr>
        <w:pStyle w:val="FirstParagraph"/>
      </w:pPr>
      <w:r>
        <w:t xml:space="preserve">Even if you are “only” betting, the control surface resembles algorithmic trading: you have automated order placement, exposure, and operational risk. Widely cited controls include</w:t>
      </w:r>
      <w:r>
        <w:t xml:space="preserve"> </w:t>
      </w:r>
      <w:r>
        <w:rPr>
          <w:b/>
          <w:bCs/>
        </w:rPr>
        <w:t xml:space="preserve">pre-trade checks</w:t>
      </w:r>
      <w:r>
        <w:t xml:space="preserve">,</w:t>
      </w:r>
      <w:r>
        <w:t xml:space="preserve"> </w:t>
      </w:r>
      <w:r>
        <w:rPr>
          <w:b/>
          <w:bCs/>
        </w:rPr>
        <w:t xml:space="preserve">position and size limits</w:t>
      </w:r>
      <w:r>
        <w:t xml:space="preserve">, and</w:t>
      </w:r>
      <w:r>
        <w:t xml:space="preserve"> </w:t>
      </w:r>
      <w:r>
        <w:rPr>
          <w:b/>
          <w:bCs/>
        </w:rPr>
        <w:t xml:space="preserve">kill switches</w:t>
      </w:r>
      <w:r>
        <w:t xml:space="preserve">.</w:t>
      </w:r>
      <w:r>
        <w:t xml:space="preserve"> </w:t>
      </w:r>
      <w:hyperlink r:id="rId60">
        <w:r>
          <w:rPr>
            <w:rStyle w:val="Hyperlink"/>
          </w:rPr>
          <w:t xml:space="preserve">[22]</w:t>
        </w:r>
      </w:hyperlink>
    </w:p>
    <w:p>
      <w:pPr>
        <w:pStyle w:val="BodyText"/>
      </w:pPr>
      <w:r>
        <w:t xml:space="preserve">Recommended minimum control set (actionable):</w:t>
      </w:r>
    </w:p>
    <w:p>
      <w:pPr>
        <w:pStyle w:val="BodyText"/>
      </w:pPr>
      <w:r>
        <w:t xml:space="preserve">Pre-trade “hard blocks”: reject any order that violates max stake, max daily loss, max open exposure, or allowed market list. Market-access regulation in securities emphasizes the need for risk management controls reasonably designed to manage financial and regulatory risk; the same philosophy applies here.</w:t>
      </w:r>
      <w:r>
        <w:t xml:space="preserve"> </w:t>
      </w:r>
      <w:hyperlink r:id="rId60">
        <w:r>
          <w:rPr>
            <w:rStyle w:val="Hyperlink"/>
          </w:rPr>
          <w:t xml:space="preserve">[23]</w:t>
        </w:r>
      </w:hyperlink>
    </w:p>
    <w:p>
      <w:pPr>
        <w:pStyle w:val="BodyText"/>
      </w:pPr>
      <w:r>
        <w:t xml:space="preserve">Kill switch (global and per-strategy): one action that immediately disables order entry and cancels resting orders; best-practice documents explicitly discuss kill switches as part of automated trading risk control stacks.</w:t>
      </w:r>
      <w:r>
        <w:t xml:space="preserve"> </w:t>
      </w:r>
      <w:hyperlink r:id="rId61">
        <w:r>
          <w:rPr>
            <w:rStyle w:val="Hyperlink"/>
          </w:rPr>
          <w:t xml:space="preserve">[24]</w:t>
        </w:r>
      </w:hyperlink>
    </w:p>
    <w:p>
      <w:pPr>
        <w:pStyle w:val="BodyText"/>
      </w:pPr>
      <w:r>
        <w:t xml:space="preserve">Rate-limit aware execution: enforce API throttles, exponential backoff, and idempotent order IDs; execution APIs document 429/rate-limit behavior and tiered limits.</w:t>
      </w:r>
      <w:r>
        <w:t xml:space="preserve"> </w:t>
      </w:r>
      <w:hyperlink r:id="rId62">
        <w:r>
          <w:rPr>
            <w:rStyle w:val="Hyperlink"/>
          </w:rPr>
          <w:t xml:space="preserve">[25]</w:t>
        </w:r>
      </w:hyperlink>
    </w:p>
    <w:p>
      <w:pPr>
        <w:pStyle w:val="BodyText"/>
      </w:pPr>
      <w:r>
        <w:t xml:space="preserve">Max-loss ladders: set (i) per-effort loss cap (already $10), (ii) per-day loss cap, (iii) max drawdown cap (e.g., stop if peak-to-trough &gt; 20%). Tie these to “cool-down” periods to prevent runaway self-excitation.</w:t>
      </w:r>
    </w:p>
    <w:p>
      <w:pPr>
        <w:pStyle w:val="BodyText"/>
      </w:pPr>
      <w:r>
        <w:t xml:space="preserve">Data-integrity gates: do not trade if any of: stale odds timestamp, missing book/market, inconsistent event status, or unexpected settlement rule.</w:t>
      </w:r>
    </w:p>
    <w:p>
      <w:pPr>
        <w:pStyle w:val="BodyText"/>
      </w:pPr>
      <w:r>
        <w:t xml:space="preserve">Auditable ledger: store every signal, odds snapshot used, order/confirmation, fill, fee, settlement, and bankroll update; critical because backtest–live mismatches often originate in data semantics and rule changes.</w:t>
      </w:r>
    </w:p>
    <w:bookmarkEnd w:id="63"/>
    <w:bookmarkStart w:id="64" w:name="X9c11a3e9a4ca0c2a146ada66c4e11976823ab55"/>
    <w:p>
      <w:pPr>
        <w:pStyle w:val="Heading3"/>
      </w:pPr>
      <w:r>
        <w:t xml:space="preserve">Withdrawal ladder policy architecture (recommended structure)</w:t>
      </w:r>
    </w:p>
    <w:p>
      <w:pPr>
        <w:pStyle w:val="FirstParagraph"/>
      </w:pPr>
      <w:r>
        <w:t xml:space="preserve">A robust ladder policy separates funds into buckets:</w:t>
      </w:r>
    </w:p>
    <w:p>
      <w:pPr>
        <w:pStyle w:val="BodyText"/>
      </w:pPr>
      <w:r>
        <w:t xml:space="preserve">Locked vault</w:t>
      </w:r>
      <w:r>
        <w:t xml:space="preserve"> </w:t>
      </w:r>
      <m:oMath>
        <m:r>
          <m:t>V</m:t>
        </m:r>
      </m:oMath>
      <w:r>
        <w:t xml:space="preserve">: irreversible withdrawals (cash you will not risk again in this bot).</w:t>
      </w:r>
    </w:p>
    <w:p>
      <w:pPr>
        <w:pStyle w:val="BodyText"/>
      </w:pPr>
      <w:r>
        <w:t xml:space="preserve">Risk wallet</w:t>
      </w:r>
      <w:r>
        <w:t xml:space="preserve"> </w:t>
      </w:r>
      <m:oMath>
        <m:r>
          <m:t>R</m:t>
        </m:r>
      </m:oMath>
      <w:r>
        <w:t xml:space="preserve">: at-risk bankroll the bot trades.</w:t>
      </w:r>
    </w:p>
    <w:p>
      <w:pPr>
        <w:pStyle w:val="BodyText"/>
      </w:pPr>
      <w:r>
        <w:t xml:space="preserve">Total wealth</w:t>
      </w:r>
      <w:r>
        <w:t xml:space="preserve"> </w:t>
      </w:r>
      <m:oMath>
        <m:r>
          <m:t>T</m:t>
        </m:r>
        <m:r>
          <m:rPr>
            <m:sty m:val="p"/>
          </m:rPr>
          <m:t>=</m:t>
        </m:r>
        <m:r>
          <m:t>V</m:t>
        </m:r>
        <m:r>
          <m:rPr>
            <m:sty m:val="p"/>
          </m:rPr>
          <m:t>+</m:t>
        </m:r>
        <m:r>
          <m:t>R</m:t>
        </m:r>
      </m:oMath>
      <w:r>
        <w:t xml:space="preserve">.</w:t>
      </w:r>
    </w:p>
    <w:p>
      <w:pPr>
        <w:pStyle w:val="BodyText"/>
      </w:pPr>
      <w:r>
        <w:t xml:space="preserve">Define rung thresholds in</w:t>
      </w:r>
      <w:r>
        <w:t xml:space="preserve"> </w:t>
      </w:r>
      <m:oMath>
        <m:r>
          <m:t>T</m:t>
        </m:r>
      </m:oMath>
      <w:r>
        <w:t xml:space="preserve"> </w:t>
      </w:r>
      <w:r>
        <w:t xml:space="preserve">(e.g., $20, $50, …), and at each rung, define a mapping</w:t>
      </w:r>
      <w:r>
        <w:t xml:space="preserve"> </w:t>
      </w:r>
      <m:oMath>
        <m:r>
          <m:t>T</m:t>
        </m:r>
        <m:r>
          <m:rPr>
            <m:sty m:val="p"/>
          </m:rPr>
          <m:t>↦</m:t>
        </m:r>
        <m:d>
          <m:dPr>
            <m:begChr m:val="("/>
            <m:sepChr m:val=""/>
            <m:endChr m:val=")"/>
            <m:grow/>
          </m:dPr>
          <m:e>
            <m:r>
              <m:t>W</m:t>
            </m:r>
            <m:r>
              <m:rPr>
                <m:sty m:val="p"/>
              </m:rPr>
              <m:t>,</m:t>
            </m:r>
            <m:r>
              <m:t> </m:t>
            </m:r>
            <m:r>
              <m:t>G</m:t>
            </m:r>
          </m:e>
        </m:d>
      </m:oMath>
      <w:r>
        <w:t xml:space="preserve"> </w:t>
      </w:r>
      <w:r>
        <w:t xml:space="preserve">where</w:t>
      </w:r>
      <w:r>
        <w:t xml:space="preserve"> </w:t>
      </w:r>
      <m:oMath>
        <m:r>
          <m:t>W</m:t>
        </m:r>
      </m:oMath>
      <w:r>
        <w:t xml:space="preserve"> </w:t>
      </w:r>
      <w:r>
        <w:t xml:space="preserve">is the additional withdrawal into</w:t>
      </w:r>
      <w:r>
        <w:t xml:space="preserve"> </w:t>
      </w:r>
      <m:oMath>
        <m:r>
          <m:t>V</m:t>
        </m:r>
      </m:oMath>
      <w:r>
        <w:t xml:space="preserve"> </w:t>
      </w:r>
      <w:r>
        <w:t xml:space="preserve">and</w:t>
      </w:r>
      <w:r>
        <w:t xml:space="preserve"> </w:t>
      </w:r>
      <m:oMath>
        <m:r>
          <m:t>G</m:t>
        </m:r>
      </m:oMath>
      <w:r>
        <w:t xml:space="preserve"> </w:t>
      </w:r>
      <w:r>
        <w:t xml:space="preserve">is the next-rung target.</w:t>
      </w:r>
    </w:p>
    <w:p>
      <w:pPr>
        <w:pStyle w:val="BodyText"/>
      </w:pPr>
      <w:r>
        <w:t xml:space="preserve">Compute</w:t>
      </w:r>
      <w:r>
        <w:t xml:space="preserve"> </w:t>
      </w:r>
      <m:oMath>
        <m:sSub>
          <m:e>
            <m:r>
              <m:t>P</m:t>
            </m:r>
          </m:e>
          <m:sub>
            <m:r>
              <m:t>i</m:t>
            </m:r>
          </m:sub>
        </m:sSub>
        <m:d>
          <m:dPr>
            <m:begChr m:val="("/>
            <m:sepChr m:val=""/>
            <m:endChr m:val=")"/>
            <m:grow/>
          </m:dPr>
          <m:e>
            <m:r>
              <m:t>N</m:t>
            </m:r>
          </m:e>
        </m:d>
      </m:oMath>
      <w:r>
        <w:t xml:space="preserve"> </w:t>
      </w:r>
      <w:r>
        <w:t xml:space="preserve">for each candidate</w:t>
      </w:r>
      <w:r>
        <w:t xml:space="preserve"> </w:t>
      </w:r>
      <m:oMath>
        <m:r>
          <m:t>W</m:t>
        </m:r>
      </m:oMath>
      <w:r>
        <w:t xml:space="preserve"> </w:t>
      </w:r>
      <w:r>
        <w:t xml:space="preserve">and enforce an explicit policy such as:</w:t>
      </w:r>
    </w:p>
    <w:p>
      <w:pPr>
        <w:pStyle w:val="BodyText"/>
      </w:pPr>
      <w:r>
        <w:t xml:space="preserve">Choose the</w:t>
      </w:r>
      <w:r>
        <w:t xml:space="preserve"> </w:t>
      </w:r>
      <w:r>
        <w:rPr>
          <w:b/>
          <w:bCs/>
        </w:rPr>
        <w:t xml:space="preserve">maximum withdrawal</w:t>
      </w:r>
      <w:r>
        <w:t xml:space="preserve"> </w:t>
      </w:r>
      <m:oMath>
        <m:r>
          <m:t>W</m:t>
        </m:r>
      </m:oMath>
      <w:r>
        <w:t xml:space="preserve"> </w:t>
      </w:r>
      <w:r>
        <w:t xml:space="preserve">such that</w:t>
      </w:r>
      <w:r>
        <w:t xml:space="preserve"> </w:t>
      </w:r>
      <m:oMath>
        <m:sSub>
          <m:e>
            <m:r>
              <m:t>P</m:t>
            </m:r>
          </m:e>
          <m:sub>
            <m:r>
              <m:t>i</m:t>
            </m:r>
          </m:sub>
        </m:sSub>
        <m:d>
          <m:dPr>
            <m:begChr m:val="("/>
            <m:sepChr m:val=""/>
            <m:endChr m:val=")"/>
            <m:grow/>
          </m:dPr>
          <m:e>
            <m:r>
              <m:t>N</m:t>
            </m:r>
          </m:e>
        </m:d>
        <m:r>
          <m:rPr>
            <m:sty m:val="p"/>
          </m:rPr>
          <m:t>≥</m:t>
        </m:r>
        <m:sSub>
          <m:e>
            <m:r>
              <m:t>π</m:t>
            </m:r>
          </m:e>
          <m:sub>
            <m:r>
              <m:rPr>
                <m:sty m:val="p"/>
              </m:rPr>
              <m:t>min</m:t>
            </m:r>
          </m:sub>
        </m:sSub>
      </m:oMath>
      <w:r>
        <w:t xml:space="preserve"> </w:t>
      </w:r>
      <w:r>
        <w:t xml:space="preserve">for a chosen minimum success probability</w:t>
      </w:r>
      <w:r>
        <w:t xml:space="preserve"> </w:t>
      </w:r>
      <m:oMath>
        <m:sSub>
          <m:e>
            <m:r>
              <m:t>π</m:t>
            </m:r>
          </m:e>
          <m:sub>
            <m:r>
              <m:rPr>
                <m:sty m:val="p"/>
              </m:rPr>
              <m:t>min</m:t>
            </m:r>
          </m:sub>
        </m:sSub>
      </m:oMath>
      <w:r>
        <w:t xml:space="preserve"> </w:t>
      </w:r>
      <w:r>
        <w:t xml:space="preserve">(e.g., 70%), using</w:t>
      </w:r>
      <w:r>
        <w:t xml:space="preserve"> </w:t>
      </w:r>
      <m:oMath>
        <m:sSub>
          <m:e>
            <m:r>
              <m:t>p</m:t>
            </m:r>
          </m:e>
          <m:sub>
            <m:r>
              <m:rPr>
                <m:sty m:val="p"/>
              </m:rPr>
              <m:t>p</m:t>
            </m:r>
            <m:r>
              <m:rPr>
                <m:sty m:val="p"/>
              </m:rPr>
              <m:t>l</m:t>
            </m:r>
            <m:r>
              <m:rPr>
                <m:sty m:val="p"/>
              </m:rPr>
              <m:t>a</m:t>
            </m:r>
            <m:r>
              <m:rPr>
                <m:sty m:val="p"/>
              </m:rPr>
              <m:t>n</m:t>
            </m:r>
          </m:sub>
        </m:sSub>
      </m:oMath>
      <w:r>
        <w:t xml:space="preserve"> </w:t>
      </w:r>
      <w:r>
        <w:t xml:space="preserve">(the Bayesian lower bound) rather than</w:t>
      </w:r>
      <w:r>
        <w:t xml:space="preserve"> </w:t>
      </w:r>
      <m:oMath>
        <m:acc>
          <m:accPr>
            <m:chr m:val="̂"/>
          </m:accPr>
          <m:e>
            <m:r>
              <m:t>p</m:t>
            </m:r>
          </m:e>
        </m:acc>
      </m:oMath>
      <w:r>
        <w:t xml:space="preserve">.</w:t>
      </w:r>
    </w:p>
    <w:p>
      <w:pPr>
        <w:pStyle w:val="BodyText"/>
      </w:pPr>
      <w:r>
        <w:t xml:space="preserve">This makes the ladder deterministic, auditable, and directly parameterized by a “risk appetite”</w:t>
      </w:r>
      <w:r>
        <w:t xml:space="preserve"> </w:t>
      </w:r>
      <m:oMath>
        <m:sSub>
          <m:e>
            <m:r>
              <m:t>π</m:t>
            </m:r>
          </m:e>
          <m:sub>
            <m:r>
              <m:rPr>
                <m:sty m:val="p"/>
              </m:rPr>
              <m:t>min</m:t>
            </m:r>
          </m:sub>
        </m:sSub>
      </m:oMath>
      <w:r>
        <w:t xml:space="preserve">.</w:t>
      </w:r>
      <w:r>
        <w:t xml:space="preserve"> </w:t>
      </w:r>
      <w:hyperlink r:id="rId21">
        <w:r>
          <w:rPr>
            <w:rStyle w:val="Hyperlink"/>
          </w:rPr>
          <w:t xml:space="preserve">[26]</w:t>
        </w:r>
      </w:hyperlink>
    </w:p>
    <w:bookmarkEnd w:id="64"/>
    <w:bookmarkEnd w:id="65"/>
    <w:bookmarkStart w:id="79" w:name="X070c9654adef9dbbbeab8b0b177648a4451a530"/>
    <w:p>
      <w:pPr>
        <w:pStyle w:val="Heading2"/>
      </w:pPr>
      <w:r>
        <w:t xml:space="preserve">Vendor and execution survey and v1 scope lock</w:t>
      </w:r>
    </w:p>
    <w:bookmarkStart w:id="71" w:name="Xcba05e54dc2ba5251bf1d6e1054d4baa2834cfa"/>
    <w:p>
      <w:pPr>
        <w:pStyle w:val="Heading3"/>
      </w:pPr>
      <w:r>
        <w:t xml:space="preserve">Odds-data vendors (read odds/lines; not necessarily execute)</w:t>
      </w:r>
    </w:p>
    <w:p>
      <w:pPr>
        <w:pStyle w:val="FirstParagraph"/>
      </w:pPr>
      <w:r>
        <w:t xml:space="preserve">Table notes: “cost tiers” are summarized only where publicly stated; otherwise marked unknown. “Historical granularity” refers to timestamp spacing or full price-change logs where documented.</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Vendor</w:t>
            </w:r>
          </w:p>
        </w:tc>
        <w:tc>
          <w:tcPr/>
          <w:p>
            <w:pPr>
              <w:pStyle w:val="Compact"/>
            </w:pPr>
            <w:r>
              <w:t xml:space="preserve">Data type</w:t>
            </w:r>
          </w:p>
        </w:tc>
        <w:tc>
          <w:tcPr/>
          <w:p>
            <w:pPr>
              <w:pStyle w:val="Compact"/>
            </w:pPr>
            <w:r>
              <w:t xml:space="preserve">Historical open/close lines</w:t>
            </w:r>
          </w:p>
        </w:tc>
        <w:tc>
          <w:tcPr/>
          <w:p>
            <w:pPr>
              <w:pStyle w:val="Compact"/>
            </w:pPr>
            <w:r>
              <w:t xml:space="preserve">Historical granularity</w:t>
            </w:r>
          </w:p>
        </w:tc>
        <w:tc>
          <w:tcPr/>
          <w:p>
            <w:pPr>
              <w:pStyle w:val="Compact"/>
            </w:pPr>
            <w:r>
              <w:t xml:space="preserve">Coverage (high level)</w:t>
            </w:r>
          </w:p>
        </w:tc>
        <w:tc>
          <w:tcPr/>
          <w:p>
            <w:pPr>
              <w:pStyle w:val="Compact"/>
            </w:pPr>
            <w:r>
              <w:t xml:space="preserve">Free/low-cost tier</w:t>
            </w:r>
          </w:p>
        </w:tc>
        <w:tc>
          <w:tcPr/>
          <w:p>
            <w:pPr>
              <w:pStyle w:val="Compact"/>
            </w:pPr>
            <w:r>
              <w:t xml:space="preserve">Automation and ToS notes</w:t>
            </w:r>
          </w:p>
        </w:tc>
      </w:tr>
      <w:tr>
        <w:tc>
          <w:tcPr/>
          <w:p>
            <w:pPr>
              <w:pStyle w:val="Compact"/>
            </w:pPr>
            <w:r>
              <w:t xml:space="preserve">The Odds API</w:t>
            </w:r>
            <w:hyperlink r:id="rId23">
              <w:r>
                <w:rPr>
                  <w:rStyle w:val="Hyperlink"/>
                </w:rPr>
                <w:t xml:space="preserve">[27]</w:t>
              </w:r>
            </w:hyperlink>
          </w:p>
        </w:tc>
        <w:tc>
          <w:tcPr/>
          <w:p>
            <w:pPr>
              <w:pStyle w:val="Compact"/>
            </w:pPr>
            <w:r>
              <w:t xml:space="preserve">Aggregated odds feed</w:t>
            </w:r>
          </w:p>
        </w:tc>
        <w:tc>
          <w:tcPr/>
          <w:p>
            <w:pPr>
              <w:pStyle w:val="Compact"/>
            </w:pPr>
            <w:r>
              <w:t xml:space="preserve">Not guaranteed as “open/close”; provides snapshots you can sample</w:t>
            </w:r>
          </w:p>
        </w:tc>
        <w:tc>
          <w:tcPr/>
          <w:p>
            <w:pPr>
              <w:pStyle w:val="Compact"/>
            </w:pPr>
            <w:r>
              <w:t xml:space="preserve">Snapshots; featured markets from mid-2020; 10-min snapshots, later 5-min snapshots</w:t>
            </w:r>
          </w:p>
        </w:tc>
        <w:tc>
          <w:tcPr/>
          <w:p>
            <w:pPr>
              <w:pStyle w:val="Compact"/>
            </w:pPr>
            <w:r>
              <w:t xml:space="preserve">Many sports; multiple bookmakers</w:t>
            </w:r>
          </w:p>
        </w:tc>
        <w:tc>
          <w:tcPr/>
          <w:p>
            <w:pPr>
              <w:pStyle w:val="Compact"/>
            </w:pPr>
            <w:r>
              <w:t xml:space="preserve">Free tier: 500 credits/month; historical odds on paid plans</w:t>
            </w:r>
          </w:p>
        </w:tc>
        <w:tc>
          <w:tcPr/>
          <w:p>
            <w:pPr>
              <w:pStyle w:val="Compact"/>
            </w:pPr>
            <w:r>
              <w:t xml:space="preserve">Terms emphasize independent data provider; no reselling as standalone data product; verify with operator before acting; data may be delayed/erroneous</w:t>
            </w:r>
            <w:r>
              <w:t xml:space="preserve"> </w:t>
            </w:r>
            <w:hyperlink r:id="rId66">
              <w:r>
                <w:rPr>
                  <w:rStyle w:val="Hyperlink"/>
                </w:rPr>
                <w:t xml:space="preserve">[28]</w:t>
              </w:r>
            </w:hyperlink>
          </w:p>
        </w:tc>
      </w:tr>
      <w:tr>
        <w:tc>
          <w:tcPr/>
          <w:p>
            <w:pPr>
              <w:pStyle w:val="Compact"/>
            </w:pPr>
            <w:r>
              <w:t xml:space="preserve">TheRundown</w:t>
            </w:r>
            <w:hyperlink r:id="rId66">
              <w:r>
                <w:rPr>
                  <w:rStyle w:val="Hyperlink"/>
                </w:rPr>
                <w:t xml:space="preserve">[29]</w:t>
              </w:r>
            </w:hyperlink>
          </w:p>
        </w:tc>
        <w:tc>
          <w:tcPr/>
          <w:p>
            <w:pPr>
              <w:pStyle w:val="Compact"/>
            </w:pPr>
            <w:r>
              <w:t xml:space="preserve">Odds + scores + line movement</w:t>
            </w:r>
          </w:p>
        </w:tc>
        <w:tc>
          <w:tcPr/>
          <w:p>
            <w:pPr>
              <w:pStyle w:val="Compact"/>
            </w:pPr>
            <w:r>
              <w:t xml:space="preserve">“Historical price data / line movement” stated; exact “open/close” semantics depend on endpoint</w:t>
            </w:r>
          </w:p>
        </w:tc>
        <w:tc>
          <w:tcPr/>
          <w:p>
            <w:pPr>
              <w:pStyle w:val="Compact"/>
            </w:pPr>
            <w:r>
              <w:t xml:space="preserve">Tiered; free tier has 5-min delay; data-point billing and throttles documented</w:t>
            </w:r>
          </w:p>
        </w:tc>
        <w:tc>
          <w:tcPr/>
          <w:p>
            <w:pPr>
              <w:pStyle w:val="Compact"/>
            </w:pPr>
            <w:r>
              <w:t xml:space="preserve">Major leagues + sportsbooks</w:t>
            </w:r>
          </w:p>
        </w:tc>
        <w:tc>
          <w:tcPr/>
          <w:p>
            <w:pPr>
              <w:pStyle w:val="Compact"/>
            </w:pPr>
            <w:r>
              <w:t xml:space="preserve">Free tier documented in rate-limit table (20,000/day data points; 5-min delay; no WebSocket)</w:t>
            </w:r>
          </w:p>
        </w:tc>
        <w:tc>
          <w:tcPr/>
          <w:p>
            <w:pPr>
              <w:pStyle w:val="Compact"/>
            </w:pPr>
            <w:r>
              <w:t xml:space="preserve">Rate-limit + data-point billing with usage headers; recommends filtering and delta endpoints to control cost</w:t>
            </w:r>
            <w:r>
              <w:t xml:space="preserve"> </w:t>
            </w:r>
            <w:hyperlink r:id="rId55">
              <w:r>
                <w:rPr>
                  <w:rStyle w:val="Hyperlink"/>
                </w:rPr>
                <w:t xml:space="preserve">[30]</w:t>
              </w:r>
            </w:hyperlink>
          </w:p>
        </w:tc>
      </w:tr>
      <w:tr>
        <w:tc>
          <w:tcPr/>
          <w:p>
            <w:pPr>
              <w:pStyle w:val="Compact"/>
            </w:pPr>
            <w:r>
              <w:t xml:space="preserve">SportsGameOdds</w:t>
            </w:r>
            <w:hyperlink r:id="rId21">
              <w:r>
                <w:rPr>
                  <w:rStyle w:val="Hyperlink"/>
                </w:rPr>
                <w:t xml:space="preserve">[31]</w:t>
              </w:r>
            </w:hyperlink>
          </w:p>
        </w:tc>
        <w:tc>
          <w:tcPr/>
          <w:p>
            <w:pPr>
              <w:pStyle w:val="Compact"/>
            </w:pPr>
            <w:r>
              <w:t xml:space="preserve">Odds + scores + props + consensus tools</w:t>
            </w:r>
          </w:p>
        </w:tc>
        <w:tc>
          <w:tcPr/>
          <w:p>
            <w:pPr>
              <w:pStyle w:val="Compact"/>
            </w:pPr>
            <w:r>
              <w:t xml:space="preserve">“Historical data” listed (plan-dependent); open/close semantics not specified publicly</w:t>
            </w:r>
          </w:p>
        </w:tc>
        <w:tc>
          <w:tcPr/>
          <w:p>
            <w:pPr>
              <w:pStyle w:val="Compact"/>
            </w:pPr>
            <w:r>
              <w:t xml:space="preserve">Free plan: 10-min update frequency; higher tiers faster</w:t>
            </w:r>
          </w:p>
        </w:tc>
        <w:tc>
          <w:tcPr/>
          <w:p>
            <w:pPr>
              <w:pStyle w:val="Compact"/>
            </w:pPr>
            <w:r>
              <w:t xml:space="preserve">Leagues + many bookmakers (plan-dependent)</w:t>
            </w:r>
          </w:p>
        </w:tc>
        <w:tc>
          <w:tcPr/>
          <w:p>
            <w:pPr>
              <w:pStyle w:val="Compact"/>
            </w:pPr>
            <w:r>
              <w:t xml:space="preserve">Free plan listed (10 req/min; limited leagues/books)</w:t>
            </w:r>
          </w:p>
        </w:tc>
        <w:tc>
          <w:tcPr/>
          <w:p>
            <w:pPr>
              <w:pStyle w:val="Compact"/>
            </w:pPr>
            <w:r>
              <w:t xml:space="preserve">Terms prohibit reverse engineering and bypassing limits; emphasizes compliance with law and that it’s not a wagering operator</w:t>
            </w:r>
            <w:r>
              <w:t xml:space="preserve"> </w:t>
            </w:r>
            <w:hyperlink r:id="rId67">
              <w:r>
                <w:rPr>
                  <w:rStyle w:val="Hyperlink"/>
                </w:rPr>
                <w:t xml:space="preserve">[32]</w:t>
              </w:r>
            </w:hyperlink>
          </w:p>
        </w:tc>
      </w:tr>
      <w:tr>
        <w:tc>
          <w:tcPr/>
          <w:p>
            <w:pPr>
              <w:pStyle w:val="Compact"/>
            </w:pPr>
            <w:r>
              <w:t xml:space="preserve">OpticOdds</w:t>
            </w:r>
            <w:hyperlink r:id="rId68">
              <w:r>
                <w:rPr>
                  <w:rStyle w:val="Hyperlink"/>
                </w:rPr>
                <w:t xml:space="preserve">[33]</w:t>
              </w:r>
            </w:hyperlink>
          </w:p>
        </w:tc>
        <w:tc>
          <w:tcPr/>
          <w:p>
            <w:pPr>
              <w:pStyle w:val="Compact"/>
            </w:pPr>
            <w:r>
              <w:t xml:space="preserve">Aggregated odds platform + streaming</w:t>
            </w:r>
          </w:p>
        </w:tc>
        <w:tc>
          <w:tcPr/>
          <w:p>
            <w:pPr>
              <w:pStyle w:val="Compact"/>
            </w:pPr>
            <w:r>
              <w:t xml:space="preserve">Can provide “full price history” for specific odds IDs</w:t>
            </w:r>
          </w:p>
        </w:tc>
        <w:tc>
          <w:tcPr/>
          <w:p>
            <w:pPr>
              <w:pStyle w:val="Compact"/>
            </w:pPr>
            <w:r>
              <w:t xml:space="preserve">Historical endpoint returns “every price change… with timestamps” (analysis-oriented limits)</w:t>
            </w:r>
          </w:p>
        </w:tc>
        <w:tc>
          <w:tcPr/>
          <w:p>
            <w:pPr>
              <w:pStyle w:val="Compact"/>
            </w:pPr>
            <w:r>
              <w:t xml:space="preserve">Claims 100+ sportsbooks / many sports</w:t>
            </w:r>
          </w:p>
        </w:tc>
        <w:tc>
          <w:tcPr/>
          <w:p>
            <w:pPr>
              <w:pStyle w:val="Compact"/>
            </w:pPr>
            <w:r>
              <w:t xml:space="preserve">Pricing public but tier details require inquiry; low-cost status unknown</w:t>
            </w:r>
          </w:p>
        </w:tc>
        <w:tc>
          <w:tcPr/>
          <w:p>
            <w:pPr>
              <w:pStyle w:val="Compact"/>
            </w:pPr>
            <w:r>
              <w:t xml:space="preserve">Terms include a restriction on revenue-generating/commercial use in the displayed ToS; treat licensing as requiring explicit commercial agreement</w:t>
            </w:r>
            <w:r>
              <w:t xml:space="preserve"> </w:t>
            </w:r>
            <w:hyperlink r:id="rId69">
              <w:r>
                <w:rPr>
                  <w:rStyle w:val="Hyperlink"/>
                </w:rPr>
                <w:t xml:space="preserve">[34]</w:t>
              </w:r>
            </w:hyperlink>
          </w:p>
        </w:tc>
      </w:tr>
      <w:tr>
        <w:tc>
          <w:tcPr/>
          <w:p>
            <w:pPr>
              <w:pStyle w:val="Compact"/>
            </w:pPr>
            <w:r>
              <w:t xml:space="preserve">Sportradar</w:t>
            </w:r>
            <w:hyperlink r:id="rId58">
              <w:r>
                <w:rPr>
                  <w:rStyle w:val="Hyperlink"/>
                </w:rPr>
                <w:t xml:space="preserve">[35]</w:t>
              </w:r>
            </w:hyperlink>
          </w:p>
        </w:tc>
        <w:tc>
          <w:tcPr/>
          <w:p>
            <w:pPr>
              <w:pStyle w:val="Compact"/>
            </w:pPr>
            <w:r>
              <w:t xml:space="preserve">Sports data + odds products</w:t>
            </w:r>
          </w:p>
        </w:tc>
        <w:tc>
          <w:tcPr/>
          <w:p>
            <w:pPr>
              <w:pStyle w:val="Compact"/>
            </w:pPr>
            <w:r>
              <w:t xml:space="preserve">Yes, but licensing product-specific; open/close semantics not in public snippet</w:t>
            </w:r>
          </w:p>
        </w:tc>
        <w:tc>
          <w:tcPr/>
          <w:p>
            <w:pPr>
              <w:pStyle w:val="Compact"/>
            </w:pPr>
            <w:r>
              <w:t xml:space="preserve">Not specified publicly in accessible docs</w:t>
            </w:r>
          </w:p>
        </w:tc>
        <w:tc>
          <w:tcPr/>
          <w:p>
            <w:pPr>
              <w:pStyle w:val="Compact"/>
            </w:pPr>
            <w:r>
              <w:t xml:space="preserve">Major league coverage</w:t>
            </w:r>
          </w:p>
        </w:tc>
        <w:tc>
          <w:tcPr/>
          <w:p>
            <w:pPr>
              <w:pStyle w:val="Compact"/>
            </w:pPr>
            <w:r>
              <w:t xml:space="preserve">30-day free trial advertised</w:t>
            </w:r>
          </w:p>
        </w:tc>
        <w:tc>
          <w:tcPr/>
          <w:p>
            <w:pPr>
              <w:pStyle w:val="Compact"/>
            </w:pPr>
            <w:r>
              <w:t xml:space="preserve">B2B service; not intended to be called directly from client apps; requires contract for production use</w:t>
            </w:r>
            <w:r>
              <w:t xml:space="preserve"> </w:t>
            </w:r>
            <w:hyperlink r:id="rId70">
              <w:r>
                <w:rPr>
                  <w:rStyle w:val="Hyperlink"/>
                </w:rPr>
                <w:t xml:space="preserve">[36]</w:t>
              </w:r>
            </w:hyperlink>
          </w:p>
        </w:tc>
      </w:tr>
    </w:tbl>
    <w:bookmarkEnd w:id="71"/>
    <w:bookmarkStart w:id="75" w:name="Xbdc93b11fbf8563e3584c8eb638b3ffe86f51c6"/>
    <w:p>
      <w:pPr>
        <w:pStyle w:val="Heading3"/>
      </w:pPr>
      <w:r>
        <w:t xml:space="preserve">Execution venues (place trades/bets via official APIs where available)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Venue</w:t>
            </w:r>
          </w:p>
        </w:tc>
        <w:tc>
          <w:tcPr/>
          <w:p>
            <w:pPr>
              <w:pStyle w:val="Compact"/>
            </w:pPr>
            <w:r>
              <w:t xml:space="preserve">Venue type</w:t>
            </w:r>
          </w:p>
        </w:tc>
        <w:tc>
          <w:tcPr/>
          <w:p>
            <w:pPr>
              <w:pStyle w:val="Compact"/>
            </w:pPr>
            <w:r>
              <w:t xml:space="preserve">Execution API</w:t>
            </w:r>
          </w:p>
        </w:tc>
        <w:tc>
          <w:tcPr/>
          <w:p>
            <w:pPr>
              <w:pStyle w:val="Compact"/>
            </w:pPr>
            <w:r>
              <w:t xml:space="preserve">Paper/sim mode</w:t>
            </w:r>
          </w:p>
        </w:tc>
        <w:tc>
          <w:tcPr/>
          <w:p>
            <w:pPr>
              <w:pStyle w:val="Compact"/>
            </w:pPr>
            <w:r>
              <w:t xml:space="preserve">Latency and mechanics notes</w:t>
            </w:r>
          </w:p>
        </w:tc>
        <w:tc>
          <w:tcPr/>
          <w:p>
            <w:pPr>
              <w:pStyle w:val="Compact"/>
            </w:pPr>
            <w:r>
              <w:t xml:space="preserve">Fees/commission</w:t>
            </w:r>
          </w:p>
        </w:tc>
        <w:tc>
          <w:tcPr/>
          <w:p>
            <w:pPr>
              <w:pStyle w:val="Compact"/>
            </w:pPr>
            <w:r>
              <w:t xml:space="preserve">KYC/ToS constraints and availability notes</w:t>
            </w:r>
          </w:p>
        </w:tc>
      </w:tr>
      <w:tr>
        <w:tc>
          <w:tcPr/>
          <w:p>
            <w:pPr>
              <w:pStyle w:val="Compact"/>
            </w:pPr>
            <w:r>
              <w:t xml:space="preserve">Betfair</w:t>
            </w:r>
            <w:hyperlink r:id="rId21">
              <w:r>
                <w:rPr>
                  <w:rStyle w:val="Hyperlink"/>
                </w:rPr>
                <w:t xml:space="preserve">[37]</w:t>
              </w:r>
            </w:hyperlink>
          </w:p>
        </w:tc>
        <w:tc>
          <w:tcPr/>
          <w:p>
            <w:pPr>
              <w:pStyle w:val="Compact"/>
            </w:pPr>
            <w:r>
              <w:t xml:space="preserve">Betting exchange</w:t>
            </w:r>
          </w:p>
        </w:tc>
        <w:tc>
          <w:tcPr/>
          <w:p>
            <w:pPr>
              <w:pStyle w:val="Compact"/>
            </w:pPr>
            <w:r>
              <w:t xml:space="preserve">Official Exchange API supports automated betting operations</w:t>
            </w:r>
          </w:p>
        </w:tc>
        <w:tc>
          <w:tcPr/>
          <w:p>
            <w:pPr>
              <w:pStyle w:val="Compact"/>
            </w:pPr>
            <w:r>
              <w:t xml:space="preserve">No true testbed for no-funds testing; “delayed app key” used for dev with delayed price data; demo tools exist</w:t>
            </w:r>
          </w:p>
        </w:tc>
        <w:tc>
          <w:tcPr/>
          <w:p>
            <w:pPr>
              <w:pStyle w:val="Compact"/>
            </w:pPr>
            <w:r>
              <w:t xml:space="preserve">In-play markets can have an imposed delay (documented as 1–12 seconds)</w:t>
            </w:r>
          </w:p>
        </w:tc>
        <w:tc>
          <w:tcPr/>
          <w:p>
            <w:pPr>
              <w:pStyle w:val="Compact"/>
            </w:pPr>
            <w:r>
              <w:t xml:space="preserve">Commission on net winnings on a market; rate depends on market base rate/rewards package</w:t>
            </w:r>
          </w:p>
        </w:tc>
        <w:tc>
          <w:tcPr/>
          <w:p>
            <w:pPr>
              <w:pStyle w:val="Compact"/>
            </w:pPr>
            <w:r>
              <w:t xml:space="preserve">KYC-verified account required for API licensing; historical data service available for purchase/backtesting</w:t>
            </w:r>
            <w:r>
              <w:t xml:space="preserve"> </w:t>
            </w:r>
            <w:hyperlink r:id="rId72">
              <w:r>
                <w:rPr>
                  <w:rStyle w:val="Hyperlink"/>
                </w:rPr>
                <w:t xml:space="preserve">[38]</w:t>
              </w:r>
            </w:hyperlink>
          </w:p>
        </w:tc>
      </w:tr>
      <w:tr>
        <w:tc>
          <w:tcPr/>
          <w:p>
            <w:pPr>
              <w:pStyle w:val="Compact"/>
            </w:pPr>
            <w:r>
              <w:t xml:space="preserve">Kalshi</w:t>
            </w:r>
            <w:hyperlink r:id="rId55">
              <w:r>
                <w:rPr>
                  <w:rStyle w:val="Hyperlink"/>
                </w:rPr>
                <w:t xml:space="preserve">[39]</w:t>
              </w:r>
            </w:hyperlink>
          </w:p>
        </w:tc>
        <w:tc>
          <w:tcPr/>
          <w:p>
            <w:pPr>
              <w:pStyle w:val="Compact"/>
            </w:pPr>
            <w:r>
              <w:t xml:space="preserve">Regulated event-contract exchange</w:t>
            </w:r>
          </w:p>
        </w:tc>
        <w:tc>
          <w:tcPr/>
          <w:p>
            <w:pPr>
              <w:pStyle w:val="Compact"/>
            </w:pPr>
            <w:r>
              <w:t xml:space="preserve">Official API for market data + trade execution (REST, WebSocket, FIX/SDKs)</w:t>
            </w:r>
          </w:p>
        </w:tc>
        <w:tc>
          <w:tcPr/>
          <w:p>
            <w:pPr>
              <w:pStyle w:val="Compact"/>
            </w:pPr>
            <w:r>
              <w:t xml:space="preserve">Demo environment with mock funds and separate credentials</w:t>
            </w:r>
          </w:p>
        </w:tc>
        <w:tc>
          <w:tcPr/>
          <w:p>
            <w:pPr>
              <w:pStyle w:val="Compact"/>
            </w:pPr>
            <w:r>
              <w:t xml:space="preserve">Rate limits by tier documented; order parameters include price bounds (1–99 cents)</w:t>
            </w:r>
          </w:p>
        </w:tc>
        <w:tc>
          <w:tcPr/>
          <w:p>
            <w:pPr>
              <w:pStyle w:val="Compact"/>
            </w:pPr>
            <w:r>
              <w:t xml:space="preserve">Fee schedule published; fee mechanics depend on maker/taker and series</w:t>
            </w:r>
          </w:p>
        </w:tc>
        <w:tc>
          <w:tcPr/>
          <w:p>
            <w:pPr>
              <w:pStyle w:val="Compact"/>
            </w:pPr>
            <w:r>
              <w:t xml:space="preserve">Sports markets exist, but sports-event contracts have active legal/regulatory disputes in multiple states as of March 2026; availability may change by jurisdiction</w:t>
            </w:r>
            <w:r>
              <w:t xml:space="preserve"> </w:t>
            </w:r>
            <w:hyperlink r:id="rId68">
              <w:r>
                <w:rPr>
                  <w:rStyle w:val="Hyperlink"/>
                </w:rPr>
                <w:t xml:space="preserve">[40]</w:t>
              </w:r>
            </w:hyperlink>
          </w:p>
        </w:tc>
      </w:tr>
      <w:tr>
        <w:tc>
          <w:tcPr/>
          <w:p>
            <w:pPr>
              <w:pStyle w:val="Compact"/>
            </w:pPr>
            <w:r>
              <w:t xml:space="preserve">ProphetX</w:t>
            </w:r>
            <w:hyperlink r:id="rId57">
              <w:r>
                <w:rPr>
                  <w:rStyle w:val="Hyperlink"/>
                </w:rPr>
                <w:t xml:space="preserve">[41]</w:t>
              </w:r>
            </w:hyperlink>
          </w:p>
        </w:tc>
        <w:tc>
          <w:tcPr/>
          <w:p>
            <w:pPr>
              <w:pStyle w:val="Compact"/>
            </w:pPr>
            <w:r>
              <w:t xml:space="preserve">Peer-to-peer sports prediction exchange (and separately advertises CFTC-regulated event contracts “coming in 2026”)</w:t>
            </w:r>
          </w:p>
        </w:tc>
        <w:tc>
          <w:tcPr/>
          <w:p>
            <w:pPr>
              <w:pStyle w:val="Compact"/>
            </w:pPr>
            <w:r>
              <w:t xml:space="preserve">Developer hub exists; partner/affiliate APIs referenced; exact self-serve retail execution API availability is unclear in public docs</w:t>
            </w:r>
          </w:p>
        </w:tc>
        <w:tc>
          <w:tcPr/>
          <w:p>
            <w:pPr>
              <w:pStyle w:val="Compact"/>
            </w:pPr>
            <w:r>
              <w:t xml:space="preserve">Unknown public sandbox availability</w:t>
            </w:r>
          </w:p>
        </w:tc>
        <w:tc>
          <w:tcPr/>
          <w:p>
            <w:pPr>
              <w:pStyle w:val="Compact"/>
            </w:pPr>
            <w:r>
              <w:t xml:space="preserve">Geolocation integration steps documented (vendor-specific)</w:t>
            </w:r>
          </w:p>
        </w:tc>
        <w:tc>
          <w:tcPr/>
          <w:p>
            <w:pPr>
              <w:pStyle w:val="Compact"/>
            </w:pPr>
            <w:r>
              <w:t xml:space="preserve">Help docs describe commission on net winnings and list “2% all markets” in one public help page</w:t>
            </w:r>
          </w:p>
        </w:tc>
        <w:tc>
          <w:tcPr/>
          <w:p>
            <w:pPr>
              <w:pStyle w:val="Compact"/>
            </w:pPr>
            <w:r>
              <w:t xml:space="preserve">Public materials describe peer-to-peer model; another page markets “CFTC-regulated exchange… coming in 2026 subject to approval,” indicating product/regulatory transition risk</w:t>
            </w:r>
            <w:r>
              <w:t xml:space="preserve"> </w:t>
            </w:r>
            <w:hyperlink r:id="rId73">
              <w:r>
                <w:rPr>
                  <w:rStyle w:val="Hyperlink"/>
                </w:rPr>
                <w:t xml:space="preserve">[42]</w:t>
              </w:r>
            </w:hyperlink>
          </w:p>
        </w:tc>
      </w:tr>
      <w:tr>
        <w:tc>
          <w:tcPr/>
          <w:p>
            <w:pPr>
              <w:pStyle w:val="Compact"/>
            </w:pPr>
            <w:r>
              <w:t xml:space="preserve">Sporttrade</w:t>
            </w:r>
            <w:hyperlink r:id="rId21">
              <w:r>
                <w:rPr>
                  <w:rStyle w:val="Hyperlink"/>
                </w:rPr>
                <w:t xml:space="preserve">[43]</w:t>
              </w:r>
            </w:hyperlink>
          </w:p>
        </w:tc>
        <w:tc>
          <w:tcPr/>
          <w:p>
            <w:pPr>
              <w:pStyle w:val="Compact"/>
            </w:pPr>
            <w:r>
              <w:t xml:space="preserve">Sports betting exchange (central limit order book)</w:t>
            </w:r>
          </w:p>
        </w:tc>
        <w:tc>
          <w:tcPr/>
          <w:p>
            <w:pPr>
              <w:pStyle w:val="Compact"/>
            </w:pPr>
            <w:r>
              <w:t xml:space="preserve">Official public execution API not evidenced in accessible public docs (mark unknown)</w:t>
            </w:r>
          </w:p>
        </w:tc>
        <w:tc>
          <w:tcPr/>
          <w:p>
            <w:pPr>
              <w:pStyle w:val="Compact"/>
            </w:pPr>
            <w:r>
              <w:t xml:space="preserve">Unknown</w:t>
            </w:r>
          </w:p>
        </w:tc>
        <w:tc>
          <w:tcPr/>
          <w:p>
            <w:pPr>
              <w:pStyle w:val="Compact"/>
            </w:pPr>
            <w:r>
              <w:t xml:space="preserve">Contract/marketplace framing; exchange mechanics depend on order book</w:t>
            </w:r>
          </w:p>
        </w:tc>
        <w:tc>
          <w:tcPr/>
          <w:p>
            <w:pPr>
              <w:pStyle w:val="Compact"/>
            </w:pPr>
            <w:r>
              <w:t xml:space="preserve">Support docs state commission is charged only on profits</w:t>
            </w:r>
          </w:p>
        </w:tc>
        <w:tc>
          <w:tcPr/>
          <w:p>
            <w:pPr>
              <w:pStyle w:val="Compact"/>
            </w:pPr>
            <w:r>
              <w:t xml:space="preserve">Jurisdictional availability varies; operational hours and other constraints may exist; treat as state-specific and confirm in official materials before building execution</w:t>
            </w:r>
            <w:r>
              <w:t xml:space="preserve"> </w:t>
            </w:r>
            <w:hyperlink r:id="rId74">
              <w:r>
                <w:rPr>
                  <w:rStyle w:val="Hyperlink"/>
                </w:rPr>
                <w:t xml:space="preserve">[44]</w:t>
              </w:r>
            </w:hyperlink>
          </w:p>
        </w:tc>
      </w:tr>
      <w:tr>
        <w:tc>
          <w:tcPr/>
          <w:p>
            <w:pPr>
              <w:pStyle w:val="Compact"/>
            </w:pPr>
            <w:r>
              <w:t xml:space="preserve">Pinnacle</w:t>
            </w:r>
            <w:hyperlink r:id="rId55">
              <w:r>
                <w:rPr>
                  <w:rStyle w:val="Hyperlink"/>
                </w:rPr>
                <w:t xml:space="preserve">[45]</w:t>
              </w:r>
            </w:hyperlink>
          </w:p>
        </w:tc>
        <w:tc>
          <w:tcPr/>
          <w:p>
            <w:pPr>
              <w:pStyle w:val="Compact"/>
            </w:pPr>
            <w:r>
              <w:t xml:space="preserve">Sportsbook</w:t>
            </w:r>
          </w:p>
        </w:tc>
        <w:tc>
          <w:tcPr/>
          <w:p>
            <w:pPr>
              <w:pStyle w:val="Compact"/>
            </w:pPr>
            <w:r>
              <w:t xml:space="preserve">Official API access “closed for the general public” as of Jul 23, 2025; partnership only</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Requires funded account and approval; applies to both betting and data services; not a low-friction v1 execution path</w:t>
            </w:r>
            <w:r>
              <w:t xml:space="preserve"> </w:t>
            </w:r>
            <w:hyperlink r:id="rId33">
              <w:r>
                <w:rPr>
                  <w:rStyle w:val="Hyperlink"/>
                </w:rPr>
                <w:t xml:space="preserve">[46]</w:t>
              </w:r>
            </w:hyperlink>
          </w:p>
        </w:tc>
      </w:tr>
    </w:tbl>
    <w:bookmarkEnd w:id="75"/>
    <w:bookmarkStart w:id="76" w:name="recommended-v1-scope-lock"/>
    <w:p>
      <w:pPr>
        <w:pStyle w:val="Heading3"/>
      </w:pPr>
      <w:r>
        <w:t xml:space="preserve">Recommended v1 scope lock</w:t>
      </w:r>
    </w:p>
    <w:p>
      <w:pPr>
        <w:pStyle w:val="FirstParagraph"/>
      </w:pPr>
      <w:r>
        <w:t xml:space="preserve">Goal: maximize learning per dollar and reduce failure modes (latency, market microstructure complexity, ToS risk).</w:t>
      </w:r>
    </w:p>
    <w:p>
      <w:pPr>
        <w:pStyle w:val="BodyText"/>
      </w:pPr>
      <w:r>
        <w:t xml:space="preserve">League: one high-liquidity U.S. league with frequent games and simple binary outcomes; recommended:</w:t>
      </w:r>
      <w:r>
        <w:t xml:space="preserve"> </w:t>
      </w:r>
      <w:r>
        <w:rPr>
          <w:b/>
          <w:bCs/>
        </w:rPr>
        <w:t xml:space="preserve">MLB</w:t>
      </w:r>
      <w:r>
        <w:t xml:space="preserve"> </w:t>
      </w:r>
      <w:r>
        <w:t xml:space="preserve">full-game moneyline.</w:t>
      </w:r>
    </w:p>
    <w:p>
      <w:pPr>
        <w:pStyle w:val="BodyText"/>
      </w:pPr>
      <w:r>
        <w:t xml:space="preserve">Mode:</w:t>
      </w:r>
      <w:r>
        <w:t xml:space="preserve"> </w:t>
      </w:r>
      <w:r>
        <w:rPr>
          <w:b/>
          <w:bCs/>
        </w:rPr>
        <w:t xml:space="preserve">pregame only</w:t>
      </w:r>
      <w:r>
        <w:t xml:space="preserve"> </w:t>
      </w:r>
      <w:r>
        <w:t xml:space="preserve">(no live/in-play).</w:t>
      </w:r>
    </w:p>
    <w:p>
      <w:pPr>
        <w:pStyle w:val="BodyText"/>
      </w:pPr>
      <w:r>
        <w:t xml:space="preserve">Allowed bet types:</w:t>
      </w:r>
      <w:r>
        <w:t xml:space="preserve"> </w:t>
      </w:r>
      <w:r>
        <w:rPr>
          <w:b/>
          <w:bCs/>
        </w:rPr>
        <w:t xml:space="preserve">moneyline only</w:t>
      </w:r>
      <w:r>
        <w:t xml:space="preserve">, full-game winner.</w:t>
      </w:r>
    </w:p>
    <w:p>
      <w:pPr>
        <w:pStyle w:val="BodyText"/>
      </w:pPr>
      <w:r>
        <w:t xml:space="preserve">Rationale:</w:t>
      </w:r>
    </w:p>
    <w:p>
      <w:pPr>
        <w:pStyle w:val="BodyText"/>
      </w:pPr>
      <w:r>
        <w:t xml:space="preserve">Binary market aligns with the</w:t>
      </w:r>
      <w:r>
        <w:t xml:space="preserve"> </w:t>
      </w:r>
      <m:oMath>
        <m:r>
          <m:rPr>
            <m:sty m:val="p"/>
          </m:rPr>
          <m:t>+</m:t>
        </m:r>
        <m:r>
          <m:t>1</m:t>
        </m:r>
        <m:r>
          <m:rPr>
            <m:sty m:val="p"/>
          </m:rPr>
          <m:t>/</m:t>
        </m:r>
        <m:r>
          <m:rPr>
            <m:sty m:val="p"/>
          </m:rPr>
          <m:t>−</m:t>
        </m:r>
        <m:r>
          <m:t>1</m:t>
        </m:r>
      </m:oMath>
      <w:r>
        <w:t xml:space="preserve"> </w:t>
      </w:r>
      <w:r>
        <w:t xml:space="preserve">foundational model (clean mapping of “win vs loss,” simpler settlement logic).</w:t>
      </w:r>
      <w:r>
        <w:t xml:space="preserve"> </w:t>
      </w:r>
      <w:hyperlink r:id="rId31">
        <w:r>
          <w:rPr>
            <w:rStyle w:val="Hyperlink"/>
          </w:rPr>
          <w:t xml:space="preserve">[11]</w:t>
        </w:r>
      </w:hyperlink>
    </w:p>
    <w:p>
      <w:pPr>
        <w:pStyle w:val="BodyText"/>
      </w:pPr>
      <w:r>
        <w:t xml:space="preserve">Pregame avoids live latency constraints and platform-side in-play delays; it also reduces the need for real-time WebSocket tiers and lowers the cost of data ingestion.</w:t>
      </w:r>
      <w:r>
        <w:t xml:space="preserve"> </w:t>
      </w:r>
      <w:hyperlink r:id="rId54">
        <w:r>
          <w:rPr>
            <w:rStyle w:val="Hyperlink"/>
          </w:rPr>
          <w:t xml:space="preserve">[47]</w:t>
        </w:r>
      </w:hyperlink>
    </w:p>
    <w:p>
      <w:pPr>
        <w:pStyle w:val="BodyText"/>
      </w:pPr>
      <w:r>
        <w:t xml:space="preserve">Moneyline main markets tend to have clearer line movement and less market-definition variability than props/SGPs, reducing data-semantics risk and backtest leakage from changing market definitions.</w:t>
      </w:r>
      <w:r>
        <w:t xml:space="preserve"> </w:t>
      </w:r>
      <w:hyperlink r:id="rId55">
        <w:r>
          <w:rPr>
            <w:rStyle w:val="Hyperlink"/>
          </w:rPr>
          <w:t xml:space="preserve">[48]</w:t>
        </w:r>
      </w:hyperlink>
    </w:p>
    <w:bookmarkEnd w:id="76"/>
    <w:bookmarkStart w:id="77" w:name="mermaid-roadmap-for-v1-implementation"/>
    <w:p>
      <w:pPr>
        <w:pStyle w:val="Heading3"/>
      </w:pPr>
      <w:r>
        <w:t xml:space="preserve">Mermaid roadmap for v1 implementation</w:t>
      </w:r>
    </w:p>
    <w:p>
      <w:pPr>
        <w:pStyle w:val="SourceCode"/>
      </w:pPr>
      <w:r>
        <w:rPr>
          <w:rStyle w:val="VerbatimChar"/>
        </w:rPr>
        <w:t xml:space="preserve">gantt</w:t>
      </w:r>
      <w:r>
        <w:br/>
      </w:r>
      <w:r>
        <w:rPr>
          <w:rStyle w:val="VerbatimChar"/>
        </w:rPr>
        <w:t xml:space="preserve">  title v1 Probability-Driven Agent Roadmap (Pregame MLB Moneyline)</w:t>
      </w:r>
      <w:r>
        <w:br/>
      </w:r>
      <w:r>
        <w:rPr>
          <w:rStyle w:val="VerbatimChar"/>
        </w:rPr>
        <w:t xml:space="preserve">  dateFormat  YYYY-MM-DD</w:t>
      </w:r>
      <w:r>
        <w:br/>
      </w:r>
      <w:r>
        <w:rPr>
          <w:rStyle w:val="VerbatimChar"/>
        </w:rPr>
        <w:t xml:space="preserve">  axisFormat  %b %d</w:t>
      </w:r>
      <w:r>
        <w:br/>
      </w:r>
      <w:r>
        <w:br/>
      </w:r>
      <w:r>
        <w:rPr>
          <w:rStyle w:val="VerbatimChar"/>
        </w:rPr>
        <w:t xml:space="preserve">  section Data &amp; Compliance</w:t>
      </w:r>
      <w:r>
        <w:br/>
      </w:r>
      <w:r>
        <w:rPr>
          <w:rStyle w:val="VerbatimChar"/>
        </w:rPr>
        <w:t xml:space="preserve">  Choose 1 odds-data vendor + read ToS         :a1, 2026-03-30, 7d</w:t>
      </w:r>
      <w:r>
        <w:br/>
      </w:r>
      <w:r>
        <w:rPr>
          <w:rStyle w:val="VerbatimChar"/>
        </w:rPr>
        <w:t xml:space="preserve">  Define market schema + settlement semantics   :a2, after a1, 7d</w:t>
      </w:r>
      <w:r>
        <w:br/>
      </w:r>
      <w:r>
        <w:rPr>
          <w:rStyle w:val="VerbatimChar"/>
        </w:rPr>
        <w:t xml:space="preserve">  Build data retention + audit log              :a3, after a2, 10d</w:t>
      </w:r>
      <w:r>
        <w:br/>
      </w:r>
      <w:r>
        <w:br/>
      </w:r>
      <w:r>
        <w:rPr>
          <w:rStyle w:val="VerbatimChar"/>
        </w:rPr>
        <w:t xml:space="preserve">  section Modeling</w:t>
      </w:r>
      <w:r>
        <w:br/>
      </w:r>
      <w:r>
        <w:rPr>
          <w:rStyle w:val="VerbatimChar"/>
        </w:rPr>
        <w:t xml:space="preserve">  Build baseline features + implied probs       :b1, after a2, 10d</w:t>
      </w:r>
      <w:r>
        <w:br/>
      </w:r>
      <w:r>
        <w:rPr>
          <w:rStyle w:val="VerbatimChar"/>
        </w:rPr>
        <w:t xml:space="preserve">  Backtest with overfitting controls            :b2, after b1, 14d</w:t>
      </w:r>
      <w:r>
        <w:br/>
      </w:r>
      <w:r>
        <w:rPr>
          <w:rStyle w:val="VerbatimChar"/>
        </w:rPr>
        <w:t xml:space="preserve">  Bayesian p tracking + conservative planning   :b3, after b1, 10d</w:t>
      </w:r>
      <w:r>
        <w:br/>
      </w:r>
      <w:r>
        <w:br/>
      </w:r>
      <w:r>
        <w:rPr>
          <w:rStyle w:val="VerbatimChar"/>
        </w:rPr>
        <w:t xml:space="preserve">  section Risk Engine</w:t>
      </w:r>
      <w:r>
        <w:br/>
      </w:r>
      <w:r>
        <w:rPr>
          <w:rStyle w:val="VerbatimChar"/>
        </w:rPr>
        <w:t xml:space="preserve">  Implement pre-trade limits + kill switch      :c1, after a3, 10d</w:t>
      </w:r>
      <w:r>
        <w:br/>
      </w:r>
      <w:r>
        <w:rPr>
          <w:rStyle w:val="VerbatimChar"/>
        </w:rPr>
        <w:t xml:space="preserve">  Implement ladder/withdrawal policy            :c2, after c1, 7d</w:t>
      </w:r>
      <w:r>
        <w:br/>
      </w:r>
      <w:r>
        <w:rPr>
          <w:rStyle w:val="VerbatimChar"/>
        </w:rPr>
        <w:t xml:space="preserve">  Monitoring + alerts (limits, anomalies)       :c3, after c1, 10d</w:t>
      </w:r>
      <w:r>
        <w:br/>
      </w:r>
      <w:r>
        <w:br/>
      </w:r>
      <w:r>
        <w:rPr>
          <w:rStyle w:val="VerbatimChar"/>
        </w:rPr>
        <w:t xml:space="preserve">  section Execution</w:t>
      </w:r>
      <w:r>
        <w:br/>
      </w:r>
      <w:r>
        <w:rPr>
          <w:rStyle w:val="VerbatimChar"/>
        </w:rPr>
        <w:t xml:space="preserve">  Paper trading on official demo/sim venue      :d1, after c2, 14d</w:t>
      </w:r>
      <w:r>
        <w:br/>
      </w:r>
      <w:r>
        <w:rPr>
          <w:rStyle w:val="VerbatimChar"/>
        </w:rPr>
        <w:t xml:space="preserve">  Small-stakes live trial (jurisdiction-checked):d2, after d1, 14d</w:t>
      </w:r>
      <w:r>
        <w:br/>
      </w:r>
      <w:r>
        <w:rPr>
          <w:rStyle w:val="VerbatimChar"/>
        </w:rPr>
        <w:t xml:space="preserve">  Post-trial review + tighten controls          :d3, after d2, 7d</w:t>
      </w:r>
    </w:p>
    <w:bookmarkEnd w:id="77"/>
    <w:bookmarkStart w:id="78" w:name="chart-downloads-original-files"/>
    <w:p>
      <w:pPr>
        <w:pStyle w:val="Heading3"/>
      </w:pPr>
      <w:r>
        <w:t xml:space="preserve">Chart downloads (original files)</w:t>
      </w:r>
    </w:p>
    <w:p>
      <w:pPr>
        <w:pStyle w:val="SourceCode"/>
      </w:pPr>
      <w:r>
        <w:rPr>
          <w:rStyle w:val="VerbatimChar"/>
        </w:rPr>
        <w:t xml:space="preserve">sandbox:/mnt/data/probability_vs_target.png</w:t>
      </w:r>
      <w:r>
        <w:br/>
      </w:r>
      <w:r>
        <w:rPr>
          <w:rStyle w:val="VerbatimChar"/>
        </w:rPr>
        <w:t xml:space="preserve">sandbox:/mnt/data/sensitivity_starting_bankroll.png</w:t>
      </w:r>
    </w:p>
    <w:bookmarkEnd w:id="78"/>
    <w:bookmarkEnd w:id="79"/>
    <w:bookmarkEnd w:id="80"/>
    <w:bookmarkEnd w:id="81"/>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[9]</w:t>
        </w:r>
      </w:hyperlink>
      <w:r>
        <w:t xml:space="preserve"> </w:t>
      </w:r>
      <w:hyperlink r:id="rId21">
        <w:r>
          <w:rPr>
            <w:rStyle w:val="Hyperlink"/>
          </w:rPr>
          <w:t xml:space="preserve">[26]</w:t>
        </w:r>
      </w:hyperlink>
      <w:r>
        <w:t xml:space="preserve"> </w:t>
      </w:r>
      <w:hyperlink r:id="rId21">
        <w:r>
          <w:rPr>
            <w:rStyle w:val="Hyperlink"/>
          </w:rPr>
          <w:t xml:space="preserve">[31]</w:t>
        </w:r>
      </w:hyperlink>
      <w:r>
        <w:t xml:space="preserve"> </w:t>
      </w:r>
      <w:hyperlink r:id="rId21">
        <w:r>
          <w:rPr>
            <w:rStyle w:val="Hyperlink"/>
          </w:rPr>
          <w:t xml:space="preserve">[37]</w:t>
        </w:r>
      </w:hyperlink>
      <w:r>
        <w:t xml:space="preserve"> </w:t>
      </w:r>
      <w:hyperlink r:id="rId21">
        <w:r>
          <w:rPr>
            <w:rStyle w:val="Hyperlink"/>
          </w:rPr>
          <w:t xml:space="preserve">[43]</w:t>
        </w:r>
      </w:hyperlink>
      <w:r>
        <w:t xml:space="preserve"> </w:t>
      </w:r>
      <w:r>
        <w:t xml:space="preserve">A New Interpretation of Information Rate</w:t>
      </w:r>
    </w:p>
    <w:p>
      <w:pPr>
        <w:pStyle w:val="BodyText"/>
      </w:pPr>
      <w:hyperlink r:id="rId21">
        <w:r>
          <w:rPr>
            <w:rStyle w:val="Hyperlink"/>
          </w:rPr>
          <w:t xml:space="preserve">https://www.princeton.edu/~wbialek/rome/refs/kelly_56.pdf?utm_source=chatgpt.com</w:t>
        </w:r>
      </w:hyperlink>
    </w:p>
    <w:p>
      <w:pPr>
        <w:pStyle w:val="BodyText"/>
      </w:pPr>
      <w:hyperlink r:id="rId22">
        <w:r>
          <w:rPr>
            <w:rStyle w:val="Hyperlink"/>
          </w:rPr>
          <w:t xml:space="preserve">[3]</w:t>
        </w:r>
      </w:hyperlink>
      <w:r>
        <w:t xml:space="preserve"> </w:t>
      </w:r>
      <w:hyperlink r:id="rId22">
        <w:r>
          <w:rPr>
            <w:rStyle w:val="Hyperlink"/>
          </w:rPr>
          <w:t xml:space="preserve">[6]</w:t>
        </w:r>
      </w:hyperlink>
      <w:r>
        <w:t xml:space="preserve"> </w:t>
      </w:r>
      <w:r>
        <w:t xml:space="preserve">Martingales, Stopping Times, and the Optional ...</w:t>
      </w:r>
    </w:p>
    <w:p>
      <w:pPr>
        <w:pStyle w:val="BodyText"/>
      </w:pPr>
      <w:hyperlink r:id="rId22">
        <w:r>
          <w:rPr>
            <w:rStyle w:val="Hyperlink"/>
          </w:rPr>
          <w:t xml:space="preserve">https://math.uchicago.edu/~may/REU2019/REUPapers/Davidovsky.pdf?utm_source=chatgpt.com</w:t>
        </w:r>
      </w:hyperlink>
    </w:p>
    <w:p>
      <w:pPr>
        <w:pStyle w:val="BodyText"/>
      </w:pPr>
      <w:hyperlink r:id="rId23">
        <w:r>
          <w:rPr>
            <w:rStyle w:val="Hyperlink"/>
          </w:rPr>
          <w:t xml:space="preserve">[4]</w:t>
        </w:r>
      </w:hyperlink>
      <w:r>
        <w:t xml:space="preserve"> </w:t>
      </w:r>
      <w:hyperlink r:id="rId23">
        <w:r>
          <w:rPr>
            <w:rStyle w:val="Hyperlink"/>
          </w:rPr>
          <w:t xml:space="preserve">[27]</w:t>
        </w:r>
      </w:hyperlink>
      <w:r>
        <w:t xml:space="preserve"> </w:t>
      </w:r>
      <w:r>
        <w:t xml:space="preserve">https://developer.betfair.com/</w:t>
      </w:r>
    </w:p>
    <w:p>
      <w:pPr>
        <w:pStyle w:val="BodyText"/>
      </w:pPr>
      <w:hyperlink r:id="rId23">
        <w:r>
          <w:rPr>
            <w:rStyle w:val="Hyperlink"/>
          </w:rPr>
          <w:t xml:space="preserve">https://developer.betfair.com/</w:t>
        </w:r>
      </w:hyperlink>
    </w:p>
    <w:p>
      <w:pPr>
        <w:pStyle w:val="BodyText"/>
      </w:pPr>
      <w:hyperlink r:id="rId31">
        <w:r>
          <w:rPr>
            <w:rStyle w:val="Hyperlink"/>
          </w:rPr>
          <w:t xml:space="preserve">[7]</w:t>
        </w:r>
      </w:hyperlink>
      <w:r>
        <w:t xml:space="preserve"> </w:t>
      </w:r>
      <w:hyperlink r:id="rId31">
        <w:r>
          <w:rPr>
            <w:rStyle w:val="Hyperlink"/>
          </w:rPr>
          <w:t xml:space="preserve">[11]</w:t>
        </w:r>
      </w:hyperlink>
      <w:r>
        <w:t xml:space="preserve"> </w:t>
      </w:r>
      <w:r>
        <w:t xml:space="preserve">Lecture Notes 1 The Gambler's Ruin</w:t>
      </w:r>
    </w:p>
    <w:p>
      <w:pPr>
        <w:pStyle w:val="BodyText"/>
      </w:pPr>
      <w:hyperlink r:id="rId31">
        <w:r>
          <w:rPr>
            <w:rStyle w:val="Hyperlink"/>
          </w:rPr>
          <w:t xml:space="preserve">https://courses.csail.mit.edu/6.042/past-devel/archive/spring00/archive/lectures/L26.pdf?utm_source=chatgpt.com</w:t>
        </w:r>
      </w:hyperlink>
    </w:p>
    <w:p>
      <w:pPr>
        <w:pStyle w:val="BodyText"/>
      </w:pPr>
      <w:hyperlink r:id="rId33">
        <w:r>
          <w:rPr>
            <w:rStyle w:val="Hyperlink"/>
          </w:rPr>
          <w:t xml:space="preserve">[8]</w:t>
        </w:r>
      </w:hyperlink>
      <w:r>
        <w:t xml:space="preserve"> </w:t>
      </w:r>
      <w:hyperlink r:id="rId33">
        <w:r>
          <w:rPr>
            <w:rStyle w:val="Hyperlink"/>
          </w:rPr>
          <w:t xml:space="preserve">[46]</w:t>
        </w:r>
      </w:hyperlink>
      <w:r>
        <w:t xml:space="preserve"> </w:t>
      </w:r>
      <w:r>
        <w:t xml:space="preserve">https://github.com/pinnacleapi/pinnacleapi-documentation</w:t>
      </w:r>
    </w:p>
    <w:p>
      <w:pPr>
        <w:pStyle w:val="BodyText"/>
      </w:pPr>
      <w:hyperlink r:id="rId33">
        <w:r>
          <w:rPr>
            <w:rStyle w:val="Hyperlink"/>
          </w:rPr>
          <w:t xml:space="preserve">https://github.com/pinnacleapi/pinnacleapi-documentation</w:t>
        </w:r>
      </w:hyperlink>
    </w:p>
    <w:p>
      <w:pPr>
        <w:pStyle w:val="BodyText"/>
      </w:pPr>
      <w:hyperlink r:id="rId34">
        <w:r>
          <w:rPr>
            <w:rStyle w:val="Hyperlink"/>
          </w:rPr>
          <w:t xml:space="preserve">[10]</w:t>
        </w:r>
      </w:hyperlink>
      <w:r>
        <w:t xml:space="preserve"> </w:t>
      </w:r>
      <w:r>
        <w:t xml:space="preserve">Using the Kelly Criterion for Investing</w:t>
      </w:r>
    </w:p>
    <w:p>
      <w:pPr>
        <w:pStyle w:val="BodyText"/>
      </w:pPr>
      <w:hyperlink r:id="rId34">
        <w:r>
          <w:rPr>
            <w:rStyle w:val="Hyperlink"/>
          </w:rPr>
          <w:t xml:space="preserve">https://webhomes.maths.ed.ac.uk/mckinnon/blackouts/StochOptFinanceAndEnergySpringer/Chap1_KellyZiemba.pdf?utm_source=chatgpt.com</w:t>
        </w:r>
      </w:hyperlink>
    </w:p>
    <w:p>
      <w:pPr>
        <w:pStyle w:val="BodyText"/>
      </w:pPr>
      <w:hyperlink r:id="rId48">
        <w:r>
          <w:rPr>
            <w:rStyle w:val="Hyperlink"/>
          </w:rPr>
          <w:t xml:space="preserve">[12]</w:t>
        </w:r>
      </w:hyperlink>
      <w:r>
        <w:t xml:space="preserve"> </w:t>
      </w:r>
      <w:r>
        <w:t xml:space="preserve">Conjugate Priors: Beta and Normal 18.05 Spring 2022</w:t>
      </w:r>
    </w:p>
    <w:p>
      <w:pPr>
        <w:pStyle w:val="BodyText"/>
      </w:pPr>
      <w:hyperlink r:id="rId48">
        <w:r>
          <w:rPr>
            <w:rStyle w:val="Hyperlink"/>
          </w:rPr>
          <w:t xml:space="preserve">https://ocw.mit.edu/courses/18-05-introduction-to-probability-and-statistics-spring-2022/mit18_05_s22_lec15.pdf?utm_source=chatgpt.com</w:t>
        </w:r>
      </w:hyperlink>
    </w:p>
    <w:p>
      <w:pPr>
        <w:pStyle w:val="BodyText"/>
      </w:pPr>
      <w:hyperlink r:id="rId49">
        <w:r>
          <w:rPr>
            <w:rStyle w:val="Hyperlink"/>
          </w:rPr>
          <w:t xml:space="preserve">[13]</w:t>
        </w:r>
      </w:hyperlink>
      <w:r>
        <w:t xml:space="preserve"> </w:t>
      </w:r>
      <w:hyperlink r:id="rId49">
        <w:r>
          <w:rPr>
            <w:rStyle w:val="Hyperlink"/>
          </w:rPr>
          <w:t xml:space="preserve">[14]</w:t>
        </w:r>
      </w:hyperlink>
      <w:r>
        <w:t xml:space="preserve"> </w:t>
      </w:r>
      <w:r>
        <w:t xml:space="preserve">Noninformative (``Default") Bayes</w:t>
      </w:r>
    </w:p>
    <w:p>
      <w:pPr>
        <w:pStyle w:val="BodyText"/>
      </w:pPr>
      <w:hyperlink r:id="rId49">
        <w:r>
          <w:rPr>
            <w:rStyle w:val="Hyperlink"/>
          </w:rPr>
          <w:t xml:space="preserve">https://www2.stat.duke.edu/~rcs46/lecturesModernBayes/601-module4-objective/lecture6-objective.pdf?utm_source=chatgpt.com</w:t>
        </w:r>
      </w:hyperlink>
    </w:p>
    <w:p>
      <w:pPr>
        <w:pStyle w:val="BodyText"/>
      </w:pPr>
      <w:hyperlink r:id="rId50">
        <w:r>
          <w:rPr>
            <w:rStyle w:val="Hyperlink"/>
          </w:rPr>
          <w:t xml:space="preserve">[15]</w:t>
        </w:r>
      </w:hyperlink>
      <w:r>
        <w:t xml:space="preserve"> </w:t>
      </w:r>
      <w:r>
        <w:t xml:space="preserve">THE PROBABILITY OF BACKTEST OVERFITTING</w:t>
      </w:r>
    </w:p>
    <w:p>
      <w:pPr>
        <w:pStyle w:val="BodyText"/>
      </w:pPr>
      <w:hyperlink r:id="rId50">
        <w:r>
          <w:rPr>
            <w:rStyle w:val="Hyperlink"/>
          </w:rPr>
          <w:t xml:space="preserve">https://www.davidhbailey.com/dhbpapers/backtest-prob.pdf?utm_source=chatgpt.com</w:t>
        </w:r>
      </w:hyperlink>
    </w:p>
    <w:p>
      <w:pPr>
        <w:pStyle w:val="BodyText"/>
      </w:pPr>
      <w:hyperlink r:id="rId53">
        <w:r>
          <w:rPr>
            <w:rStyle w:val="Hyperlink"/>
          </w:rPr>
          <w:t xml:space="preserve">[16]</w:t>
        </w:r>
      </w:hyperlink>
      <w:r>
        <w:t xml:space="preserve"> </w:t>
      </w:r>
      <w:r>
        <w:t xml:space="preserve">https://www.betfair.com/aboutUs/Betfair.Charges/</w:t>
      </w:r>
    </w:p>
    <w:p>
      <w:pPr>
        <w:pStyle w:val="BodyText"/>
      </w:pPr>
      <w:hyperlink r:id="rId53">
        <w:r>
          <w:rPr>
            <w:rStyle w:val="Hyperlink"/>
          </w:rPr>
          <w:t xml:space="preserve">https://www.betfair.com/aboutUs/Betfair.Charges/</w:t>
        </w:r>
      </w:hyperlink>
    </w:p>
    <w:p>
      <w:pPr>
        <w:pStyle w:val="BodyText"/>
      </w:pPr>
      <w:hyperlink r:id="rId54">
        <w:r>
          <w:rPr>
            <w:rStyle w:val="Hyperlink"/>
          </w:rPr>
          <w:t xml:space="preserve">[17]</w:t>
        </w:r>
      </w:hyperlink>
      <w:r>
        <w:t xml:space="preserve"> </w:t>
      </w:r>
      <w:hyperlink r:id="rId54">
        <w:r>
          <w:rPr>
            <w:rStyle w:val="Hyperlink"/>
          </w:rPr>
          <w:t xml:space="preserve">[47]</w:t>
        </w:r>
      </w:hyperlink>
      <w:r>
        <w:t xml:space="preserve"> </w:t>
      </w:r>
      <w:r>
        <w:t xml:space="preserve">https://support.developer.betfair.com/hc/en-us/articles/360002825652-Why-do-you-have-a-delay-on-placing-bets-on-a-market-that-is-in-play</w:t>
      </w:r>
    </w:p>
    <w:p>
      <w:pPr>
        <w:pStyle w:val="BodyText"/>
      </w:pPr>
      <w:hyperlink r:id="rId54">
        <w:r>
          <w:rPr>
            <w:rStyle w:val="Hyperlink"/>
          </w:rPr>
          <w:t xml:space="preserve">https://support.developer.betfair.com/hc/en-us/articles/360002825652-Why-do-you-have-a-delay-on-placing-bets-on-a-market-that-is-in-play</w:t>
        </w:r>
      </w:hyperlink>
    </w:p>
    <w:p>
      <w:pPr>
        <w:pStyle w:val="BodyText"/>
      </w:pPr>
      <w:hyperlink r:id="rId55">
        <w:r>
          <w:rPr>
            <w:rStyle w:val="Hyperlink"/>
          </w:rPr>
          <w:t xml:space="preserve">[18]</w:t>
        </w:r>
      </w:hyperlink>
      <w:r>
        <w:t xml:space="preserve"> </w:t>
      </w:r>
      <w:hyperlink r:id="rId55">
        <w:r>
          <w:rPr>
            <w:rStyle w:val="Hyperlink"/>
          </w:rPr>
          <w:t xml:space="preserve">[30]</w:t>
        </w:r>
      </w:hyperlink>
      <w:r>
        <w:t xml:space="preserve"> </w:t>
      </w:r>
      <w:hyperlink r:id="rId55">
        <w:r>
          <w:rPr>
            <w:rStyle w:val="Hyperlink"/>
          </w:rPr>
          <w:t xml:space="preserve">[39]</w:t>
        </w:r>
      </w:hyperlink>
      <w:r>
        <w:t xml:space="preserve"> </w:t>
      </w:r>
      <w:hyperlink r:id="rId55">
        <w:r>
          <w:rPr>
            <w:rStyle w:val="Hyperlink"/>
          </w:rPr>
          <w:t xml:space="preserve">[45]</w:t>
        </w:r>
      </w:hyperlink>
      <w:r>
        <w:t xml:space="preserve"> </w:t>
      </w:r>
      <w:hyperlink r:id="rId55">
        <w:r>
          <w:rPr>
            <w:rStyle w:val="Hyperlink"/>
          </w:rPr>
          <w:t xml:space="preserve">[48]</w:t>
        </w:r>
      </w:hyperlink>
      <w:r>
        <w:t xml:space="preserve"> </w:t>
      </w:r>
      <w:r>
        <w:t xml:space="preserve">https://docs.therundown.io/rate-limits</w:t>
      </w:r>
    </w:p>
    <w:p>
      <w:pPr>
        <w:pStyle w:val="BodyText"/>
      </w:pPr>
      <w:hyperlink r:id="rId55">
        <w:r>
          <w:rPr>
            <w:rStyle w:val="Hyperlink"/>
          </w:rPr>
          <w:t xml:space="preserve">https://docs.therundown.io/rate-limits</w:t>
        </w:r>
      </w:hyperlink>
    </w:p>
    <w:p>
      <w:pPr>
        <w:pStyle w:val="BodyText"/>
      </w:pPr>
      <w:hyperlink r:id="rId56">
        <w:r>
          <w:rPr>
            <w:rStyle w:val="Hyperlink"/>
          </w:rPr>
          <w:t xml:space="preserve">[19]</w:t>
        </w:r>
      </w:hyperlink>
      <w:r>
        <w:t xml:space="preserve"> </w:t>
      </w:r>
      <w:r>
        <w:t xml:space="preserve">Day Trading: Your Dollars at Risk</w:t>
      </w:r>
    </w:p>
    <w:p>
      <w:pPr>
        <w:pStyle w:val="BodyText"/>
      </w:pPr>
      <w:hyperlink r:id="rId56">
        <w:r>
          <w:rPr>
            <w:rStyle w:val="Hyperlink"/>
          </w:rPr>
          <w:t xml:space="preserve">https://www.sec.gov/about/reports-publications/investorpubsdaytipshtm?utm_source=chatgpt.com</w:t>
        </w:r>
      </w:hyperlink>
    </w:p>
    <w:p>
      <w:pPr>
        <w:pStyle w:val="BodyText"/>
      </w:pPr>
      <w:hyperlink r:id="rId57">
        <w:r>
          <w:rPr>
            <w:rStyle w:val="Hyperlink"/>
          </w:rPr>
          <w:t xml:space="preserve">[20]</w:t>
        </w:r>
      </w:hyperlink>
      <w:r>
        <w:t xml:space="preserve"> </w:t>
      </w:r>
      <w:hyperlink r:id="rId57">
        <w:r>
          <w:rPr>
            <w:rStyle w:val="Hyperlink"/>
          </w:rPr>
          <w:t xml:space="preserve">[41]</w:t>
        </w:r>
      </w:hyperlink>
      <w:r>
        <w:t xml:space="preserve"> </w:t>
      </w:r>
      <w:r>
        <w:t xml:space="preserve">https://igamingbusiness.com/legal-compliance/kalshi-nevada-temporary-restriction-march-2026/</w:t>
      </w:r>
    </w:p>
    <w:p>
      <w:pPr>
        <w:pStyle w:val="BodyText"/>
      </w:pPr>
      <w:hyperlink r:id="rId57">
        <w:r>
          <w:rPr>
            <w:rStyle w:val="Hyperlink"/>
          </w:rPr>
          <w:t xml:space="preserve">https://igamingbusiness.com/legal-compliance/kalshi-nevada-temporary-restriction-march-2026/</w:t>
        </w:r>
      </w:hyperlink>
    </w:p>
    <w:p>
      <w:pPr>
        <w:pStyle w:val="BodyText"/>
      </w:pPr>
      <w:hyperlink r:id="rId58">
        <w:r>
          <w:rPr>
            <w:rStyle w:val="Hyperlink"/>
          </w:rPr>
          <w:t xml:space="preserve">[21]</w:t>
        </w:r>
      </w:hyperlink>
      <w:r>
        <w:t xml:space="preserve"> </w:t>
      </w:r>
      <w:hyperlink r:id="rId58">
        <w:r>
          <w:rPr>
            <w:rStyle w:val="Hyperlink"/>
          </w:rPr>
          <w:t xml:space="preserve">[35]</w:t>
        </w:r>
      </w:hyperlink>
      <w:r>
        <w:t xml:space="preserve"> </w:t>
      </w:r>
      <w:r>
        <w:t xml:space="preserve">CFTC Customer Advisory Cautions the Public to Beware of ...</w:t>
      </w:r>
    </w:p>
    <w:p>
      <w:pPr>
        <w:pStyle w:val="BodyText"/>
      </w:pPr>
      <w:hyperlink r:id="rId58">
        <w:r>
          <w:rPr>
            <w:rStyle w:val="Hyperlink"/>
          </w:rPr>
          <w:t xml:space="preserve">https://www.cftc.gov/PressRoom/PressReleases/8854-24?utm_source=chatgpt.com</w:t>
        </w:r>
      </w:hyperlink>
    </w:p>
    <w:p>
      <w:pPr>
        <w:pStyle w:val="BodyText"/>
      </w:pPr>
      <w:hyperlink r:id="rId60">
        <w:r>
          <w:rPr>
            <w:rStyle w:val="Hyperlink"/>
          </w:rPr>
          <w:t xml:space="preserve">[22]</w:t>
        </w:r>
      </w:hyperlink>
      <w:r>
        <w:t xml:space="preserve"> </w:t>
      </w:r>
      <w:hyperlink r:id="rId60">
        <w:r>
          <w:rPr>
            <w:rStyle w:val="Hyperlink"/>
          </w:rPr>
          <w:t xml:space="preserve">[23]</w:t>
        </w:r>
      </w:hyperlink>
      <w:r>
        <w:t xml:space="preserve"> </w:t>
      </w:r>
      <w:r>
        <w:t xml:space="preserve">Final Rule: Risk Management Controls for Brokers or ...</w:t>
      </w:r>
    </w:p>
    <w:p>
      <w:pPr>
        <w:pStyle w:val="BodyText"/>
      </w:pPr>
      <w:hyperlink r:id="rId60">
        <w:r>
          <w:rPr>
            <w:rStyle w:val="Hyperlink"/>
          </w:rPr>
          <w:t xml:space="preserve">https://www.sec.gov/files/rules/final/2010/34-63241.pdf?utm_source=chatgpt.com</w:t>
        </w:r>
      </w:hyperlink>
    </w:p>
    <w:p>
      <w:pPr>
        <w:pStyle w:val="BodyText"/>
      </w:pPr>
      <w:hyperlink r:id="rId61">
        <w:r>
          <w:rPr>
            <w:rStyle w:val="Hyperlink"/>
          </w:rPr>
          <w:t xml:space="preserve">[24]</w:t>
        </w:r>
      </w:hyperlink>
      <w:r>
        <w:t xml:space="preserve"> </w:t>
      </w:r>
      <w:r>
        <w:t xml:space="preserve">Best Practices For Automated Trading Risk Controls And ...</w:t>
      </w:r>
    </w:p>
    <w:p>
      <w:pPr>
        <w:pStyle w:val="BodyText"/>
      </w:pPr>
      <w:hyperlink r:id="rId61">
        <w:r>
          <w:rPr>
            <w:rStyle w:val="Hyperlink"/>
          </w:rPr>
          <w:t xml:space="preserve">https://www.fia.org/sites/default/files/2024-07/FIA_WP_AUTOMATED%20TRADING%20RISK%20CONTROLS_FINAL_0.pdf?utm_source=chatgpt.com</w:t>
        </w:r>
      </w:hyperlink>
    </w:p>
    <w:p>
      <w:pPr>
        <w:pStyle w:val="BodyText"/>
      </w:pPr>
      <w:hyperlink r:id="rId62">
        <w:r>
          <w:rPr>
            <w:rStyle w:val="Hyperlink"/>
          </w:rPr>
          <w:t xml:space="preserve">[25]</w:t>
        </w:r>
      </w:hyperlink>
      <w:r>
        <w:t xml:space="preserve"> </w:t>
      </w:r>
      <w:r>
        <w:t xml:space="preserve">https://docs.kalshi.com/getting_started/rate_limits</w:t>
      </w:r>
    </w:p>
    <w:p>
      <w:pPr>
        <w:pStyle w:val="BodyText"/>
      </w:pPr>
      <w:hyperlink r:id="rId62">
        <w:r>
          <w:rPr>
            <w:rStyle w:val="Hyperlink"/>
          </w:rPr>
          <w:t xml:space="preserve">https://docs.kalshi.com/getting_started/rate_limits</w:t>
        </w:r>
      </w:hyperlink>
    </w:p>
    <w:p>
      <w:pPr>
        <w:pStyle w:val="BodyText"/>
      </w:pPr>
      <w:hyperlink r:id="rId66">
        <w:r>
          <w:rPr>
            <w:rStyle w:val="Hyperlink"/>
          </w:rPr>
          <w:t xml:space="preserve">[28]</w:t>
        </w:r>
      </w:hyperlink>
      <w:r>
        <w:t xml:space="preserve"> </w:t>
      </w:r>
      <w:hyperlink r:id="rId66">
        <w:r>
          <w:rPr>
            <w:rStyle w:val="Hyperlink"/>
          </w:rPr>
          <w:t xml:space="preserve">[29]</w:t>
        </w:r>
      </w:hyperlink>
      <w:r>
        <w:t xml:space="preserve"> </w:t>
      </w:r>
      <w:r>
        <w:t xml:space="preserve">https://the-odds-api.com/</w:t>
      </w:r>
    </w:p>
    <w:p>
      <w:pPr>
        <w:pStyle w:val="BodyText"/>
      </w:pPr>
      <w:hyperlink r:id="rId66">
        <w:r>
          <w:rPr>
            <w:rStyle w:val="Hyperlink"/>
          </w:rPr>
          <w:t xml:space="preserve">https://the-odds-api.com/</w:t>
        </w:r>
      </w:hyperlink>
    </w:p>
    <w:p>
      <w:pPr>
        <w:pStyle w:val="BodyText"/>
      </w:pPr>
      <w:hyperlink r:id="rId67">
        <w:r>
          <w:rPr>
            <w:rStyle w:val="Hyperlink"/>
          </w:rPr>
          <w:t xml:space="preserve">[32]</w:t>
        </w:r>
      </w:hyperlink>
      <w:r>
        <w:t xml:space="preserve"> </w:t>
      </w:r>
      <w:r>
        <w:t xml:space="preserve">https://sportsgameodds.com/pricing</w:t>
      </w:r>
    </w:p>
    <w:p>
      <w:pPr>
        <w:pStyle w:val="BodyText"/>
      </w:pPr>
      <w:hyperlink r:id="rId67">
        <w:r>
          <w:rPr>
            <w:rStyle w:val="Hyperlink"/>
          </w:rPr>
          <w:t xml:space="preserve">https://sportsgameodds.com/pricing</w:t>
        </w:r>
      </w:hyperlink>
    </w:p>
    <w:p>
      <w:pPr>
        <w:pStyle w:val="BodyText"/>
      </w:pPr>
      <w:hyperlink r:id="rId68">
        <w:r>
          <w:rPr>
            <w:rStyle w:val="Hyperlink"/>
          </w:rPr>
          <w:t xml:space="preserve">[33]</w:t>
        </w:r>
      </w:hyperlink>
      <w:r>
        <w:t xml:space="preserve"> </w:t>
      </w:r>
      <w:hyperlink r:id="rId68">
        <w:r>
          <w:rPr>
            <w:rStyle w:val="Hyperlink"/>
          </w:rPr>
          <w:t xml:space="preserve">[40]</w:t>
        </w:r>
      </w:hyperlink>
      <w:r>
        <w:t xml:space="preserve"> </w:t>
      </w:r>
      <w:r>
        <w:t xml:space="preserve">https://docs.kalshi.com/welcome</w:t>
      </w:r>
    </w:p>
    <w:p>
      <w:pPr>
        <w:pStyle w:val="BodyText"/>
      </w:pPr>
      <w:hyperlink r:id="rId68">
        <w:r>
          <w:rPr>
            <w:rStyle w:val="Hyperlink"/>
          </w:rPr>
          <w:t xml:space="preserve">https://docs.kalshi.com/welcome</w:t>
        </w:r>
      </w:hyperlink>
    </w:p>
    <w:p>
      <w:pPr>
        <w:pStyle w:val="BodyText"/>
      </w:pPr>
      <w:hyperlink r:id="rId69">
        <w:r>
          <w:rPr>
            <w:rStyle w:val="Hyperlink"/>
          </w:rPr>
          <w:t xml:space="preserve">[34]</w:t>
        </w:r>
      </w:hyperlink>
      <w:r>
        <w:t xml:space="preserve"> </w:t>
      </w:r>
      <w:r>
        <w:t xml:space="preserve">https://developer.opticodds.com/docs/odds-api-getting-started-guide</w:t>
      </w:r>
    </w:p>
    <w:p>
      <w:pPr>
        <w:pStyle w:val="BodyText"/>
      </w:pPr>
      <w:hyperlink r:id="rId69">
        <w:r>
          <w:rPr>
            <w:rStyle w:val="Hyperlink"/>
          </w:rPr>
          <w:t xml:space="preserve">https://developer.opticodds.com/docs/odds-api-getting-started-guide</w:t>
        </w:r>
      </w:hyperlink>
    </w:p>
    <w:p>
      <w:pPr>
        <w:pStyle w:val="BodyText"/>
      </w:pPr>
      <w:hyperlink r:id="rId70">
        <w:r>
          <w:rPr>
            <w:rStyle w:val="Hyperlink"/>
          </w:rPr>
          <w:t xml:space="preserve">[36]</w:t>
        </w:r>
      </w:hyperlink>
      <w:r>
        <w:t xml:space="preserve"> </w:t>
      </w:r>
      <w:r>
        <w:t xml:space="preserve">https://sportradar.com/media-tech/data-content/sports-data-api/</w:t>
      </w:r>
    </w:p>
    <w:p>
      <w:pPr>
        <w:pStyle w:val="BodyText"/>
      </w:pPr>
      <w:hyperlink r:id="rId70">
        <w:r>
          <w:rPr>
            <w:rStyle w:val="Hyperlink"/>
          </w:rPr>
          <w:t xml:space="preserve">https://sportradar.com/media-tech/data-content/sports-data-api/</w:t>
        </w:r>
      </w:hyperlink>
    </w:p>
    <w:p>
      <w:pPr>
        <w:pStyle w:val="BodyText"/>
      </w:pPr>
      <w:hyperlink r:id="rId72">
        <w:r>
          <w:rPr>
            <w:rStyle w:val="Hyperlink"/>
          </w:rPr>
          <w:t xml:space="preserve">[38]</w:t>
        </w:r>
      </w:hyperlink>
      <w:r>
        <w:t xml:space="preserve"> </w:t>
      </w:r>
      <w:r>
        <w:t xml:space="preserve">https://support.developer.betfair.com/hc/en-us/articles/360002464152-Which-API-Licence-Do-I-Require</w:t>
      </w:r>
    </w:p>
    <w:p>
      <w:pPr>
        <w:pStyle w:val="BodyText"/>
      </w:pPr>
      <w:hyperlink r:id="rId72">
        <w:r>
          <w:rPr>
            <w:rStyle w:val="Hyperlink"/>
          </w:rPr>
          <w:t xml:space="preserve">https://support.developer.betfair.com/hc/en-us/articles/360002464152-Which-API-Licence-Do-I-Require</w:t>
        </w:r>
      </w:hyperlink>
    </w:p>
    <w:p>
      <w:pPr>
        <w:pStyle w:val="BodyText"/>
      </w:pPr>
      <w:hyperlink r:id="rId73">
        <w:r>
          <w:rPr>
            <w:rStyle w:val="Hyperlink"/>
          </w:rPr>
          <w:t xml:space="preserve">[42]</w:t>
        </w:r>
      </w:hyperlink>
      <w:r>
        <w:t xml:space="preserve"> </w:t>
      </w:r>
      <w:r>
        <w:t xml:space="preserve">https://docs.prophetx.co/</w:t>
      </w:r>
    </w:p>
    <w:p>
      <w:pPr>
        <w:pStyle w:val="BodyText"/>
      </w:pPr>
      <w:hyperlink r:id="rId73">
        <w:r>
          <w:rPr>
            <w:rStyle w:val="Hyperlink"/>
          </w:rPr>
          <w:t xml:space="preserve">https://docs.prophetx.co/</w:t>
        </w:r>
      </w:hyperlink>
    </w:p>
    <w:p>
      <w:pPr>
        <w:pStyle w:val="BodyText"/>
      </w:pPr>
      <w:hyperlink r:id="rId74">
        <w:r>
          <w:rPr>
            <w:rStyle w:val="Hyperlink"/>
          </w:rPr>
          <w:t xml:space="preserve">[44]</w:t>
        </w:r>
      </w:hyperlink>
      <w:r>
        <w:t xml:space="preserve"> </w:t>
      </w:r>
      <w:r>
        <w:t xml:space="preserve">https://new.getsporttrade.com/</w:t>
      </w:r>
    </w:p>
    <w:p>
      <w:pPr>
        <w:pStyle w:val="BodyText"/>
      </w:pPr>
      <w:hyperlink r:id="rId74">
        <w:r>
          <w:rPr>
            <w:rStyle w:val="Hyperlink"/>
          </w:rPr>
          <w:t xml:space="preserve">https://new.getsporttrade.com/</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courses.csail.mit.edu/6.042/past-devel/archive/spring00/archive/lectures/L26.pdf?utm_source=chatgpt.com" TargetMode="External" /><Relationship Type="http://schemas.openxmlformats.org/officeDocument/2006/relationships/hyperlink" Id="rId23" Target="https://developer.betfair.com/" TargetMode="External" /><Relationship Type="http://schemas.openxmlformats.org/officeDocument/2006/relationships/hyperlink" Id="rId69" Target="https://developer.opticodds.com/docs/odds-api-getting-started-guide" TargetMode="External" /><Relationship Type="http://schemas.openxmlformats.org/officeDocument/2006/relationships/hyperlink" Id="rId62" Target="https://docs.kalshi.com/getting_started/rate_limits" TargetMode="External" /><Relationship Type="http://schemas.openxmlformats.org/officeDocument/2006/relationships/hyperlink" Id="rId68" Target="https://docs.kalshi.com/welcome" TargetMode="External" /><Relationship Type="http://schemas.openxmlformats.org/officeDocument/2006/relationships/hyperlink" Id="rId73" Target="https://docs.prophetx.co/" TargetMode="External" /><Relationship Type="http://schemas.openxmlformats.org/officeDocument/2006/relationships/hyperlink" Id="rId55" Target="https://docs.therundown.io/rate-limits" TargetMode="External" /><Relationship Type="http://schemas.openxmlformats.org/officeDocument/2006/relationships/hyperlink" Id="rId33" Target="https://github.com/pinnacleapi/pinnacleapi-documentation" TargetMode="External" /><Relationship Type="http://schemas.openxmlformats.org/officeDocument/2006/relationships/hyperlink" Id="rId57" Target="https://igamingbusiness.com/legal-compliance/kalshi-nevada-temporary-restriction-march-2026/" TargetMode="External" /><Relationship Type="http://schemas.openxmlformats.org/officeDocument/2006/relationships/hyperlink" Id="rId22" Target="https://math.uchicago.edu/~may/REU2019/REUPapers/Davidovsky.pdf?utm_source=chatgpt.com" TargetMode="External" /><Relationship Type="http://schemas.openxmlformats.org/officeDocument/2006/relationships/hyperlink" Id="rId74" Target="https://new.getsporttrade.com/" TargetMode="External" /><Relationship Type="http://schemas.openxmlformats.org/officeDocument/2006/relationships/hyperlink" Id="rId48" Target="https://ocw.mit.edu/courses/18-05-introduction-to-probability-and-statistics-spring-2022/mit18_05_s22_lec15.pdf?utm_source=chatgpt.com" TargetMode="External" /><Relationship Type="http://schemas.openxmlformats.org/officeDocument/2006/relationships/hyperlink" Id="rId70" Target="https://sportradar.com/media-tech/data-content/sports-data-api/" TargetMode="External" /><Relationship Type="http://schemas.openxmlformats.org/officeDocument/2006/relationships/hyperlink" Id="rId67" Target="https://sportsgameodds.com/pricing" TargetMode="External" /><Relationship Type="http://schemas.openxmlformats.org/officeDocument/2006/relationships/hyperlink" Id="rId72" Target="https://support.developer.betfair.com/hc/en-us/articles/360002464152-Which-API-Licence-Do-I-Require" TargetMode="External" /><Relationship Type="http://schemas.openxmlformats.org/officeDocument/2006/relationships/hyperlink" Id="rId54" Target="https://support.developer.betfair.com/hc/en-us/articles/360002825652-Why-do-you-have-a-delay-on-placing-bets-on-a-market-that-is-in-play" TargetMode="External" /><Relationship Type="http://schemas.openxmlformats.org/officeDocument/2006/relationships/hyperlink" Id="rId66" Target="https://the-odds-api.com/" TargetMode="External" /><Relationship Type="http://schemas.openxmlformats.org/officeDocument/2006/relationships/hyperlink" Id="rId34" Target="https://webhomes.maths.ed.ac.uk/mckinnon/blackouts/StochOptFinanceAndEnergySpringer/Chap1_KellyZiemba.pdf?utm_source=chatgpt.com" TargetMode="External" /><Relationship Type="http://schemas.openxmlformats.org/officeDocument/2006/relationships/hyperlink" Id="rId53" Target="https://www.betfair.com/aboutUs/Betfair.Charges/" TargetMode="External" /><Relationship Type="http://schemas.openxmlformats.org/officeDocument/2006/relationships/hyperlink" Id="rId58" Target="https://www.cftc.gov/PressRoom/PressReleases/8854-24?utm_source=chatgpt.com" TargetMode="External" /><Relationship Type="http://schemas.openxmlformats.org/officeDocument/2006/relationships/hyperlink" Id="rId50" Target="https://www.davidhbailey.com/dhbpapers/backtest-prob.pdf?utm_source=chatgpt.com" TargetMode="External" /><Relationship Type="http://schemas.openxmlformats.org/officeDocument/2006/relationships/hyperlink" Id="rId61" Target="https://www.fia.org/sites/default/files/2024-07/FIA_WP_AUTOMATED%20TRADING%20RISK%20CONTROLS_FINAL_0.pdf?utm_source=chatgpt.com" TargetMode="External" /><Relationship Type="http://schemas.openxmlformats.org/officeDocument/2006/relationships/hyperlink" Id="rId21" Target="https://www.princeton.edu/~wbialek/rome/refs/kelly_56.pdf?utm_source=chatgpt.com" TargetMode="External" /><Relationship Type="http://schemas.openxmlformats.org/officeDocument/2006/relationships/hyperlink" Id="rId56" Target="https://www.sec.gov/about/reports-publications/investorpubsdaytipshtm?utm_source=chatgpt.com" TargetMode="External" /><Relationship Type="http://schemas.openxmlformats.org/officeDocument/2006/relationships/hyperlink" Id="rId60" Target="https://www.sec.gov/files/rules/final/2010/34-63241.pdf?utm_source=chatgpt.com" TargetMode="External" /><Relationship Type="http://schemas.openxmlformats.org/officeDocument/2006/relationships/hyperlink" Id="rId49" Target="https://www2.stat.duke.edu/~rcs46/lecturesModernBayes/601-module4-objective/lecture6-objective.pdf?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1" Target="https://courses.csail.mit.edu/6.042/past-devel/archive/spring00/archive/lectures/L26.pdf?utm_source=chatgpt.com" TargetMode="External" /><Relationship Type="http://schemas.openxmlformats.org/officeDocument/2006/relationships/hyperlink" Id="rId23" Target="https://developer.betfair.com/" TargetMode="External" /><Relationship Type="http://schemas.openxmlformats.org/officeDocument/2006/relationships/hyperlink" Id="rId69" Target="https://developer.opticodds.com/docs/odds-api-getting-started-guide" TargetMode="External" /><Relationship Type="http://schemas.openxmlformats.org/officeDocument/2006/relationships/hyperlink" Id="rId62" Target="https://docs.kalshi.com/getting_started/rate_limits" TargetMode="External" /><Relationship Type="http://schemas.openxmlformats.org/officeDocument/2006/relationships/hyperlink" Id="rId68" Target="https://docs.kalshi.com/welcome" TargetMode="External" /><Relationship Type="http://schemas.openxmlformats.org/officeDocument/2006/relationships/hyperlink" Id="rId73" Target="https://docs.prophetx.co/" TargetMode="External" /><Relationship Type="http://schemas.openxmlformats.org/officeDocument/2006/relationships/hyperlink" Id="rId55" Target="https://docs.therundown.io/rate-limits" TargetMode="External" /><Relationship Type="http://schemas.openxmlformats.org/officeDocument/2006/relationships/hyperlink" Id="rId33" Target="https://github.com/pinnacleapi/pinnacleapi-documentation" TargetMode="External" /><Relationship Type="http://schemas.openxmlformats.org/officeDocument/2006/relationships/hyperlink" Id="rId57" Target="https://igamingbusiness.com/legal-compliance/kalshi-nevada-temporary-restriction-march-2026/" TargetMode="External" /><Relationship Type="http://schemas.openxmlformats.org/officeDocument/2006/relationships/hyperlink" Id="rId22" Target="https://math.uchicago.edu/~may/REU2019/REUPapers/Davidovsky.pdf?utm_source=chatgpt.com" TargetMode="External" /><Relationship Type="http://schemas.openxmlformats.org/officeDocument/2006/relationships/hyperlink" Id="rId74" Target="https://new.getsporttrade.com/" TargetMode="External" /><Relationship Type="http://schemas.openxmlformats.org/officeDocument/2006/relationships/hyperlink" Id="rId48" Target="https://ocw.mit.edu/courses/18-05-introduction-to-probability-and-statistics-spring-2022/mit18_05_s22_lec15.pdf?utm_source=chatgpt.com" TargetMode="External" /><Relationship Type="http://schemas.openxmlformats.org/officeDocument/2006/relationships/hyperlink" Id="rId70" Target="https://sportradar.com/media-tech/data-content/sports-data-api/" TargetMode="External" /><Relationship Type="http://schemas.openxmlformats.org/officeDocument/2006/relationships/hyperlink" Id="rId67" Target="https://sportsgameodds.com/pricing" TargetMode="External" /><Relationship Type="http://schemas.openxmlformats.org/officeDocument/2006/relationships/hyperlink" Id="rId72" Target="https://support.developer.betfair.com/hc/en-us/articles/360002464152-Which-API-Licence-Do-I-Require" TargetMode="External" /><Relationship Type="http://schemas.openxmlformats.org/officeDocument/2006/relationships/hyperlink" Id="rId54" Target="https://support.developer.betfair.com/hc/en-us/articles/360002825652-Why-do-you-have-a-delay-on-placing-bets-on-a-market-that-is-in-play" TargetMode="External" /><Relationship Type="http://schemas.openxmlformats.org/officeDocument/2006/relationships/hyperlink" Id="rId66" Target="https://the-odds-api.com/" TargetMode="External" /><Relationship Type="http://schemas.openxmlformats.org/officeDocument/2006/relationships/hyperlink" Id="rId34" Target="https://webhomes.maths.ed.ac.uk/mckinnon/blackouts/StochOptFinanceAndEnergySpringer/Chap1_KellyZiemba.pdf?utm_source=chatgpt.com" TargetMode="External" /><Relationship Type="http://schemas.openxmlformats.org/officeDocument/2006/relationships/hyperlink" Id="rId53" Target="https://www.betfair.com/aboutUs/Betfair.Charges/" TargetMode="External" /><Relationship Type="http://schemas.openxmlformats.org/officeDocument/2006/relationships/hyperlink" Id="rId58" Target="https://www.cftc.gov/PressRoom/PressReleases/8854-24?utm_source=chatgpt.com" TargetMode="External" /><Relationship Type="http://schemas.openxmlformats.org/officeDocument/2006/relationships/hyperlink" Id="rId50" Target="https://www.davidhbailey.com/dhbpapers/backtest-prob.pdf?utm_source=chatgpt.com" TargetMode="External" /><Relationship Type="http://schemas.openxmlformats.org/officeDocument/2006/relationships/hyperlink" Id="rId61" Target="https://www.fia.org/sites/default/files/2024-07/FIA_WP_AUTOMATED%20TRADING%20RISK%20CONTROLS_FINAL_0.pdf?utm_source=chatgpt.com" TargetMode="External" /><Relationship Type="http://schemas.openxmlformats.org/officeDocument/2006/relationships/hyperlink" Id="rId21" Target="https://www.princeton.edu/~wbialek/rome/refs/kelly_56.pdf?utm_source=chatgpt.com" TargetMode="External" /><Relationship Type="http://schemas.openxmlformats.org/officeDocument/2006/relationships/hyperlink" Id="rId56" Target="https://www.sec.gov/about/reports-publications/investorpubsdaytipshtm?utm_source=chatgpt.com" TargetMode="External" /><Relationship Type="http://schemas.openxmlformats.org/officeDocument/2006/relationships/hyperlink" Id="rId60" Target="https://www.sec.gov/files/rules/final/2010/34-63241.pdf?utm_source=chatgpt.com" TargetMode="External" /><Relationship Type="http://schemas.openxmlformats.org/officeDocument/2006/relationships/hyperlink" Id="rId49" Target="https://www2.stat.duke.edu/~rcs46/lecturesModernBayes/601-module4-objective/lecture6-objective.pdf?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2026-03-27T23:04:14Z</dcterms:created>
  <dcterms:modified xsi:type="dcterms:W3CDTF">2026-03-27T23:04:14Z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