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Задание состорит в выполнении некоторых действий с mc редактором, направленных на улучшение понимания работы с последним.</w:t>
      </w:r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Ссылка на</w:t>
      </w:r>
      <w:r>
        <w:t xml:space="preserve"> </w:t>
      </w:r>
      <w:hyperlink r:id="rId22">
        <w:r>
          <w:rPr>
            <w:rStyle w:val="Hyperlink"/>
          </w:rPr>
          <w:t xml:space="preserve">Github</w:t>
        </w:r>
      </w:hyperlink>
    </w:p>
    <w:bookmarkEnd w:id="23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1406178" cy="1052712"/>
            <wp:effectExtent b="0" l="0" r="0" t="0"/>
            <wp:docPr descr="Рис. 1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178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1.</w:t>
      </w:r>
    </w:p>
    <w:p>
      <w:pPr>
        <w:pStyle w:val="CaptionedFigure"/>
      </w:pPr>
      <w:r>
        <w:drawing>
          <wp:inline>
            <wp:extent cx="5334000" cy="2337370"/>
            <wp:effectExtent b="0" l="0" r="0" t="0"/>
            <wp:docPr descr="Рис. 2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2.</w:t>
      </w:r>
    </w:p>
    <w:p>
      <w:pPr>
        <w:pStyle w:val="CaptionedFigure"/>
      </w:pPr>
      <w:r>
        <w:drawing>
          <wp:inline>
            <wp:extent cx="2743200" cy="1060396"/>
            <wp:effectExtent b="0" l="0" r="0" t="0"/>
            <wp:docPr descr="Рис. 3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3.</w:t>
      </w:r>
    </w:p>
    <w:p>
      <w:pPr>
        <w:pStyle w:val="CaptionedFigure"/>
      </w:pPr>
      <w:r>
        <w:drawing>
          <wp:inline>
            <wp:extent cx="3442447" cy="1075764"/>
            <wp:effectExtent b="0" l="0" r="0" t="0"/>
            <wp:docPr descr="Рис. 4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4.</w:t>
      </w:r>
    </w:p>
    <w:p>
      <w:pPr>
        <w:pStyle w:val="CaptionedFigure"/>
      </w:pPr>
      <w:r>
        <w:drawing>
          <wp:inline>
            <wp:extent cx="4233902" cy="1805747"/>
            <wp:effectExtent b="0" l="0" r="0" t="0"/>
            <wp:docPr descr="Рис. 5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180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5.</w:t>
      </w:r>
    </w:p>
    <w:p>
      <w:pPr>
        <w:pStyle w:val="CaptionedFigure"/>
      </w:pPr>
      <w:r>
        <w:drawing>
          <wp:inline>
            <wp:extent cx="3972645" cy="2497310"/>
            <wp:effectExtent b="0" l="0" r="0" t="0"/>
            <wp:docPr descr="Рис. 6.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6.</w:t>
      </w:r>
    </w:p>
    <w:p>
      <w:pPr>
        <w:pStyle w:val="CaptionedFigure"/>
      </w:pPr>
      <w:r>
        <w:drawing>
          <wp:inline>
            <wp:extent cx="5334000" cy="5098472"/>
            <wp:effectExtent b="0" l="0" r="0" t="0"/>
            <wp:docPr descr="Рис. 7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7.</w:t>
      </w:r>
    </w:p>
    <w:p>
      <w:pPr>
        <w:pStyle w:val="CaptionedFigure"/>
      </w:pPr>
      <w:r>
        <w:drawing>
          <wp:inline>
            <wp:extent cx="5334000" cy="4656100"/>
            <wp:effectExtent b="0" l="0" r="0" t="0"/>
            <wp:docPr descr="Рис. 8.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8.</w:t>
      </w:r>
    </w:p>
    <w:p>
      <w:pPr>
        <w:pStyle w:val="CaptionedFigure"/>
      </w:pPr>
      <w:r>
        <w:drawing>
          <wp:inline>
            <wp:extent cx="5334000" cy="2534386"/>
            <wp:effectExtent b="0" l="0" r="0" t="0"/>
            <wp:docPr descr="Рис. 9.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9.</w:t>
      </w:r>
    </w:p>
    <w:p>
      <w:pPr>
        <w:pStyle w:val="CaptionedFigure"/>
      </w:pPr>
      <w:r>
        <w:drawing>
          <wp:inline>
            <wp:extent cx="4748732" cy="461042"/>
            <wp:effectExtent b="0" l="0" r="0" t="0"/>
            <wp:docPr descr="Рис. 10.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10.</w:t>
      </w:r>
    </w:p>
    <w:p>
      <w:pPr>
        <w:pStyle w:val="CaptionedFigure"/>
      </w:pPr>
      <w:r>
        <w:drawing>
          <wp:inline>
            <wp:extent cx="2397418" cy="2558783"/>
            <wp:effectExtent b="0" l="0" r="0" t="0"/>
            <wp:docPr descr="Рис. 11.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255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11.</w:t>
      </w:r>
    </w:p>
    <w:p>
      <w:pPr>
        <w:pStyle w:val="CaptionedFigure"/>
      </w:pPr>
      <w:r>
        <w:drawing>
          <wp:inline>
            <wp:extent cx="2166897" cy="2443522"/>
            <wp:effectExtent b="0" l="0" r="0" t="0"/>
            <wp:docPr descr="Рис. 12.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244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12.</w:t>
      </w:r>
    </w:p>
    <w:p>
      <w:pPr>
        <w:pStyle w:val="CaptionedFigure"/>
      </w:pPr>
      <w:r>
        <w:drawing>
          <wp:inline>
            <wp:extent cx="2620255" cy="2320578"/>
            <wp:effectExtent b="0" l="0" r="0" t="0"/>
            <wp:docPr descr="Рис. 13.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55" cy="232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Рис. 13.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научились работать с редактором mc.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Работа с системами хранения файлов и директорий, редактор самих файлов.</w:t>
      </w:r>
    </w:p>
    <w:p>
      <w:pPr>
        <w:numPr>
          <w:ilvl w:val="0"/>
          <w:numId w:val="1001"/>
        </w:numPr>
      </w:pPr>
      <w:r>
        <w:t xml:space="preserve">Создавать, копировать, перемещать…</w:t>
      </w:r>
    </w:p>
    <w:p>
      <w:pPr>
        <w:numPr>
          <w:ilvl w:val="0"/>
          <w:numId w:val="1001"/>
        </w:numPr>
      </w:pPr>
      <w:r>
        <w:t xml:space="preserve">Данная структура помагает легче работать с директориями и файлами.</w:t>
      </w:r>
    </w:p>
    <w:p>
      <w:pPr>
        <w:numPr>
          <w:ilvl w:val="0"/>
          <w:numId w:val="1001"/>
        </w:numPr>
      </w:pPr>
      <w:r>
        <w:t xml:space="preserve">Данная вкладка настроена прямо на работу с выбранным файлом или директорией.</w:t>
      </w:r>
    </w:p>
    <w:p>
      <w:pPr>
        <w:numPr>
          <w:ilvl w:val="0"/>
          <w:numId w:val="1001"/>
        </w:numPr>
      </w:pPr>
      <w:r>
        <w:t xml:space="preserve">Данная вкладка более всех похожа на командную строку, больше помогает переходить из папки в папку.</w:t>
      </w:r>
    </w:p>
    <w:p>
      <w:pPr>
        <w:numPr>
          <w:ilvl w:val="0"/>
          <w:numId w:val="1001"/>
        </w:numPr>
      </w:pPr>
      <w:r>
        <w:t xml:space="preserve">Позволяет настроить mc.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hyperlink" Id="rId22" Target="https://github.com/DankoDmitry/study_2021-2022_os-intr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ithub.com/DankoDmitry/study_2021-2022_os-intr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2022-05-13T11:53:49Z</dcterms:created>
  <dcterms:modified xsi:type="dcterms:W3CDTF">2022-05-13T11:53:49Z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