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64.png" ContentType="image/png"/>
  <Override PartName="/word/media/rId37.png" ContentType="image/png"/>
  <Override PartName="/word/media/rId49.png" ContentType="image/png"/>
  <Override PartName="/word/media/rId55.png" ContentType="image/png"/>
  <Override PartName="/word/media/rId74.png" ContentType="image/png"/>
  <Override PartName="/word/media/rId80.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Krigeage d’indicatrices</w:t>
      </w:r>
    </w:p>
    <w:p>
      <w:pPr>
        <w:pStyle w:val="AbstractTitle"/>
      </w:pPr>
      <w:r>
        <w:t xml:space="preserve">Résumé</w:t>
      </w:r>
    </w:p>
    <w:p>
      <w:pPr>
        <w:pStyle w:val="Abstract"/>
      </w:pPr>
      <w:r>
        <w:t xml:space="preserve">Ce chapitre présente le krigeage d’indicatrices (KI), une méthode géostatistique non linéaire qui estime directement la fonction de répartition locale de la variable à chaque emplacement non échantillonné. Le KI convient aux phénomènes non gaussiens, fortement asymétriques ou dont la continuité spatiale varie selon les classes de valeurs. La méthode est fort utilse pour estimer des probabilités de dépassement d’un seuil, il sert notamment en géologie minière, en hydrogéologie et en génie de l’environnement. Des ateliers interactifs permettent de manipuler le codage, la construction de la fonction de répartition, la correction des relations d’ordre et le changement de support.</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Décrire la différence entre une méthode de krigeage linéaire (KS, KO, KU, KED) et une méthode non linéaire (KI);</w:t>
            </w:r>
          </w:p>
          <w:p>
            <w:pPr>
              <w:numPr>
                <w:ilvl w:val="0"/>
                <w:numId w:val="1001"/>
              </w:numPr>
            </w:pPr>
            <w:r>
              <w:t xml:space="preserve">Expliquer les hypothèses à la base du KI;</w:t>
            </w:r>
          </w:p>
          <w:p>
            <w:pPr>
              <w:numPr>
                <w:ilvl w:val="0"/>
                <w:numId w:val="1001"/>
              </w:numPr>
            </w:pPr>
            <w:r>
              <w:t xml:space="preserve">Coder les indicatrices et construire une fonction de répartition conditionnelle locale;</w:t>
            </w:r>
          </w:p>
          <w:p>
            <w:pPr>
              <w:numPr>
                <w:ilvl w:val="0"/>
                <w:numId w:val="1001"/>
              </w:numPr>
            </w:pPr>
            <w:r>
              <w:t xml:space="preserve">Corriger les problèmes de relations d’ordre (monotonie et bornage);</w:t>
            </w:r>
          </w:p>
          <w:p>
            <w:pPr>
              <w:numPr>
                <w:ilvl w:val="0"/>
                <w:numId w:val="1001"/>
              </w:numPr>
            </w:pPr>
            <w:r>
              <w:t xml:space="preserve">Appliquer la correction affine pour le changement de support;</w:t>
            </w:r>
          </w:p>
          <w:p>
            <w:pPr>
              <w:numPr>
                <w:ilvl w:val="0"/>
                <w:numId w:val="1001"/>
              </w:numPr>
            </w:pPr>
            <w:r>
              <w:t xml:space="preserve">Intégrer des données incertaines (inégalités) dans le KI;</w:t>
            </w:r>
          </w:p>
          <w:p>
            <w:pPr>
              <w:numPr>
                <w:ilvl w:val="0"/>
                <w:numId w:val="1001"/>
              </w:numPr>
            </w:pPr>
            <w:r>
              <w:t xml:space="preserve">Extraire des résultats du KI les grandeurs utiles : probabilités de dépassement, quantiles, espérance et variance conditionnelles.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Références</w:t>
            </w:r>
          </w:p>
        </w:tc>
      </w:tr>
      <w:tr>
        <w:trPr>
          <w:cantSplit/>
        </w:trPr>
        <w:tc>
          <w:tcPr>
            <w:tcMar>
              <w:top w:w="108" w:type="dxa"/>
              <w:bottom w:w="108" w:type="dxa"/>
            </w:tcMar>
          </w:tcPr>
          <w:p>
            <w:pPr>
              <w:pStyle w:val="BodyText"/>
            </w:pPr>
            <w:pPr>
              <w:spacing w:before="16" w:after="16"/>
            </w:pPr>
            <w:r>
              <w:t xml:space="preserve">Ce chapitre s’appuie principalement sur :</w:t>
            </w:r>
          </w:p>
          <w:p/>
        </w:tc>
      </w:tr>
    </w:tbl>
    <w:bookmarkStart w:id="29" w:name="notations-et-hypothèses"/>
    <w:p>
      <w:pPr>
        <w:pStyle w:val="Heading2"/>
      </w:pPr>
      <w:r>
        <w:t xml:space="preserve">1 Notations et hypothèses</w:t>
      </w:r>
    </w:p>
    <w:p>
      <w:pPr>
        <w:pStyle w:val="FirstParagraph"/>
      </w:pPr>
      <w:r>
        <w:t xml:space="preserve">Le krigeage d’indicatrices est une méthode non paramétrique fondée sur le krigeage de variables indicatrices. Plutôt que d’estimer uniquement l’espérance conditionnelle de la variable régionalisée, il vise à reconstruire, en chaque point du domaine, sa fonction de répartition conditionnelle locale. Cette distribution permet ensuite de calculer différentes grandeurs utiles à la décision, notamment les probabilités de dépassement d’un seuil, les quantiles, la variance conditionnelle ou encore l’espérance d’une fonction de coût.</w:t>
      </w:r>
    </w:p>
    <w:p>
      <w:pPr>
        <w:pStyle w:val="BodyText"/>
      </w:pPr>
      <w:r>
        <w:t xml:space="preserve">Cette approche répond directement à la nature de nombreux problèmes décisionnels. En exploitation minière sélective, l’estimation du tonnage et de la teneur récupérables au-delà d’une teneur de coupure</w:t>
      </w:r>
      <w:r>
        <w:t xml:space="preserve"> </w:t>
      </w:r>
      <m:oMath>
        <m:sSub>
          <m:e>
            <m:r>
              <m:t>z</m:t>
            </m:r>
          </m:e>
          <m:sub>
            <m:r>
              <m:t>c</m:t>
            </m:r>
          </m:sub>
        </m:sSub>
      </m:oMath>
      <w:r>
        <w:t xml:space="preserve"> </w:t>
      </w:r>
      <w:r>
        <w:t xml:space="preserve">nécessite d’évaluer la proportion locale de blocs pour lesquels</w:t>
      </w:r>
      <w:r>
        <w:t xml:space="preserve"> </w:t>
      </w:r>
      <m:oMath>
        <m:r>
          <m:t>Z</m:t>
        </m:r>
        <m:d>
          <m:dPr>
            <m:begChr m:val="("/>
            <m:sepChr m:val=""/>
            <m:endChr m:val=")"/>
            <m:grow/>
          </m:dPr>
          <m:e>
            <m:r>
              <m:rPr>
                <m:sty m:val="b"/>
              </m:rPr>
              <m:t>x</m:t>
            </m:r>
          </m:e>
        </m:d>
        <m:r>
          <m:rPr>
            <m:sty m:val="p"/>
          </m:rPr>
          <m:t>&gt;</m:t>
        </m:r>
        <m:sSub>
          <m:e>
            <m:r>
              <m:t>z</m:t>
            </m:r>
          </m:e>
          <m:sub>
            <m:r>
              <m:t>c</m:t>
            </m:r>
          </m:sub>
        </m:sSub>
      </m:oMath>
      <w:r>
        <w:t xml:space="preserve">. En génie de l’environnement, l’évaluation du risque repose souvent sur la probabilité qu’une concentration dépasse un seuil réglementaire. En mécanique des roches, la stabilité d’une excavation peut être analysée à partir de la probabilité qu’une variable géomécanique, comme la densité de fractures, franchisse un seuil critique.</w:t>
      </w:r>
    </w:p>
    <w:p>
      <w:pPr>
        <w:pStyle w:val="BodyText"/>
      </w:pPr>
      <w:r>
        <w:t xml:space="preserve">Dans chacun de ces cas, la grandeur recherchée est une fonction non linéaire de la variable régionalisée. Une estimation ponctuelle obtenue par krigeage simple ou ordinaire ne suffit donc pas, à elle seule, à la déterminer : il faut disposer d’une représentation de la distribution conditionnelle locale.</w:t>
      </w:r>
    </w:p>
    <w:bookmarkStart w:id="26" w:name="la-géostatistique-non-linéaire"/>
    <w:p>
      <w:pPr>
        <w:pStyle w:val="Heading3"/>
      </w:pPr>
      <w:r>
        <w:t xml:space="preserve">1.1 La géostatistique non linéaire</w:t>
      </w:r>
    </w:p>
    <w:p>
      <w:pPr>
        <w:pStyle w:val="FirstParagraph"/>
      </w:pPr>
      <w:r>
        <w:t xml:space="preserve">La quantité recherchée n’est alors plus seulement l’espérance conditionnelle locale, mais la fonction de répartition conditionnelle locale, c’est-à-dire, en chaque point, la distribution de la variable régionalisée conditionnellement aux données observées.</w:t>
      </w:r>
    </w:p>
    <w:p>
      <w:pPr>
        <w:pStyle w:val="BodyText"/>
      </w:pPr>
      <w:r>
        <w:t xml:space="preserve">Sous l’hypothèse de multinormalité, cette distribution conditionnelle est gaussienne et entièrement décrite par sa moyenne et sa variance conditionnelles. La moyenne correspond à l’estimation obtenue par krigeage, tandis que la variance conditionnelle correspond à la variance de krigeage. Il est ainsi possible de déduire directement de ces deux paramètres les probabilités de dépassement et les quantiles locaux.</w:t>
      </w:r>
    </w:p>
    <w:p>
      <w:pPr>
        <w:pStyle w:val="BodyText"/>
      </w:pPr>
      <w:r>
        <w:t xml:space="preserve">Cette propriété repose toutefois entièrement sur l’hypothèse gaussienne. De plus, la variance de krigeage dépend de la configuration spatiale des données et du modèle de covariance, mais pas des valeurs effectivement observées. Lorsque la distribution est non gaussienne, asymétrique ou comporte des valeurs extrêmes, seuiller l’estimation krigée de</w:t>
      </w:r>
      <w:r>
        <w:t xml:space="preserve"> </w:t>
      </w:r>
      <m:oMath>
        <m:r>
          <m:t>Z</m:t>
        </m:r>
        <m:d>
          <m:dPr>
            <m:begChr m:val="("/>
            <m:sepChr m:val=""/>
            <m:endChr m:val=")"/>
            <m:grow/>
          </m:dPr>
          <m:e>
            <m:r>
              <m:rPr>
                <m:sty m:val="b"/>
              </m:rPr>
              <m:t>x</m:t>
            </m:r>
          </m:e>
        </m:d>
      </m:oMath>
      <w:r>
        <w:t xml:space="preserve"> </w:t>
      </w:r>
      <w:r>
        <w:t xml:space="preserve">ne permet donc pas de restituer correctement les probabilités locales de dépassement. Cette limite motive l’estimation explicite de la fonction de répartition conditionnelle locale par les méthodes de géostatistique non linéaire.</w:t>
      </w:r>
    </w:p>
    <w:bookmarkEnd w:id="26"/>
    <w:bookmarkStart w:id="27" w:name="X9388ff694265a9147558dc2b05f11fee301ae2f"/>
    <w:p>
      <w:pPr>
        <w:pStyle w:val="Heading3"/>
      </w:pPr>
      <w:r>
        <w:t xml:space="preserve">1.2 Approches paramétriques et transformations gaussiennes</w:t>
      </w:r>
    </w:p>
    <w:p>
      <w:pPr>
        <w:pStyle w:val="FirstParagraph"/>
      </w:pPr>
      <w:r>
        <w:t xml:space="preserve">Lorsque la distribution marginale des données n’est pas normale, une transformation peut être appliquée afin de la rapprocher d’une loi gaussienne, par exemple une transformation logarithmique, une transformation par rangs ou une anamorphose gaussienne. Cette démarche présente toutefois deux limites fondamentales. Premièrement, obtenir une distribution marginale normale ne garantit pas la multinormalité du champ aléatoire, pourtant nécessaire pour que la distribution conditionnelle soit rigoureusement déterminée par la moyenne et la variance de krigeage. Deuxièmement, lorsque la quantité recherchée porte sur un support différent de celui des observations, par exemple des blocs à partir de données ponctuelles, les probabilités estimées au support ponctuel ne peuvent pas être transposées directement au support de bloc sans modéliser l’effet de support.</w:t>
      </w:r>
    </w:p>
    <w:p>
      <w:pPr>
        <w:pStyle w:val="BodyText"/>
      </w:pPr>
      <w:r>
        <w:t xml:space="preserve">Pour éviter de spécifier une loi paramétrique pour</w:t>
      </w:r>
      <w:r>
        <w:t xml:space="preserve"> </w:t>
      </w:r>
      <m:oMath>
        <m:r>
          <m:t>Z</m:t>
        </m:r>
      </m:oMath>
      <w:r>
        <w:t xml:space="preserve">, une approche fondée sur des variables indicatrices a été proposée. Le krigeage d’indicatrices estime directement, pour une série de seuils, les probabilités conditionnelles qui définissent une approximation discrète de la fonction de répartition locale. Il est ainsi qualifié de méthode non paramétrique, bien qu’il repose toujours sur des hypothèses de stationnarité et de continuité spatiale des indicatrices.</w:t>
      </w:r>
    </w:p>
    <w:bookmarkEnd w:id="27"/>
    <w:bookmarkStart w:id="28" w:name="fondements-et-notations"/>
    <w:p>
      <w:pPr>
        <w:pStyle w:val="Heading3"/>
      </w:pPr>
      <w:r>
        <w:t xml:space="preserve">1.3 Fondements et notations</w:t>
      </w:r>
    </w:p>
    <w:p>
      <w:pPr>
        <w:pStyle w:val="FirstParagraph"/>
      </w:pPr>
      <w:r>
        <w:t xml:space="preserve">Soit</w:t>
      </w:r>
      <w:r>
        <w:t xml:space="preserve"> </w:t>
      </w:r>
      <m:oMath>
        <m:r>
          <m:t>Z</m:t>
        </m:r>
        <m:d>
          <m:dPr>
            <m:begChr m:val="("/>
            <m:sepChr m:val=""/>
            <m:endChr m:val=")"/>
            <m:grow/>
          </m:dPr>
          <m:e>
            <m:r>
              <m:rPr>
                <m:sty m:val="b"/>
              </m:rPr>
              <m:t>x</m:t>
            </m:r>
          </m:e>
        </m:d>
      </m:oMath>
      <w:r>
        <w:t xml:space="preserve"> </w:t>
      </w:r>
      <w:r>
        <w:t xml:space="preserve">une variable aléatoire régionalisée. Pour un seuil</w:t>
      </w:r>
      <w:r>
        <w:t xml:space="preserve"> </w:t>
      </w:r>
      <m:oMath>
        <m:sSub>
          <m:e>
            <m:r>
              <m:t>z</m:t>
            </m:r>
          </m:e>
          <m:sub>
            <m:r>
              <m:t>c</m:t>
            </m:r>
          </m:sub>
        </m:sSub>
      </m:oMath>
      <w:r>
        <w:t xml:space="preserve">, on définit la</w:t>
      </w:r>
      <w:r>
        <w:t xml:space="preserve"> </w:t>
      </w:r>
      <w:r>
        <w:rPr>
          <w:b/>
          <w:bCs/>
        </w:rPr>
        <w:t xml:space="preserve">variable indicatrice</w:t>
      </w:r>
      <w:r>
        <w:t xml:space="preserve"> </w:t>
      </w:r>
      <w:r>
        <w:t xml:space="preserve">:</w:t>
      </w:r>
    </w:p>
    <w:p>
      <w:pPr>
        <w:pStyle w:val="BodyText"/>
      </w:pPr>
      <m:oMathPara>
        <m:oMathParaPr>
          <m:jc m:val="center"/>
        </m:oMathParaPr>
        <m:oMath>
          <m:r>
            <m:t>I</m:t>
          </m:r>
          <m:d>
            <m:dPr>
              <m:begChr m:val="("/>
              <m:sepChr m:val=""/>
              <m:endChr m:val=")"/>
              <m:grow/>
            </m:dPr>
            <m:e>
              <m:r>
                <m:rPr>
                  <m:sty m:val="b"/>
                </m:rPr>
                <m:t>x</m:t>
              </m:r>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m:t>
                    </m:r>
                    <m:r>
                      <m:t>Z</m:t>
                    </m:r>
                    <m:d>
                      <m:dPr>
                        <m:begChr m:val="("/>
                        <m:sepChr m:val=""/>
                        <m:endChr m:val=")"/>
                        <m:grow/>
                      </m:dPr>
                      <m:e>
                        <m:r>
                          <m:rPr>
                            <m:sty m:val="b"/>
                          </m:rPr>
                          <m:t>x</m:t>
                        </m:r>
                      </m:e>
                    </m:d>
                    <m:r>
                      <m:rPr>
                        <m:sty m:val="p"/>
                      </m:rPr>
                      <m:t>≤</m:t>
                    </m:r>
                    <m:sSub>
                      <m:e>
                        <m:r>
                          <m:t>z</m:t>
                        </m:r>
                      </m:e>
                      <m:sub>
                        <m:r>
                          <m:t>c</m:t>
                        </m:r>
                      </m:sub>
                    </m:sSub>
                    <m:r>
                      <m:rPr>
                        <m:sty m:val="p"/>
                      </m:rPr>
                      <m:t>,</m:t>
                    </m:r>
                  </m:e>
                </m:mr>
                <m:mr>
                  <m:e>
                    <m:r>
                      <m:t>0</m:t>
                    </m:r>
                  </m:e>
                  <m:e>
                    <m:r>
                      <m:rPr>
                        <m:nor/>
                        <m:sty m:val="p"/>
                      </m:rPr>
                      <m:t>si </m:t>
                    </m:r>
                    <m:r>
                      <m:t>Z</m:t>
                    </m:r>
                    <m:d>
                      <m:dPr>
                        <m:begChr m:val="("/>
                        <m:sepChr m:val=""/>
                        <m:endChr m:val=")"/>
                        <m:grow/>
                      </m:dPr>
                      <m:e>
                        <m:r>
                          <m:rPr>
                            <m:sty m:val="b"/>
                          </m:rPr>
                          <m:t>x</m:t>
                        </m:r>
                      </m:e>
                    </m:d>
                    <m:r>
                      <m:rPr>
                        <m:sty m:val="p"/>
                      </m:rPr>
                      <m:t>&gt;</m:t>
                    </m:r>
                    <m:sSub>
                      <m:e>
                        <m:r>
                          <m:t>z</m:t>
                        </m:r>
                      </m:e>
                      <m:sub>
                        <m:r>
                          <m:t>c</m:t>
                        </m:r>
                      </m:sub>
                    </m:sSub>
                    <m:r>
                      <m:rPr>
                        <m:sty m:val="p"/>
                      </m:rPr>
                      <m:t>.</m:t>
                    </m:r>
                  </m:e>
                </m:mr>
              </m:m>
            </m:e>
          </m:d>
        </m:oMath>
      </m:oMathPara>
    </w:p>
    <w:p>
      <w:pPr>
        <w:pStyle w:val="FirstParagraph"/>
      </w:pPr>
      <w:r>
        <w:t xml:space="preserve">On distingue la fonction de répartition marginale (globale),</w:t>
      </w:r>
      <w:r>
        <w:t xml:space="preserve"> </w:t>
      </w:r>
      <m:oMath>
        <m:r>
          <m:t>F</m:t>
        </m:r>
        <m:d>
          <m:dPr>
            <m:begChr m:val="("/>
            <m:sepChr m:val=""/>
            <m:endChr m:val=")"/>
            <m:grow/>
          </m:dPr>
          <m:e>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r>
                  <m:rPr>
                    <m:sty m:val="b"/>
                  </m:rPr>
                  <m:t>x</m:t>
                </m:r>
              </m:e>
            </m:d>
            <m:r>
              <m:rPr>
                <m:sty m:val="p"/>
              </m:rPr>
              <m:t>≤</m:t>
            </m:r>
            <m:sSub>
              <m:e>
                <m:r>
                  <m:t>z</m:t>
                </m:r>
              </m:e>
              <m:sub>
                <m:r>
                  <m:t>c</m:t>
                </m:r>
              </m:sub>
            </m:sSub>
          </m:e>
        </m:d>
      </m:oMath>
      <w:r>
        <w:t xml:space="preserve">, de la fonction de répartition conditionnelle (locale),</w:t>
      </w:r>
    </w:p>
    <w:p>
      <w:pPr>
        <w:pStyle w:val="BodyText"/>
      </w:pPr>
      <m:oMathPara>
        <m:oMathParaPr>
          <m:jc m:val="center"/>
        </m:oMathParaPr>
        <m:oMath>
          <m:r>
            <m:t>F</m:t>
          </m:r>
          <m:d>
            <m:dPr>
              <m:begChr m:val="("/>
              <m:sepChr m:val=""/>
              <m:endChr m:val=")"/>
              <m:grow/>
            </m:dPr>
            <m:e>
              <m:sSub>
                <m:e>
                  <m:r>
                    <m:rPr>
                      <m:sty m:val="b"/>
                    </m:rPr>
                    <m:t>x</m:t>
                  </m:r>
                </m:e>
                <m:sub>
                  <m:r>
                    <m:t>0</m:t>
                  </m:r>
                </m:sub>
              </m:sSub>
              <m:r>
                <m:rPr>
                  <m:sty m:val="p"/>
                </m:rPr>
                <m:t>;</m:t>
              </m:r>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r>
            <m:rPr>
              <m:sty m:val="p"/>
            </m:rPr>
            <m:t>.</m:t>
          </m:r>
        </m:oMath>
      </m:oMathPara>
    </w:p>
    <w:p>
      <w:pPr>
        <w:pStyle w:val="FirstParagraph"/>
      </w:pPr>
      <w:r>
        <w:t xml:space="preserve">On suppose les indicatrices stationnaires d’ordre deux, ce qui implique que l’espérance de l’indicatrice est constante,</w:t>
      </w:r>
      <w:r>
        <w:t xml:space="preserve"> </w:t>
      </w:r>
      <m:oMath>
        <m:r>
          <m:rPr>
            <m:sty m:val="p"/>
            <m:scr m:val="double-struck"/>
          </m:rPr>
          <m:t>E</m:t>
        </m:r>
        <m:d>
          <m:dPr>
            <m:begChr m:val="["/>
            <m:sepChr m:val=""/>
            <m:endChr m:val="]"/>
            <m:grow/>
          </m:dPr>
          <m:e>
            <m:r>
              <m:t>I</m:t>
            </m:r>
            <m:d>
              <m:dPr>
                <m:begChr m:val="("/>
                <m:sepChr m:val=""/>
                <m:endChr m:val=")"/>
                <m:grow/>
              </m:dPr>
              <m:e>
                <m:r>
                  <m:rPr>
                    <m:sty m:val="b"/>
                  </m:rPr>
                  <m:t>x</m:t>
                </m:r>
                <m:r>
                  <m:rPr>
                    <m:sty m:val="p"/>
                  </m:rPr>
                  <m:t>;</m:t>
                </m:r>
                <m:sSub>
                  <m:e>
                    <m:r>
                      <m:t>z</m:t>
                    </m:r>
                  </m:e>
                  <m:sub>
                    <m:r>
                      <m:t>c</m:t>
                    </m:r>
                  </m:sub>
                </m:sSub>
              </m:e>
            </m:d>
          </m:e>
        </m:d>
        <m:r>
          <m:rPr>
            <m:sty m:val="p"/>
          </m:rPr>
          <m:t>=</m:t>
        </m:r>
        <m:r>
          <m:t>F</m:t>
        </m:r>
        <m:d>
          <m:dPr>
            <m:begChr m:val="("/>
            <m:sepChr m:val=""/>
            <m:endChr m:val=")"/>
            <m:grow/>
          </m:dPr>
          <m:e>
            <m:sSub>
              <m:e>
                <m:r>
                  <m:t>z</m:t>
                </m:r>
              </m:e>
              <m:sub>
                <m:r>
                  <m:t>c</m:t>
                </m:r>
              </m:sub>
            </m:sSub>
          </m:e>
        </m:d>
      </m:oMath>
      <w:r>
        <w:t xml:space="preserve">, et que la covariance des indicatrices ne dépend que du vecteur de séparation</w:t>
      </w:r>
      <w:r>
        <w:t xml:space="preserve"> </w:t>
      </w:r>
      <m:oMath>
        <m:r>
          <m:rPr>
            <m:sty m:val="b"/>
          </m:rPr>
          <m:t>h</m:t>
        </m:r>
      </m:oMath>
      <w:r>
        <w:t xml:space="preserve">,</w:t>
      </w:r>
      <w:r>
        <w:t xml:space="preserve"> </w:t>
      </w:r>
      <m:oMath>
        <m:r>
          <m:rPr>
            <m:sty m:val="p"/>
          </m:rPr>
          <m:t>Cov</m:t>
        </m:r>
        <m:d>
          <m:dPr>
            <m:begChr m:val="("/>
            <m:sepChr m:val=""/>
            <m:endChr m:val=")"/>
            <m:grow/>
          </m:dPr>
          <m:e>
            <m:r>
              <m:t>I</m:t>
            </m:r>
            <m:d>
              <m:dPr>
                <m:begChr m:val="("/>
                <m:sepChr m:val=""/>
                <m:endChr m:val=")"/>
                <m:grow/>
              </m:dPr>
              <m:e>
                <m:r>
                  <m:rPr>
                    <m:sty m:val="b"/>
                  </m:rPr>
                  <m:t>x</m:t>
                </m:r>
                <m:r>
                  <m:rPr>
                    <m:sty m:val="p"/>
                  </m:rPr>
                  <m:t>;</m:t>
                </m:r>
                <m:sSub>
                  <m:e>
                    <m:r>
                      <m:t>z</m:t>
                    </m:r>
                  </m:e>
                  <m:sub>
                    <m:r>
                      <m:t>c</m:t>
                    </m:r>
                  </m:sub>
                </m:sSub>
              </m:e>
            </m:d>
            <m:r>
              <m:rPr>
                <m:sty m:val="p"/>
              </m:rPr>
              <m:t>,</m:t>
            </m:r>
            <m:r>
              <m:t>I</m:t>
            </m:r>
            <m:d>
              <m:dPr>
                <m:begChr m:val="("/>
                <m:sepChr m:val=""/>
                <m:endChr m:val=")"/>
                <m:grow/>
              </m:dPr>
              <m:e>
                <m:r>
                  <m:rPr>
                    <m:sty m:val="b"/>
                  </m:rPr>
                  <m:t>x</m:t>
                </m:r>
                <m:r>
                  <m:rPr>
                    <m:sty m:val="p"/>
                  </m:rPr>
                  <m:t>+</m:t>
                </m:r>
                <m:r>
                  <m:rPr>
                    <m:sty m:val="b"/>
                  </m:rPr>
                  <m:t>h</m:t>
                </m:r>
                <m:r>
                  <m:rPr>
                    <m:sty m:val="p"/>
                  </m:rPr>
                  <m:t>;</m:t>
                </m:r>
                <m:sSub>
                  <m:e>
                    <m:r>
                      <m:t>z</m:t>
                    </m:r>
                  </m:e>
                  <m:sub>
                    <m:r>
                      <m:t>c</m:t>
                    </m:r>
                  </m:sub>
                </m:sSub>
              </m:e>
            </m:d>
          </m:e>
        </m:d>
        <m:r>
          <m:rPr>
            <m:sty m:val="p"/>
          </m:rPr>
          <m:t>=</m:t>
        </m:r>
        <m:sSub>
          <m:e>
            <m:r>
              <m:t>C</m:t>
            </m:r>
          </m:e>
          <m:sub>
            <m:r>
              <m:t>I</m:t>
            </m:r>
          </m:sub>
        </m:sSub>
        <m:d>
          <m:dPr>
            <m:begChr m:val="("/>
            <m:sepChr m:val=""/>
            <m:endChr m:val=")"/>
            <m:grow/>
          </m:dPr>
          <m:e>
            <m:r>
              <m:rPr>
                <m:sty m:val="b"/>
              </m:rPr>
              <m:t>h</m:t>
            </m:r>
            <m:r>
              <m:rPr>
                <m:sty m:val="p"/>
              </m:rPr>
              <m:t>;</m:t>
            </m:r>
            <m:sSub>
              <m:e>
                <m:r>
                  <m:t>z</m:t>
                </m:r>
              </m:e>
              <m:sub>
                <m:r>
                  <m:t>c</m:t>
                </m:r>
              </m:sub>
            </m:sSub>
          </m:e>
        </m:d>
      </m:oMath>
      <w:r>
        <w:t xml:space="preserve">.</w:t>
      </w:r>
    </w:p>
    <w:bookmarkEnd w:id="28"/>
    <w:bookmarkEnd w:id="29"/>
    <w:bookmarkStart w:id="30" w:name="Xdfaa75951167a64bc52066a3f5cc27cd2560b60"/>
    <w:p>
      <w:pPr>
        <w:pStyle w:val="Heading2"/>
      </w:pPr>
      <w:r>
        <w:t xml:space="preserve">🧮 Atelier interactif 11.1 — Codage de</w:t>
      </w:r>
      <w:r>
        <w:t xml:space="preserve"> </w:t>
      </w:r>
      <m:oMath>
        <m:r>
          <m:t>Z</m:t>
        </m:r>
      </m:oMath>
      <w:r>
        <w:t xml:space="preserve"> </w:t>
      </w:r>
      <w:r>
        <w:t xml:space="preserve">en indicatrices</w:t>
      </w:r>
    </w:p>
    <w:p>
      <w:pPr>
        <w:pStyle w:val="FirstParagraph"/>
      </w:pPr>
      <w:r>
        <w:t xml:space="preserve">Cet atelier n’est disponible que dans la version web.</w:t>
      </w:r>
    </w:p>
    <w:bookmarkEnd w:id="30"/>
    <w:bookmarkStart w:id="48" w:name="krigeage-ordinaire-dindicatrices"/>
    <w:p>
      <w:pPr>
        <w:pStyle w:val="Heading2"/>
      </w:pPr>
      <w:r>
        <w:t xml:space="preserve">2 Krigeage ordinaire d’indicatrices</w:t>
      </w:r>
    </w:p>
    <w:p>
      <w:pPr>
        <w:pStyle w:val="FirstParagraph"/>
      </w:pPr>
      <w:r>
        <w:t xml:space="preserve">Le krigeage fournit le meilleur estimateur linéaire sans biais d’une variable régionalisée, au sens où il minimise la variance de l’erreur d’estimation. Il ne correspond toutefois pas nécessairement à l’espérance conditionnelle, qui constitue l’estimateur optimal parmi toutes les fonctions possibles des données.</w:t>
      </w:r>
    </w:p>
    <w:p>
      <w:pPr>
        <w:pStyle w:val="BodyText"/>
      </w:pPr>
      <w:r>
        <w:t xml:space="preserve">Le krigeage d’indicatrices consiste à appliquer ce principe à une variable binaire définie pour un seuil</w:t>
      </w:r>
      <w:r>
        <w:t xml:space="preserve"> </w:t>
      </w:r>
      <m:oMath>
        <m:sSub>
          <m:e>
            <m:r>
              <m:t>z</m:t>
            </m:r>
          </m:e>
          <m:sub>
            <m:r>
              <m:t>c</m:t>
            </m:r>
          </m:sub>
        </m:sSub>
      </m:oMath>
      <w:r>
        <w:t xml:space="preserve">. Pour un seuil fixé, on transforme</w:t>
      </w:r>
      <w:r>
        <w:t xml:space="preserve"> </w:t>
      </w:r>
      <m:oMath>
        <m:r>
          <m:t>Z</m:t>
        </m:r>
        <m:d>
          <m:dPr>
            <m:begChr m:val="("/>
            <m:sepChr m:val=""/>
            <m:endChr m:val=")"/>
            <m:grow/>
          </m:dPr>
          <m:e>
            <m:r>
              <m:rPr>
                <m:sty m:val="b"/>
              </m:rPr>
              <m:t>x</m:t>
            </m:r>
          </m:e>
        </m:d>
      </m:oMath>
      <w:r>
        <w:t xml:space="preserve"> </w:t>
      </w:r>
      <w:r>
        <w:t xml:space="preserve">en l’indicatrice suivante :</w:t>
      </w:r>
    </w:p>
    <w:p>
      <w:pPr>
        <w:pStyle w:val="BodyText"/>
      </w:pPr>
      <m:oMathPara>
        <m:oMathParaPr>
          <m:jc m:val="center"/>
        </m:oMathParaPr>
        <m:oMath>
          <m:r>
            <m:t>I</m:t>
          </m:r>
          <m:d>
            <m:dPr>
              <m:begChr m:val="("/>
              <m:sepChr m:val=""/>
              <m:endChr m:val=")"/>
              <m:grow/>
            </m:dPr>
            <m:e>
              <m:r>
                <m:rPr>
                  <m:sty m:val="b"/>
                </m:rPr>
                <m:t>x</m:t>
              </m:r>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t>Z</m:t>
                    </m:r>
                    <m:d>
                      <m:dPr>
                        <m:begChr m:val="("/>
                        <m:sepChr m:val=""/>
                        <m:endChr m:val=")"/>
                        <m:grow/>
                      </m:dPr>
                      <m:e>
                        <m:r>
                          <m:rPr>
                            <m:sty m:val="b"/>
                          </m:rPr>
                          <m:t>x</m:t>
                        </m:r>
                      </m:e>
                    </m:d>
                    <m:r>
                      <m:rPr>
                        <m:sty m:val="p"/>
                      </m:rPr>
                      <m:t>≤</m:t>
                    </m:r>
                    <m:sSub>
                      <m:e>
                        <m:r>
                          <m:t>z</m:t>
                        </m:r>
                      </m:e>
                      <m:sub>
                        <m:r>
                          <m:t>c</m:t>
                        </m:r>
                      </m:sub>
                    </m:sSub>
                    <m:r>
                      <m:rPr>
                        <m:sty m:val="p"/>
                      </m:rPr>
                      <m:t>,</m:t>
                    </m:r>
                  </m:e>
                </m:mr>
                <m:mr>
                  <m:e>
                    <m:r>
                      <m:t>0</m:t>
                    </m:r>
                    <m:r>
                      <m:rPr>
                        <m:sty m:val="p"/>
                      </m:rPr>
                      <m:t>,</m:t>
                    </m:r>
                  </m:e>
                  <m:e>
                    <m:r>
                      <m:rPr>
                        <m:nor/>
                        <m:sty m:val="p"/>
                      </m:rPr>
                      <m:t>si </m:t>
                    </m:r>
                    <m:r>
                      <m:t>Z</m:t>
                    </m:r>
                    <m:d>
                      <m:dPr>
                        <m:begChr m:val="("/>
                        <m:sepChr m:val=""/>
                        <m:endChr m:val=")"/>
                        <m:grow/>
                      </m:dPr>
                      <m:e>
                        <m:r>
                          <m:rPr>
                            <m:sty m:val="b"/>
                          </m:rPr>
                          <m:t>x</m:t>
                        </m:r>
                      </m:e>
                    </m:d>
                    <m:r>
                      <m:rPr>
                        <m:sty m:val="p"/>
                      </m:rPr>
                      <m:t>&gt;</m:t>
                    </m:r>
                    <m:sSub>
                      <m:e>
                        <m:r>
                          <m:t>z</m:t>
                        </m:r>
                      </m:e>
                      <m:sub>
                        <m:r>
                          <m:t>c</m:t>
                        </m:r>
                      </m:sub>
                    </m:sSub>
                    <m:r>
                      <m:rPr>
                        <m:sty m:val="p"/>
                      </m:rPr>
                      <m:t>.</m:t>
                    </m:r>
                  </m:e>
                </m:mr>
              </m:m>
            </m:e>
          </m:d>
        </m:oMath>
      </m:oMathPara>
    </w:p>
    <w:p>
      <w:pPr>
        <w:pStyle w:val="FirstParagraph"/>
      </w:pPr>
      <w:r>
        <w:t xml:space="preserve">Au point à estimer</w:t>
      </w:r>
      <w:r>
        <w:t xml:space="preserve"> </w:t>
      </w:r>
      <m:oMath>
        <m:sSub>
          <m:e>
            <m:r>
              <m:rPr>
                <m:sty m:val="b"/>
              </m:rPr>
              <m:t>x</m:t>
            </m:r>
          </m:e>
          <m:sub>
            <m:r>
              <m:t>0</m:t>
            </m:r>
          </m:sub>
        </m:sSub>
      </m:oMath>
      <w:r>
        <w:t xml:space="preserve">, l’espérance conditionnelle de cette indicatrice est exactement la probabilité recherchée :</w:t>
      </w:r>
    </w:p>
    <w:p>
      <w:pPr>
        <w:pStyle w:val="BodyText"/>
      </w:pPr>
      <m:oMathPara>
        <m:oMathParaPr>
          <m:jc m:val="center"/>
        </m:oMathParaPr>
        <m:oMath>
          <m:r>
            <m:rPr>
              <m:sty m:val="p"/>
              <m:scr m:val="double-struck"/>
            </m:rPr>
            <m:t>E</m:t>
          </m:r>
          <m:d>
            <m:dPr>
              <m:begChr m:val="["/>
              <m:sepChr m:val=""/>
              <m:endChr m:val="]"/>
              <m:grow/>
            </m:dPr>
            <m:e>
              <m:r>
                <m:t>I</m:t>
              </m:r>
              <m:d>
                <m:dPr>
                  <m:begChr m:val="("/>
                  <m:sepChr m:val=""/>
                  <m:endChr m:val=")"/>
                  <m:grow/>
                </m:dPr>
                <m:e>
                  <m:sSub>
                    <m:e>
                      <m:r>
                        <m:rPr>
                          <m:sty m:val="b"/>
                        </m:rPr>
                        <m:t>x</m:t>
                      </m:r>
                    </m:e>
                    <m:sub>
                      <m:r>
                        <m:t>0</m:t>
                      </m:r>
                    </m:sub>
                  </m:sSub>
                  <m:r>
                    <m:rPr>
                      <m:sty m:val="p"/>
                    </m:rPr>
                    <m:t>;</m:t>
                  </m:r>
                  <m:sSub>
                    <m:e>
                      <m:r>
                        <m:t>z</m:t>
                      </m:r>
                    </m:e>
                    <m:sub>
                      <m:r>
                        <m:t>c</m:t>
                      </m:r>
                    </m:sub>
                  </m:sSub>
                </m:e>
              </m:d>
              <m:r>
                <m:rPr>
                  <m:sty m:val="p"/>
                </m:rPr>
                <m:t>∣</m:t>
              </m:r>
              <m:r>
                <m:rPr>
                  <m:nor/>
                  <m:sty m:val="p"/>
                </m:rPr>
                <m:t>données</m:t>
              </m:r>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rPr>
                  <m:nor/>
                  <m:sty m:val="p"/>
                </m:rPr>
                <m:t>données</m:t>
              </m:r>
            </m:e>
          </m:d>
          <m:r>
            <m:rPr>
              <m:sty m:val="p"/>
            </m:rPr>
            <m:t>.</m:t>
          </m:r>
        </m:oMath>
      </m:oMathPara>
    </w:p>
    <w:p>
      <w:pPr>
        <w:pStyle w:val="FirstParagraph"/>
      </w:pPr>
      <w:r>
        <w:t xml:space="preserve">Le krigeage d’indicatrices cherche donc à estimer cette probabilité à partir des indicatrices observées aux</w:t>
      </w:r>
      <w:r>
        <w:t xml:space="preserve"> </w:t>
      </w:r>
      <m:oMath>
        <m:r>
          <m:t>n</m:t>
        </m:r>
      </m:oMath>
      <w:r>
        <w:t xml:space="preserve"> </w:t>
      </w:r>
      <w:r>
        <w:t xml:space="preserve">points d’échantillonnage :</w:t>
      </w:r>
    </w:p>
    <w:p>
      <w:pPr>
        <w:pStyle w:val="BodyText"/>
      </w:pPr>
      <m:oMathPara>
        <m:oMathParaPr>
          <m:jc m:val="center"/>
        </m:oMathParaPr>
        <m:oMath>
          <m:r>
            <m:t>i</m:t>
          </m:r>
          <m:d>
            <m:dPr>
              <m:begChr m:val="("/>
              <m:sepChr m:val=""/>
              <m:endChr m:val=")"/>
              <m:grow/>
            </m:dPr>
            <m:e>
              <m:sSub>
                <m:e>
                  <m:r>
                    <m:rPr>
                      <m:sty m:val="b"/>
                    </m:rPr>
                    <m:t>x</m:t>
                  </m:r>
                </m:e>
                <m:sub>
                  <m:r>
                    <m:t>i</m:t>
                  </m:r>
                </m:sub>
              </m:sSub>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t>Z</m:t>
                    </m:r>
                    <m:d>
                      <m:dPr>
                        <m:begChr m:val="("/>
                        <m:sepChr m:val=""/>
                        <m:endChr m:val=")"/>
                        <m:grow/>
                      </m:dPr>
                      <m:e>
                        <m:sSub>
                          <m:e>
                            <m:r>
                              <m:rPr>
                                <m:sty m:val="b"/>
                              </m:rPr>
                              <m:t>x</m:t>
                            </m:r>
                          </m:e>
                          <m:sub>
                            <m:r>
                              <m:t>i</m:t>
                            </m:r>
                          </m:sub>
                        </m:sSub>
                      </m:e>
                    </m:d>
                    <m:r>
                      <m:rPr>
                        <m:sty m:val="p"/>
                      </m:rPr>
                      <m:t>≤</m:t>
                    </m:r>
                    <m:sSub>
                      <m:e>
                        <m:r>
                          <m:t>z</m:t>
                        </m:r>
                      </m:e>
                      <m:sub>
                        <m:r>
                          <m:t>c</m:t>
                        </m:r>
                      </m:sub>
                    </m:sSub>
                    <m:r>
                      <m:rPr>
                        <m:sty m:val="p"/>
                      </m:rPr>
                      <m:t>,</m:t>
                    </m:r>
                  </m:e>
                </m:mr>
                <m:mr>
                  <m:e>
                    <m:r>
                      <m:t>0</m:t>
                    </m:r>
                    <m:r>
                      <m:rPr>
                        <m:sty m:val="p"/>
                      </m:rPr>
                      <m:t>,</m:t>
                    </m:r>
                  </m:e>
                  <m:e>
                    <m:r>
                      <m:rPr>
                        <m:nor/>
                        <m:sty m:val="p"/>
                      </m:rPr>
                      <m:t>si </m:t>
                    </m:r>
                    <m:r>
                      <m:t>Z</m:t>
                    </m:r>
                    <m:d>
                      <m:dPr>
                        <m:begChr m:val="("/>
                        <m:sepChr m:val=""/>
                        <m:endChr m:val=")"/>
                        <m:grow/>
                      </m:dPr>
                      <m:e>
                        <m:sSub>
                          <m:e>
                            <m:r>
                              <m:rPr>
                                <m:sty m:val="b"/>
                              </m:rPr>
                              <m:t>x</m:t>
                            </m:r>
                          </m:e>
                          <m:sub>
                            <m:r>
                              <m:t>i</m:t>
                            </m:r>
                          </m:sub>
                        </m:sSub>
                      </m:e>
                    </m:d>
                    <m:r>
                      <m:rPr>
                        <m:sty m:val="p"/>
                      </m:rPr>
                      <m:t>&gt;</m:t>
                    </m:r>
                    <m:sSub>
                      <m:e>
                        <m:r>
                          <m:t>z</m:t>
                        </m:r>
                      </m:e>
                      <m:sub>
                        <m:r>
                          <m:t>c</m:t>
                        </m:r>
                      </m:sub>
                    </m:sSub>
                    <m:r>
                      <m:rPr>
                        <m:sty m:val="p"/>
                      </m:rPr>
                      <m:t>.</m:t>
                    </m:r>
                  </m:e>
                </m:mr>
              </m:m>
            </m:e>
          </m:d>
        </m:oMath>
      </m:oMathPara>
    </w:p>
    <w:p>
      <w:pPr>
        <w:pStyle w:val="FirstParagraph"/>
      </w:pPr>
      <w:r>
        <w:t xml:space="preserve">Pour le krigeage ordinaire d’indicatrices, l’estimateur au point</w:t>
      </w:r>
      <w:r>
        <w:t xml:space="preserve"> </w:t>
      </w:r>
      <m:oMath>
        <m:sSub>
          <m:e>
            <m:r>
              <m:rPr>
                <m:sty m:val="b"/>
              </m:rPr>
              <m:t>x</m:t>
            </m:r>
          </m:e>
          <m:sub>
            <m:r>
              <m:t>0</m:t>
            </m:r>
          </m:sub>
        </m:sSub>
      </m:oMath>
      <w:r>
        <w:t xml:space="preserve"> </w:t>
      </w:r>
      <w:r>
        <w:t xml:space="preserve">s’écrit</w:t>
      </w:r>
    </w:p>
    <w:p>
      <w:pPr>
        <w:pStyle w:val="BodyText"/>
      </w:pPr>
      <m:oMathPara>
        <m:oMathParaPr>
          <m:jc m:val="center"/>
        </m:oMathParaP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c</m:t>
                  </m:r>
                </m:sub>
              </m:sSub>
            </m:e>
          </m:d>
          <m:r>
            <m:t> </m:t>
          </m:r>
          <m:r>
            <m:t>i</m:t>
          </m:r>
          <m:d>
            <m:dPr>
              <m:begChr m:val="("/>
              <m:sepChr m:val=""/>
              <m:endChr m:val=")"/>
              <m:grow/>
            </m:dPr>
            <m:e>
              <m:sSub>
                <m:e>
                  <m:r>
                    <m:rPr>
                      <m:sty m:val="b"/>
                    </m:rPr>
                    <m:t>x</m:t>
                  </m:r>
                </m:e>
                <m:sub>
                  <m:r>
                    <m:t>i</m:t>
                  </m:r>
                </m:sub>
              </m:sSub>
              <m:r>
                <m:rPr>
                  <m:sty m:val="p"/>
                </m:rPr>
                <m:t>;</m:t>
              </m:r>
              <m:sSub>
                <m:e>
                  <m:r>
                    <m:t>z</m:t>
                  </m:r>
                </m:e>
                <m:sub>
                  <m:r>
                    <m:t>c</m:t>
                  </m:r>
                </m:sub>
              </m:sSub>
            </m:e>
          </m:d>
          <m:r>
            <m:rPr>
              <m:sty m:val="p"/>
            </m:rPr>
            <m:t>,</m:t>
          </m:r>
        </m:oMath>
      </m:oMathPara>
    </w:p>
    <w:p>
      <w:pPr>
        <w:pStyle w:val="FirstParagraph"/>
      </w:pPr>
      <w:r>
        <w:t xml:space="preserve">sous la contrainte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d>
            <m:dPr>
              <m:begChr m:val="("/>
              <m:sepChr m:val=""/>
              <m:endChr m:val=")"/>
              <m:grow/>
            </m:dPr>
            <m:e>
              <m:sSub>
                <m:e>
                  <m:r>
                    <m:t>z</m:t>
                  </m:r>
                </m:e>
                <m:sub>
                  <m:r>
                    <m:t>c</m:t>
                  </m:r>
                </m:sub>
              </m:sSub>
            </m:e>
          </m:d>
          <m:r>
            <m:rPr>
              <m:sty m:val="p"/>
            </m:rPr>
            <m:t>=</m:t>
          </m:r>
          <m:r>
            <m:t>1</m:t>
          </m:r>
          <m:r>
            <m:rPr>
              <m:sty m:val="p"/>
            </m:rPr>
            <m:t>.</m:t>
          </m:r>
        </m:oMath>
      </m:oMathPara>
    </w:p>
    <w:p>
      <w:pPr>
        <w:pStyle w:val="FirstParagraph"/>
      </w:pPr>
      <w:r>
        <w:t xml:space="preserve">Les poids</w:t>
      </w:r>
      <w:r>
        <w:t xml:space="preserve"> </w:t>
      </w:r>
      <m:oMath>
        <m:sSub>
          <m:e>
            <m:r>
              <m:t>λ</m:t>
            </m:r>
          </m:e>
          <m:sub>
            <m:r>
              <m:t>i</m:t>
            </m:r>
          </m:sub>
        </m:sSub>
        <m:d>
          <m:dPr>
            <m:begChr m:val="("/>
            <m:sepChr m:val=""/>
            <m:endChr m:val=")"/>
            <m:grow/>
          </m:dPr>
          <m:e>
            <m:sSub>
              <m:e>
                <m:r>
                  <m:t>z</m:t>
                </m:r>
              </m:e>
              <m:sub>
                <m:r>
                  <m:t>c</m:t>
                </m:r>
              </m:sub>
            </m:sSub>
          </m:e>
        </m:d>
      </m:oMath>
      <w:r>
        <w:t xml:space="preserve"> </w:t>
      </w:r>
      <w:r>
        <w:t xml:space="preserve">sont déterminés à partir du variogramme des indicatrices associé au seuil</w:t>
      </w:r>
      <w:r>
        <w:t xml:space="preserve"> </w:t>
      </w:r>
      <m:oMath>
        <m:sSub>
          <m:e>
            <m:r>
              <m:t>z</m:t>
            </m:r>
          </m:e>
          <m:sub>
            <m:r>
              <m:t>c</m:t>
            </m:r>
          </m:sub>
        </m:sSub>
      </m:oMath>
      <w:r>
        <w:t xml:space="preserve">. L’estimation obtenue est interprétée comme une estimation de la probabilité conditionnelle :</w:t>
      </w:r>
    </w:p>
    <w:p>
      <w:pPr>
        <w:pStyle w:val="BodyText"/>
      </w:pPr>
      <m:oMathPara>
        <m:oMathParaPr>
          <m:jc m:val="center"/>
        </m:oMathParaP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rPr>
                  <m:nor/>
                  <m:sty m:val="p"/>
                </m:rPr>
                <m:t>données</m:t>
              </m:r>
            </m:e>
          </m:d>
          <m:r>
            <m:rPr>
              <m:sty m:val="p"/>
            </m:rPr>
            <m:t>.</m:t>
          </m:r>
        </m:oMath>
      </m:oMathPara>
    </w:p>
    <w:p>
      <w:pPr>
        <w:pStyle w:val="FirstParagraph"/>
      </w:pPr>
      <w:r>
        <w:t xml:space="preserve">Cette estimation demeure une approximation linéaire de l’espérance conditionnelle. Elle ne coïncide avec la probabilité conditionnelle exacte que dans les cas particuliers où cette probabilité est une fonction affine des indicatrices observées, la contrainte</w:t>
      </w:r>
      <w:r>
        <w:t xml:space="preserve"> </w:t>
      </w:r>
      <m:oMath>
        <m:nary>
          <m:naryPr>
            <m:chr m:val="∑"/>
            <m:limLoc m:val="undOvr"/>
            <m:subHide m:val="off"/>
            <m:supHide m:val="on"/>
          </m:naryPr>
          <m:sub>
            <m:r>
              <m:t>i</m:t>
            </m:r>
          </m:sub>
          <m:sup>
            <m:r>
              <m:t>​</m:t>
            </m:r>
          </m:sup>
          <m:e>
            <m:sSub>
              <m:e>
                <m:r>
                  <m:t>λ</m:t>
                </m:r>
              </m:e>
              <m:sub>
                <m:r>
                  <m:t>i</m:t>
                </m:r>
              </m:sub>
            </m:sSub>
          </m:e>
        </m:nary>
        <m:d>
          <m:dPr>
            <m:begChr m:val="("/>
            <m:sepChr m:val=""/>
            <m:endChr m:val=")"/>
            <m:grow/>
          </m:dPr>
          <m:e>
            <m:sSub>
              <m:e>
                <m:r>
                  <m:t>z</m:t>
                </m:r>
              </m:e>
              <m:sub>
                <m:r>
                  <m:t>c</m:t>
                </m:r>
              </m:sub>
            </m:sSub>
          </m:e>
        </m:d>
        <m:r>
          <m:rPr>
            <m:sty m:val="p"/>
          </m:rPr>
          <m:t>=</m:t>
        </m:r>
        <m:r>
          <m:t>1</m:t>
        </m:r>
      </m:oMath>
      <w:r>
        <w:t xml:space="preserve"> </w:t>
      </w:r>
      <w:r>
        <w:t xml:space="preserve">autorisant la reproduction du terme constant et assurant l’absence de biais.</w:t>
      </w:r>
    </w:p>
    <w:bookmarkStart w:id="35" w:name="procédure"/>
    <w:p>
      <w:pPr>
        <w:pStyle w:val="Heading3"/>
      </w:pPr>
      <w:r>
        <w:t xml:space="preserve">2.1 Procédure</w:t>
      </w:r>
    </w:p>
    <w:p>
      <w:pPr>
        <w:pStyle w:val="FirstParagraph"/>
      </w:pPr>
      <w:r>
        <w:t xml:space="preserve">Le KI se déroule en quatre étapes.</w:t>
      </w:r>
    </w:p>
    <w:p>
      <w:pPr>
        <w:numPr>
          <w:ilvl w:val="0"/>
          <w:numId w:val="1002"/>
        </w:numPr>
      </w:pPr>
      <w:r>
        <w:rPr>
          <w:b/>
          <w:bCs/>
        </w:rPr>
        <w:t xml:space="preserve">Codage des observations.</w:t>
      </w:r>
      <w:r>
        <w:t xml:space="preserve"> </w:t>
      </w:r>
      <w:r>
        <w:t xml:space="preserve">Pour un seuil</w:t>
      </w:r>
      <w:r>
        <w:t xml:space="preserve"> </w:t>
      </w:r>
      <m:oMath>
        <m:sSub>
          <m:e>
            <m:r>
              <m:t>z</m:t>
            </m:r>
          </m:e>
          <m:sub>
            <m:r>
              <m:t>c</m:t>
            </m:r>
          </m:sub>
        </m:sSub>
      </m:oMath>
      <w:r>
        <w:t xml:space="preserve">, chaque observation</w:t>
      </w:r>
      <w:r>
        <w:t xml:space="preserve"> </w:t>
      </w:r>
      <m:oMath>
        <m:r>
          <m:t>Z</m:t>
        </m:r>
        <m:d>
          <m:dPr>
            <m:begChr m:val="("/>
            <m:sepChr m:val=""/>
            <m:endChr m:val=")"/>
            <m:grow/>
          </m:dPr>
          <m:e>
            <m:sSub>
              <m:e>
                <m:r>
                  <m:rPr>
                    <m:sty m:val="b"/>
                  </m:rPr>
                  <m:t>x</m:t>
                </m:r>
              </m:e>
              <m:sub>
                <m:r>
                  <m:t>i</m:t>
                </m:r>
              </m:sub>
            </m:sSub>
          </m:e>
        </m:d>
      </m:oMath>
      <w:r>
        <w:t xml:space="preserve"> </w:t>
      </w:r>
      <w:r>
        <w:t xml:space="preserve">est transformée en une indicatrice :</w:t>
      </w:r>
      <w:r>
        <w:t xml:space="preserve"> </w:t>
      </w: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1</m:t>
        </m:r>
      </m:oMath>
      <w:r>
        <w:t xml:space="preserve"> </w:t>
      </w:r>
      <w:r>
        <w:t xml:space="preserve">si</w:t>
      </w:r>
      <w:r>
        <w:t xml:space="preserve"> </w:t>
      </w:r>
      <m:oMath>
        <m:r>
          <m:t>Z</m:t>
        </m:r>
        <m:d>
          <m:dPr>
            <m:begChr m:val="("/>
            <m:sepChr m:val=""/>
            <m:endChr m:val=")"/>
            <m:grow/>
          </m:dPr>
          <m:e>
            <m:sSub>
              <m:e>
                <m:r>
                  <m:rPr>
                    <m:sty m:val="b"/>
                  </m:rPr>
                  <m:t>x</m:t>
                </m:r>
              </m:e>
              <m:sub>
                <m:r>
                  <m:t>i</m:t>
                </m:r>
              </m:sub>
            </m:sSub>
          </m:e>
        </m:d>
        <m:r>
          <m:rPr>
            <m:sty m:val="p"/>
          </m:rPr>
          <m:t>≤</m:t>
        </m:r>
        <m:sSub>
          <m:e>
            <m:r>
              <m:t>z</m:t>
            </m:r>
          </m:e>
          <m:sub>
            <m:r>
              <m:t>c</m:t>
            </m:r>
          </m:sub>
        </m:sSub>
      </m:oMath>
      <w:r>
        <w:t xml:space="preserve">, et</w:t>
      </w:r>
      <w:r>
        <w:t xml:space="preserve"> </w:t>
      </w: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0</m:t>
        </m:r>
      </m:oMath>
      <w:r>
        <w:t xml:space="preserve"> </w:t>
      </w:r>
      <w:r>
        <w:t xml:space="preserve">sinon.</w:t>
      </w:r>
    </w:p>
    <w:p>
      <w:pPr>
        <w:numPr>
          <w:ilvl w:val="0"/>
          <w:numId w:val="1002"/>
        </w:numPr>
      </w:pPr>
      <w:r>
        <w:rPr>
          <w:b/>
          <w:bCs/>
        </w:rPr>
        <w:t xml:space="preserve">Modélisation du variogramme d’indicatrices.</w:t>
      </w:r>
      <w:r>
        <w:t xml:space="preserve"> </w:t>
      </w:r>
      <w:r>
        <w:t xml:space="preserve">Pour le seuil</w:t>
      </w:r>
      <w:r>
        <w:t xml:space="preserve"> </w:t>
      </w:r>
      <m:oMath>
        <m:sSub>
          <m:e>
            <m:r>
              <m:t>z</m:t>
            </m:r>
          </m:e>
          <m:sub>
            <m:r>
              <m:t>c</m:t>
            </m:r>
          </m:sub>
        </m:sSub>
      </m:oMath>
      <w:r>
        <w:t xml:space="preserve">, on calcule le variogramme expérimental et on lui ajuste un modèle théorique admissible, qui décrit la continuité spatiale de la variable binaire</w:t>
      </w:r>
      <w:r>
        <w:t xml:space="preserve"> </w:t>
      </w:r>
      <m:oMath>
        <m:r>
          <m:t>I</m:t>
        </m:r>
        <m:d>
          <m:dPr>
            <m:begChr m:val="("/>
            <m:sepChr m:val=""/>
            <m:endChr m:val=")"/>
            <m:grow/>
          </m:dPr>
          <m:e>
            <m:r>
              <m:rPr>
                <m:sty m:val="b"/>
              </m:rPr>
              <m:t>x</m:t>
            </m:r>
            <m:r>
              <m:rPr>
                <m:sty m:val="p"/>
              </m:rPr>
              <m:t>;</m:t>
            </m:r>
            <m:sSub>
              <m:e>
                <m:r>
                  <m:t>z</m:t>
                </m:r>
              </m:e>
              <m:sub>
                <m:r>
                  <m:t>c</m:t>
                </m:r>
              </m:sub>
            </m:sSub>
          </m:e>
        </m:d>
      </m:oMath>
      <w:r>
        <w:t xml:space="preserve"> </w:t>
      </w:r>
      <w:r>
        <w:t xml:space="preserve">(</w:t>
      </w:r>
      <w:hyperlink w:anchor="fig-c11-variog-indicatrices">
        <w:r>
          <w:rPr>
            <w:rStyle w:val="Hyperlink"/>
          </w:rPr>
          <w:t xml:space="preserve">Figure 1</w:t>
        </w:r>
      </w:hyperlink>
      <w:r>
        <w:t xml:space="preserve">).</w:t>
      </w:r>
    </w:p>
    <w:p>
      <w:pPr>
        <w:numPr>
          <w:ilvl w:val="0"/>
          <w:numId w:val="1002"/>
        </w:numPr>
      </w:pPr>
      <w:r>
        <w:rPr>
          <w:b/>
          <w:bCs/>
        </w:rPr>
        <w:t xml:space="preserve">Krigeage de l’indicatrice.</w:t>
      </w:r>
      <w:r>
        <w:t xml:space="preserve"> </w:t>
      </w:r>
      <w:r>
        <w:t xml:space="preserve">L’indicatrice est krigée au point à estimer</w:t>
      </w:r>
      <w:r>
        <w:t xml:space="preserve"> </w:t>
      </w:r>
      <m:oMath>
        <m:sSub>
          <m:e>
            <m:r>
              <m:rPr>
                <m:sty m:val="b"/>
              </m:rPr>
              <m:t>x</m:t>
            </m:r>
          </m:e>
          <m:sub>
            <m:r>
              <m:t>0</m:t>
            </m:r>
          </m:sub>
        </m:sSub>
      </m:oMath>
      <w:r>
        <w:t xml:space="preserve">. La valeur obtenue,</w:t>
      </w:r>
      <w:r>
        <w:t xml:space="preserve"> </w:t>
      </w: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oMath>
      <w:r>
        <w:t xml:space="preserve">, fournit une estimation de la probabilité conditionnelle</w:t>
      </w:r>
      <w:r>
        <w:t xml:space="preserve"> </w:t>
      </w:r>
      <m:oMath>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oMath>
      <w:r>
        <w:t xml:space="preserve">.</w:t>
      </w:r>
    </w:p>
    <w:p>
      <w:pPr>
        <w:numPr>
          <w:ilvl w:val="0"/>
          <w:numId w:val="1002"/>
        </w:numPr>
      </w:pPr>
      <w:r>
        <w:rPr>
          <w:b/>
          <w:bCs/>
        </w:rPr>
        <w:t xml:space="preserve">Répétition pour plusieurs seuils.</w:t>
      </w:r>
      <w:r>
        <w:t xml:space="preserve"> </w:t>
      </w:r>
      <w:r>
        <w:t xml:space="preserve">La procédure est répétée pour une série de seuils ordonnés</w:t>
      </w:r>
      <w:r>
        <w:t xml:space="preserve"> </w:t>
      </w:r>
      <m:oMath>
        <m:sSub>
          <m:e>
            <m:r>
              <m:t>z</m:t>
            </m:r>
          </m:e>
          <m:sub>
            <m:r>
              <m:t>c</m:t>
            </m:r>
            <m:r>
              <m:rPr>
                <m:sty m:val="p"/>
              </m:rPr>
              <m:t>,</m:t>
            </m:r>
            <m:r>
              <m:t>1</m:t>
            </m:r>
          </m:sub>
        </m:sSub>
        <m:r>
          <m:rPr>
            <m:sty m:val="p"/>
          </m:rPr>
          <m:t>&lt;</m:t>
        </m:r>
        <m:sSub>
          <m:e>
            <m:r>
              <m:t>z</m:t>
            </m:r>
          </m:e>
          <m:sub>
            <m:r>
              <m:t>c</m:t>
            </m:r>
            <m:r>
              <m:rPr>
                <m:sty m:val="p"/>
              </m:rPr>
              <m:t>,</m:t>
            </m:r>
            <m:r>
              <m:t>2</m:t>
            </m:r>
          </m:sub>
        </m:sSub>
        <m:r>
          <m:rPr>
            <m:sty m:val="p"/>
          </m:rPr>
          <m:t>&lt;</m:t>
        </m:r>
        <m:r>
          <m:rPr>
            <m:sty m:val="p"/>
          </m:rPr>
          <m:t>⋯</m:t>
        </m:r>
        <m:r>
          <m:rPr>
            <m:sty m:val="p"/>
          </m:rPr>
          <m:t>&lt;</m:t>
        </m:r>
        <m:sSub>
          <m:e>
            <m:r>
              <m:t>z</m:t>
            </m:r>
          </m:e>
          <m:sub>
            <m:r>
              <m:t>c</m:t>
            </m:r>
            <m:r>
              <m:rPr>
                <m:sty m:val="p"/>
              </m:rPr>
              <m:t>,</m:t>
            </m:r>
            <m:r>
              <m:t>K</m:t>
            </m:r>
          </m:sub>
        </m:sSub>
      </m:oMath>
      <w:r>
        <w:t xml:space="preserve">. Les probabilités estimées à ces seuils construisent une approximation discrète de la fonction de répartition conditionnelle locale, notée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w:t>
      </w:r>
    </w:p>
    <w:tbl>
      <w:tblPr>
        <w:tblStyle w:val="Table"/>
        <w:tblW w:type="pct" w:w="5000"/>
        <w:tblLayout w:type="fixed"/>
        <w:tblLook w:firstRow="0" w:lastRow="0" w:firstColumn="0" w:lastColumn="0" w:noHBand="0" w:noVBand="0" w:val="0000"/>
      </w:tblPr>
      <w:tblGrid>
        <w:gridCol w:w="7920"/>
      </w:tblGrid>
      <w:tr>
        <w:tc>
          <w:tcPr/>
          <w:bookmarkStart w:id="34" w:name="fig-c11-variog-indicatrices"/>
          <w:p>
            <w:pPr>
              <w:pStyle w:val="Compact"/>
              <w:jc w:val="center"/>
            </w:pPr>
            <w:r>
              <w:drawing>
                <wp:inline>
                  <wp:extent cx="5334000" cy="1607069"/>
                  <wp:effectExtent b="0" l="0" r="0" t="0"/>
                  <wp:docPr descr="" title="" id="32" name="Picture"/>
                  <a:graphic>
                    <a:graphicData uri="http://schemas.openxmlformats.org/drawingml/2006/picture">
                      <pic:pic>
                        <pic:nvPicPr>
                          <pic:cNvPr descr="images/c11_01_variog_indicatrices.png" id="33" name="Picture"/>
                          <pic:cNvPicPr>
                            <a:picLocks noChangeArrowheads="1" noChangeAspect="1"/>
                          </pic:cNvPicPr>
                        </pic:nvPicPr>
                        <pic:blipFill>
                          <a:blip r:embed="rId31"/>
                          <a:stretch>
                            <a:fillRect/>
                          </a:stretch>
                        </pic:blipFill>
                        <pic:spPr bwMode="auto">
                          <a:xfrm>
                            <a:off x="0" y="0"/>
                            <a:ext cx="5334000" cy="160706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Variogrammes d’indicatrices à plusieurs seuils : portée, palier et effet de pépite varient d’un seuil à l’autre.</w:t>
            </w:r>
          </w:p>
          <w:bookmarkEnd w:id="34"/>
        </w:tc>
      </w:tr>
    </w:tbl>
    <w:bookmarkEnd w:id="35"/>
    <w:bookmarkStart w:id="36" w:name="calcul-des-quantités"/>
    <w:p>
      <w:pPr>
        <w:pStyle w:val="Heading3"/>
      </w:pPr>
      <w:r>
        <w:t xml:space="preserve">2.2 Calcul des quantités</w:t>
      </w:r>
    </w:p>
    <w:p>
      <w:pPr>
        <w:pStyle w:val="FirstParagraph"/>
      </w:pPr>
      <w:r>
        <w:t xml:space="preserve">Kriger l’indicatrice au seuil</w:t>
      </w:r>
      <w:r>
        <w:t xml:space="preserve"> </w:t>
      </w:r>
      <m:oMath>
        <m:sSub>
          <m:e>
            <m:r>
              <m:t>z</m:t>
            </m:r>
          </m:e>
          <m:sub>
            <m:r>
              <m:t>c</m:t>
            </m:r>
          </m:sub>
        </m:sSub>
      </m:oMath>
      <w:r>
        <w:t xml:space="preserve"> </w:t>
      </w:r>
      <w:r>
        <w:t xml:space="preserve">revient exactement à estimer la fonction de répartition conditionnelle à ce seuil. En notant</w:t>
      </w:r>
      <w:r>
        <w:t xml:space="preserve"> </w:t>
      </w:r>
      <m:oMath>
        <m:r>
          <m:rPr>
            <m:sty m:val="p"/>
            <m:scr m:val="script"/>
          </m:rPr>
          <m:t>D</m:t>
        </m:r>
      </m:oMath>
      <w:r>
        <w:t xml:space="preserve"> </w:t>
      </w:r>
      <w:r>
        <w:t xml:space="preserve">l’ensemble des données disponibles,</w:t>
      </w:r>
    </w:p>
    <w:p>
      <w:pPr>
        <w:pStyle w:val="BodyText"/>
      </w:pPr>
      <m:oMathPara>
        <m:oMathParaPr>
          <m:jc m:val="center"/>
        </m:oMathPara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r>
                    <m:rPr>
                      <m:sty m:val="p"/>
                    </m:rPr>
                    <m:t>,</m:t>
                  </m:r>
                  <m:r>
                    <m:t>k</m:t>
                  </m:r>
                </m:sub>
              </m:sSub>
              <m:r>
                <m:rPr>
                  <m:sty m:val="p"/>
                </m:rPr>
                <m:t>∣</m:t>
              </m:r>
              <m:r>
                <m:rPr>
                  <m:sty m:val="p"/>
                  <m:scr m:val="script"/>
                </m:rPr>
                <m:t>D</m:t>
              </m:r>
            </m:e>
          </m:d>
          <m:r>
            <m:rPr>
              <m:sty m:val="p"/>
            </m:rPr>
            <m:t>,</m:t>
          </m:r>
        </m:oMath>
      </m:oMathPara>
    </w:p>
    <w:p>
      <w:pPr>
        <w:pStyle w:val="FirstParagraph"/>
      </w:pPr>
      <w:r>
        <w:t xml:space="preserve">où le chapeau marque une quantité estimée et l’étoile de</w:t>
      </w:r>
      <w:r>
        <w:t xml:space="preserve"> </w:t>
      </w:r>
      <m:oMath>
        <m:sSup>
          <m:e>
            <m:r>
              <m:t>I</m:t>
            </m:r>
          </m:e>
          <m:sup>
            <m:r>
              <m:rPr>
                <m:sty m:val="p"/>
              </m:rPr>
              <m:t>*</m:t>
            </m:r>
          </m:sup>
        </m:sSup>
      </m:oMath>
      <w:r>
        <w:t xml:space="preserve"> </w:t>
      </w:r>
      <w:r>
        <w:t xml:space="preserve">l’estimateur de krigeage dont elle provient. La probabilité conditionnelle de dépassement d’un seuil</w:t>
      </w:r>
      <w:r>
        <w:t xml:space="preserve"> </w:t>
      </w:r>
      <m:oMath>
        <m:sSub>
          <m:e>
            <m:r>
              <m:t>z</m:t>
            </m:r>
          </m:e>
          <m:sub>
            <m:r>
              <m:t>c</m:t>
            </m:r>
          </m:sub>
        </m:sSub>
      </m:oMath>
      <w:r>
        <w:t xml:space="preserve"> </w:t>
      </w:r>
      <w:r>
        <w:t xml:space="preserve">s’obtient par complémentarité :</w:t>
      </w:r>
    </w:p>
    <w:p>
      <w:pPr>
        <w:pStyle w:val="BodyText"/>
      </w:pPr>
      <m:oMathPara>
        <m:oMathParaPr>
          <m:jc m:val="center"/>
        </m:oMathParaPr>
        <m:oMath>
          <m:acc>
            <m:accPr>
              <m:chr m:val="̂"/>
            </m:accPr>
            <m:e>
              <m:r>
                <m:rPr>
                  <m:sty m:val="p"/>
                  <m:scr m:val="double-struck"/>
                </m:rPr>
                <m:t>P</m:t>
              </m:r>
            </m:e>
          </m:acc>
          <m:d>
            <m:dPr>
              <m:begChr m:val="("/>
              <m:sepChr m:val=""/>
              <m:endChr m:val=")"/>
              <m:grow/>
            </m:dPr>
            <m:e>
              <m:r>
                <m:t>Z</m:t>
              </m:r>
              <m:d>
                <m:dPr>
                  <m:begChr m:val="("/>
                  <m:sepChr m:val=""/>
                  <m:endChr m:val=")"/>
                  <m:grow/>
                </m:dPr>
                <m:e>
                  <m:sSub>
                    <m:e>
                      <m:r>
                        <m:rPr>
                          <m:sty m:val="b"/>
                        </m:rPr>
                        <m:t>x</m:t>
                      </m:r>
                    </m:e>
                    <m:sub>
                      <m:r>
                        <m:t>0</m:t>
                      </m:r>
                    </m:sub>
                  </m:sSub>
                </m:e>
              </m:d>
              <m:r>
                <m:rPr>
                  <m:sty m:val="p"/>
                </m:rPr>
                <m:t>&gt;</m:t>
              </m:r>
              <m:sSub>
                <m:e>
                  <m:r>
                    <m:t>z</m:t>
                  </m:r>
                </m:e>
                <m:sub>
                  <m:r>
                    <m:t>c</m:t>
                  </m:r>
                </m:sub>
              </m:sSub>
              <m:r>
                <m:rPr>
                  <m:sty m:val="p"/>
                </m:rPr>
                <m:t>∣</m:t>
              </m:r>
              <m:r>
                <m:rPr>
                  <m:sty m:val="p"/>
                  <m:scr m:val="script"/>
                </m:rPr>
                <m:t>D</m:t>
              </m:r>
            </m:e>
          </m:d>
          <m:r>
            <m:rPr>
              <m:sty m:val="p"/>
            </m:rPr>
            <m:t>=</m:t>
          </m:r>
          <m:r>
            <m:t>1</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r>
            <m:rPr>
              <m:sty m:val="p"/>
            </m:rPr>
            <m:t>.</m:t>
          </m:r>
        </m:oMath>
      </m:oMathPara>
    </w:p>
    <w:p>
      <w:pPr>
        <w:pStyle w:val="FirstParagraph"/>
      </w:pPr>
      <w:r>
        <w:t xml:space="preserve">Le quantile conditionnel estimé d’ordre</w:t>
      </w:r>
      <w:r>
        <w:t xml:space="preserve"> </w:t>
      </w:r>
      <m:oMath>
        <m:r>
          <m:t>p</m:t>
        </m:r>
      </m:oMath>
      <w:r>
        <w:t xml:space="preserve"> </w:t>
      </w:r>
      <w:r>
        <w:t xml:space="preserve">est défini par</w:t>
      </w:r>
    </w:p>
    <w:p>
      <w:pPr>
        <w:pStyle w:val="BodyText"/>
      </w:pPr>
      <m:oMathPara>
        <m:oMathParaPr>
          <m:jc m:val="center"/>
        </m:oMathParaPr>
        <m:oMath>
          <m:sSub>
            <m:e>
              <m:acc>
                <m:accPr>
                  <m:chr m:val="̂"/>
                </m:accPr>
                <m:e>
                  <m:r>
                    <m:t>q</m:t>
                  </m:r>
                </m:e>
              </m:acc>
            </m:e>
            <m:sub>
              <m:r>
                <m:t>p</m:t>
              </m:r>
            </m:sub>
          </m:sSub>
          <m:d>
            <m:dPr>
              <m:begChr m:val="("/>
              <m:sepChr m:val=""/>
              <m:endChr m:val=")"/>
              <m:grow/>
            </m:dPr>
            <m:e>
              <m:sSub>
                <m:e>
                  <m:r>
                    <m:rPr>
                      <m:sty m:val="b"/>
                    </m:rPr>
                    <m:t>x</m:t>
                  </m:r>
                </m:e>
                <m:sub>
                  <m:r>
                    <m:t>0</m:t>
                  </m:r>
                </m:sub>
              </m:sSub>
            </m:e>
          </m:d>
          <m:r>
            <m:rPr>
              <m:sty m:val="p"/>
            </m:rPr>
            <m:t>=</m:t>
          </m:r>
          <m:r>
            <m:rPr>
              <m:sty m:val="p"/>
            </m:rPr>
            <m:t>inf</m:t>
          </m:r>
          <m:d>
            <m:dPr>
              <m:begChr m:val="{"/>
              <m:sepChr m:val=""/>
              <m:endChr m:val="}"/>
              <m:grow/>
            </m:dPr>
            <m:e>
              <m:r>
                <m:t>z</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r>
                <m:t>p</m:t>
              </m:r>
            </m:e>
          </m:d>
          <m:r>
            <m:rPr>
              <m:sty m:val="p"/>
            </m:rPr>
            <m:t>.</m:t>
          </m:r>
        </m:oMath>
      </m:oMathPara>
    </w:p>
    <w:p>
      <w:pPr>
        <w:pStyle w:val="FirstParagraph"/>
      </w:pPr>
      <w:r>
        <w:t xml:space="preserve">Après interpolation entre les seuils et modélisation des queues de distribution, l’espérance conditionnelle s’estime à partir de la fonction de répartition :</w:t>
      </w:r>
    </w:p>
    <w:p>
      <w:pPr>
        <w:pStyle w:val="BodyText"/>
      </w:pPr>
      <m:oMathPara>
        <m:oMathParaPr>
          <m:jc m:val="center"/>
        </m:oMathParaPr>
        <m:oMath>
          <m:sSub>
            <m:e>
              <m:acc>
                <m:accPr>
                  <m:chr m:val="̂"/>
                </m:accPr>
                <m:e>
                  <m:r>
                    <m:rPr>
                      <m:sty m:val="p"/>
                      <m:scr m:val="double-struck"/>
                    </m:rPr>
                    <m:t>E</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subSup"/>
              <m:subHide m:val="off"/>
              <m:supHide m:val="off"/>
            </m:naryPr>
            <m:sub>
              <m:r>
                <m:rPr>
                  <m:sty m:val="p"/>
                </m:rPr>
                <m:t>−</m:t>
              </m:r>
              <m:r>
                <m:rPr>
                  <m:sty m:val="p"/>
                </m:rPr>
                <m:t>∞</m:t>
              </m:r>
            </m:sub>
            <m:sup>
              <m:r>
                <m:rPr>
                  <m:sty m:val="p"/>
                </m:rPr>
                <m:t>+</m:t>
              </m:r>
              <m:r>
                <m:rPr>
                  <m:sty m:val="p"/>
                </m:rPr>
                <m:t>∞</m:t>
              </m:r>
            </m:sup>
            <m:e>
              <m:r>
                <m:t>z</m:t>
              </m:r>
            </m:e>
          </m:nary>
          <m:r>
            <m:t> </m:t>
          </m:r>
          <m:r>
            <m:rPr>
              <m:sty m:val="p"/>
            </m:rPr>
            <m:t>d</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oMath>
      </m:oMathPara>
    </w:p>
    <w:p>
      <w:pPr>
        <w:pStyle w:val="FirstParagraph"/>
      </w:pPr>
      <w:r>
        <w:t xml:space="preserve">et la variance conditionnelle par</w:t>
      </w:r>
    </w:p>
    <w:p>
      <w:pPr>
        <w:pStyle w:val="BodyText"/>
      </w:pPr>
      <m:oMathPara>
        <m:oMathParaPr>
          <m:jc m:val="center"/>
        </m:oMathParaPr>
        <m:oMath>
          <m:sSub>
            <m:e>
              <m:acc>
                <m:accPr>
                  <m:chr m:val="̂"/>
                </m:accPr>
                <m:e>
                  <m:r>
                    <m:rPr>
                      <m:sty m:val="p"/>
                    </m:rPr>
                    <m:t>Var</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subSup"/>
              <m:subHide m:val="off"/>
              <m:supHide m:val="off"/>
            </m:naryPr>
            <m:sub>
              <m:r>
                <m:rPr>
                  <m:sty m:val="p"/>
                </m:rPr>
                <m:t>−</m:t>
              </m:r>
              <m:r>
                <m:rPr>
                  <m:sty m:val="p"/>
                </m:rPr>
                <m:t>∞</m:t>
              </m:r>
            </m:sub>
            <m:sup>
              <m:r>
                <m:rPr>
                  <m:sty m:val="p"/>
                </m:rPr>
                <m:t>+</m:t>
              </m:r>
              <m:r>
                <m:rPr>
                  <m:sty m:val="p"/>
                </m:rPr>
                <m:t>∞</m:t>
              </m:r>
            </m:sup>
            <m:e>
              <m:sSup>
                <m:e>
                  <m:r>
                    <m:t>z</m:t>
                  </m:r>
                </m:e>
                <m:sup>
                  <m:r>
                    <m:t>2</m:t>
                  </m:r>
                </m:sup>
              </m:sSup>
            </m:e>
          </m:nary>
          <m:r>
            <m:t> </m:t>
          </m:r>
          <m:r>
            <m:rPr>
              <m:sty m:val="p"/>
            </m:rPr>
            <m:t>d</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sSup>
            <m:e>
              <m:d>
                <m:dPr>
                  <m:begChr m:val="("/>
                  <m:sepChr m:val=""/>
                  <m:endChr m:val=")"/>
                  <m:grow/>
                </m:dPr>
                <m:e>
                  <m:nary>
                    <m:naryPr>
                      <m:chr m:val="∫"/>
                      <m:limLoc m:val="subSup"/>
                      <m:subHide m:val="off"/>
                      <m:supHide m:val="off"/>
                    </m:naryPr>
                    <m:sub>
                      <m:r>
                        <m:rPr>
                          <m:sty m:val="p"/>
                        </m:rPr>
                        <m:t>−</m:t>
                      </m:r>
                      <m:r>
                        <m:rPr>
                          <m:sty m:val="p"/>
                        </m:rPr>
                        <m:t>∞</m:t>
                      </m:r>
                    </m:sub>
                    <m:sup>
                      <m:r>
                        <m:rPr>
                          <m:sty m:val="p"/>
                        </m:rPr>
                        <m:t>+</m:t>
                      </m:r>
                      <m:r>
                        <m:rPr>
                          <m:sty m:val="p"/>
                        </m:rPr>
                        <m:t>∞</m:t>
                      </m:r>
                    </m:sup>
                    <m:e>
                      <m:r>
                        <m:t>z</m:t>
                      </m:r>
                    </m:e>
                  </m:nary>
                  <m:r>
                    <m:t> </m:t>
                  </m:r>
                  <m:r>
                    <m:rPr>
                      <m:sty m:val="p"/>
                    </m:rPr>
                    <m:t>d</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e>
              </m:d>
            </m:e>
            <m:sup>
              <m:r>
                <m:t>2</m:t>
              </m:r>
            </m:sup>
          </m:sSup>
          <m:r>
            <m:rPr>
              <m:sty m:val="p"/>
            </m:rPr>
            <m:t>.</m:t>
          </m:r>
        </m:oMath>
      </m:oMathPara>
    </w:p>
    <w:p>
      <w:pPr>
        <w:pStyle w:val="FirstParagraph"/>
      </w:pPr>
      <w:r>
        <w:t xml:space="preserve">En pratique, la fonction de répartition n’étant estimée qu’en un nombre fini de seuils, ces intégrales sont évaluées numériquement. En notant</w:t>
      </w:r>
    </w:p>
    <w:p>
      <w:pPr>
        <w:pStyle w:val="BodyText"/>
      </w:pPr>
      <m:oMathPara>
        <m:oMathParaPr>
          <m:jc m:val="center"/>
        </m:oMathParaPr>
        <m:oMath>
          <m:sSub>
            <m:e>
              <m:acc>
                <m:accPr>
                  <m:chr m:val="̂"/>
                </m:accPr>
                <m:e>
                  <m:r>
                    <m:t>p</m:t>
                  </m:r>
                </m:e>
              </m:acc>
            </m:e>
            <m:sub>
              <m:r>
                <m:t>k</m:t>
              </m:r>
            </m:sub>
          </m:sSub>
          <m:d>
            <m:dPr>
              <m:begChr m:val="("/>
              <m:sepChr m:val=""/>
              <m:endChr m:val=")"/>
              <m:grow/>
            </m:dPr>
            <m:e>
              <m:sSub>
                <m:e>
                  <m:r>
                    <m:rPr>
                      <m:sty m:val="b"/>
                    </m:rPr>
                    <m:t>x</m:t>
                  </m:r>
                </m:e>
                <m:sub>
                  <m:r>
                    <m:t>0</m:t>
                  </m:r>
                </m:sub>
              </m:sSub>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r>
                    <m:rPr>
                      <m:sty m:val="p"/>
                    </m:rPr>
                    <m:t>−</m:t>
                  </m:r>
                  <m:r>
                    <m:t>1</m:t>
                  </m:r>
                </m:sub>
              </m:sSub>
            </m:e>
          </m:d>
        </m:oMath>
      </m:oMathPara>
    </w:p>
    <w:p>
      <w:pPr>
        <w:pStyle w:val="FirstParagraph"/>
      </w:pPr>
      <w:r>
        <w:t xml:space="preserve">la probabilité estimée de l’intervalle</w:t>
      </w:r>
      <w:r>
        <w:t xml:space="preserve"> </w:t>
      </w:r>
      <m:oMath>
        <m:r>
          <m:rPr>
            <m:sty m:val="p"/>
          </m:rPr>
          <m:t>]</m:t>
        </m:r>
        <m:sSub>
          <m:e>
            <m:r>
              <m:t>z</m:t>
            </m:r>
          </m:e>
          <m:sub>
            <m:r>
              <m:t>c</m:t>
            </m:r>
            <m:r>
              <m:rPr>
                <m:sty m:val="p"/>
              </m:rPr>
              <m:t>,</m:t>
            </m:r>
            <m:r>
              <m:t>k</m:t>
            </m:r>
            <m:r>
              <m:rPr>
                <m:sty m:val="p"/>
              </m:rPr>
              <m:t>−</m:t>
            </m:r>
            <m:r>
              <m:t>1</m:t>
            </m:r>
          </m:sub>
        </m:sSub>
        <m:r>
          <m:rPr>
            <m:sty m:val="p"/>
          </m:rPr>
          <m:t>,</m:t>
        </m:r>
        <m:sSub>
          <m:e>
            <m:r>
              <m:t>z</m:t>
            </m:r>
          </m:e>
          <m:sub>
            <m:r>
              <m:t>c</m:t>
            </m:r>
            <m:r>
              <m:rPr>
                <m:sty m:val="p"/>
              </m:rPr>
              <m:t>,</m:t>
            </m:r>
            <m:r>
              <m:t>k</m:t>
            </m:r>
          </m:sub>
        </m:sSub>
        <m:r>
          <m:rPr>
            <m:sty m:val="p"/>
          </m:rPr>
          <m:t>]</m:t>
        </m:r>
      </m:oMath>
      <w:r>
        <w:t xml:space="preserve">, l’espérance s’approxime par</w:t>
      </w:r>
    </w:p>
    <w:p>
      <w:pPr>
        <w:pStyle w:val="BodyText"/>
      </w:pPr>
      <m:oMathPara>
        <m:oMathParaPr>
          <m:jc m:val="center"/>
        </m:oMathParaPr>
        <m:oMath>
          <m:sSub>
            <m:e>
              <m:acc>
                <m:accPr>
                  <m:chr m:val="̂"/>
                </m:accPr>
                <m:e>
                  <m:r>
                    <m:rPr>
                      <m:sty m:val="p"/>
                      <m:scr m:val="double-struck"/>
                    </m:rPr>
                    <m:t>E</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undOvr"/>
              <m:subHide m:val="off"/>
              <m:supHide m:val="off"/>
            </m:naryPr>
            <m:sub>
              <m:r>
                <m:t>k</m:t>
              </m:r>
              <m:r>
                <m:rPr>
                  <m:sty m:val="p"/>
                </m:rPr>
                <m:t>=</m:t>
              </m:r>
              <m:r>
                <m:t>1</m:t>
              </m:r>
            </m:sub>
            <m:sup>
              <m:r>
                <m:t>K</m:t>
              </m:r>
            </m:sup>
            <m:e>
              <m:sSub>
                <m:e>
                  <m:acc>
                    <m:accPr>
                      <m:chr m:val="̃"/>
                    </m:accPr>
                    <m:e>
                      <m:r>
                        <m:t>z</m:t>
                      </m:r>
                    </m:e>
                  </m:acc>
                </m:e>
                <m:sub>
                  <m:r>
                    <m:t>k</m:t>
                  </m:r>
                </m:sub>
              </m:sSub>
            </m:e>
          </m:nary>
          <m:r>
            <m:t> </m:t>
          </m:r>
          <m:sSub>
            <m:e>
              <m:acc>
                <m:accPr>
                  <m:chr m:val="̂"/>
                </m:accPr>
                <m:e>
                  <m:r>
                    <m:t>p</m:t>
                  </m:r>
                </m:e>
              </m:acc>
            </m:e>
            <m:sub>
              <m:r>
                <m:t>k</m:t>
              </m:r>
            </m:sub>
          </m:sSub>
          <m:d>
            <m:dPr>
              <m:begChr m:val="("/>
              <m:sepChr m:val=""/>
              <m:endChr m:val=")"/>
              <m:grow/>
            </m:dPr>
            <m:e>
              <m:sSub>
                <m:e>
                  <m:r>
                    <m:rPr>
                      <m:sty m:val="b"/>
                    </m:rPr>
                    <m:t>x</m:t>
                  </m:r>
                </m:e>
                <m:sub>
                  <m:r>
                    <m:t>0</m:t>
                  </m:r>
                </m:sub>
              </m:sSub>
            </m:e>
          </m:d>
          <m:r>
            <m:rPr>
              <m:sty m:val="p"/>
            </m:rPr>
            <m:t>,</m:t>
          </m:r>
        </m:oMath>
      </m:oMathPara>
    </w:p>
    <w:p>
      <w:pPr>
        <w:pStyle w:val="FirstParagraph"/>
      </w:pPr>
      <w:r>
        <w:t xml:space="preserve">où</w:t>
      </w:r>
      <w:r>
        <w:t xml:space="preserve"> </w:t>
      </w:r>
      <m:oMath>
        <m:sSub>
          <m:e>
            <m:acc>
              <m:accPr>
                <m:chr m:val="̃"/>
              </m:accPr>
              <m:e>
                <m:r>
                  <m:t>z</m:t>
                </m:r>
              </m:e>
            </m:acc>
          </m:e>
          <m:sub>
            <m:r>
              <m:t>k</m:t>
            </m:r>
          </m:sub>
        </m:sSub>
      </m:oMath>
      <w:r>
        <w:t xml:space="preserve"> </w:t>
      </w:r>
      <w:r>
        <w:t xml:space="preserve">est une valeur représentative de l’intervalle, par exemple son centre. La variance s’approxime alors par</w:t>
      </w:r>
    </w:p>
    <w:p>
      <w:pPr>
        <w:pStyle w:val="BodyText"/>
      </w:pPr>
      <m:oMathPara>
        <m:oMathParaPr>
          <m:jc m:val="center"/>
        </m:oMathParaPr>
        <m:oMath>
          <m:sSub>
            <m:e>
              <m:acc>
                <m:accPr>
                  <m:chr m:val="̂"/>
                </m:accPr>
                <m:e>
                  <m:r>
                    <m:rPr>
                      <m:sty m:val="p"/>
                    </m:rPr>
                    <m:t>Var</m:t>
                  </m:r>
                </m:e>
              </m:acc>
            </m:e>
            <m:sub>
              <m:r>
                <m:t>K</m:t>
              </m:r>
              <m:r>
                <m:t>I</m:t>
              </m:r>
            </m:sub>
          </m:sSub>
          <m:d>
            <m:dPr>
              <m:begChr m:val="["/>
              <m:sepChr m:val=""/>
              <m:endChr m:val="]"/>
              <m:grow/>
            </m:dPr>
            <m:e>
              <m:r>
                <m:t>Z</m:t>
              </m:r>
              <m:d>
                <m:dPr>
                  <m:begChr m:val="("/>
                  <m:sepChr m:val=""/>
                  <m:endChr m:val=")"/>
                  <m:grow/>
                </m:dPr>
                <m:e>
                  <m:sSub>
                    <m:e>
                      <m:r>
                        <m:rPr>
                          <m:sty m:val="b"/>
                        </m:rPr>
                        <m:t>x</m:t>
                      </m:r>
                    </m:e>
                    <m:sub>
                      <m:r>
                        <m:t>0</m:t>
                      </m:r>
                    </m:sub>
                  </m:sSub>
                </m:e>
              </m:d>
            </m:e>
          </m:d>
          <m:r>
            <m:rPr>
              <m:sty m:val="p"/>
            </m:rPr>
            <m:t>≈</m:t>
          </m:r>
          <m:nary>
            <m:naryPr>
              <m:chr m:val="∑"/>
              <m:limLoc m:val="undOvr"/>
              <m:subHide m:val="off"/>
              <m:supHide m:val="off"/>
            </m:naryPr>
            <m:sub>
              <m:r>
                <m:t>k</m:t>
              </m:r>
              <m:r>
                <m:rPr>
                  <m:sty m:val="p"/>
                </m:rPr>
                <m:t>=</m:t>
              </m:r>
              <m:r>
                <m:t>1</m:t>
              </m:r>
            </m:sub>
            <m:sup>
              <m:r>
                <m:t>K</m:t>
              </m:r>
            </m:sup>
            <m:e>
              <m:sSubSup>
                <m:e>
                  <m:acc>
                    <m:accPr>
                      <m:chr m:val="̃"/>
                    </m:accPr>
                    <m:e>
                      <m:r>
                        <m:t>z</m:t>
                      </m:r>
                    </m:e>
                  </m:acc>
                </m:e>
                <m:sub>
                  <m:r>
                    <m:t>k</m:t>
                  </m:r>
                </m:sub>
                <m:sup>
                  <m:r>
                    <m:t>2</m:t>
                  </m:r>
                </m:sup>
              </m:sSubSup>
            </m:e>
          </m:nary>
          <m:r>
            <m:t> </m:t>
          </m:r>
          <m:sSub>
            <m:e>
              <m:acc>
                <m:accPr>
                  <m:chr m:val="̂"/>
                </m:accPr>
                <m:e>
                  <m:r>
                    <m:t>p</m:t>
                  </m:r>
                </m:e>
              </m:acc>
            </m:e>
            <m:sub>
              <m:r>
                <m:t>k</m:t>
              </m:r>
            </m:sub>
          </m:sSub>
          <m:d>
            <m:dPr>
              <m:begChr m:val="("/>
              <m:sepChr m:val=""/>
              <m:endChr m:val=")"/>
              <m:grow/>
            </m:dPr>
            <m:e>
              <m:sSub>
                <m:e>
                  <m:r>
                    <m:rPr>
                      <m:sty m:val="b"/>
                    </m:rPr>
                    <m:t>x</m:t>
                  </m:r>
                </m:e>
                <m:sub>
                  <m:r>
                    <m:t>0</m:t>
                  </m:r>
                </m:sub>
              </m:sSub>
            </m:e>
          </m:d>
          <m:r>
            <m:rPr>
              <m:sty m:val="p"/>
            </m:rPr>
            <m:t>−</m:t>
          </m:r>
          <m:sSup>
            <m:e>
              <m:d>
                <m:dPr>
                  <m:begChr m:val="["/>
                  <m:sepChr m:val=""/>
                  <m:endChr m:val="]"/>
                  <m:grow/>
                </m:dPr>
                <m:e>
                  <m:nary>
                    <m:naryPr>
                      <m:chr m:val="∑"/>
                      <m:limLoc m:val="undOvr"/>
                      <m:subHide m:val="off"/>
                      <m:supHide m:val="off"/>
                    </m:naryPr>
                    <m:sub>
                      <m:r>
                        <m:t>k</m:t>
                      </m:r>
                      <m:r>
                        <m:rPr>
                          <m:sty m:val="p"/>
                        </m:rPr>
                        <m:t>=</m:t>
                      </m:r>
                      <m:r>
                        <m:t>1</m:t>
                      </m:r>
                    </m:sub>
                    <m:sup>
                      <m:r>
                        <m:t>K</m:t>
                      </m:r>
                    </m:sup>
                    <m:e>
                      <m:sSub>
                        <m:e>
                          <m:acc>
                            <m:accPr>
                              <m:chr m:val="̃"/>
                            </m:accPr>
                            <m:e>
                              <m:r>
                                <m:t>z</m:t>
                              </m:r>
                            </m:e>
                          </m:acc>
                        </m:e>
                        <m:sub>
                          <m:r>
                            <m:t>k</m:t>
                          </m:r>
                        </m:sub>
                      </m:sSub>
                    </m:e>
                  </m:nary>
                  <m:r>
                    <m:t> </m:t>
                  </m:r>
                  <m:sSub>
                    <m:e>
                      <m:acc>
                        <m:accPr>
                          <m:chr m:val="̂"/>
                        </m:accPr>
                        <m:e>
                          <m:r>
                            <m:t>p</m:t>
                          </m:r>
                        </m:e>
                      </m:acc>
                    </m:e>
                    <m:sub>
                      <m:r>
                        <m:t>k</m:t>
                      </m:r>
                    </m:sub>
                  </m:sSub>
                  <m:d>
                    <m:dPr>
                      <m:begChr m:val="("/>
                      <m:sepChr m:val=""/>
                      <m:endChr m:val=")"/>
                      <m:grow/>
                    </m:dPr>
                    <m:e>
                      <m:sSub>
                        <m:e>
                          <m:r>
                            <m:rPr>
                              <m:sty m:val="b"/>
                            </m:rPr>
                            <m:t>x</m:t>
                          </m:r>
                        </m:e>
                        <m:sub>
                          <m:r>
                            <m:t>0</m:t>
                          </m:r>
                        </m:sub>
                      </m:sSub>
                    </m:e>
                  </m:d>
                </m:e>
              </m:d>
            </m:e>
            <m:sup>
              <m:r>
                <m:t>2</m:t>
              </m:r>
            </m:sup>
          </m:sSup>
          <m:r>
            <m:rPr>
              <m:sty m:val="p"/>
            </m:rPr>
            <m:t>.</m:t>
          </m:r>
        </m:oMath>
      </m:oMathPara>
    </w:p>
    <w:bookmarkEnd w:id="36"/>
    <w:bookmarkStart w:id="46" w:name="exemple-de-calcul"/>
    <w:p>
      <w:pPr>
        <w:pStyle w:val="Heading3"/>
      </w:pPr>
      <w:r>
        <w:t xml:space="preserve">2.3 Exemple de calcul</w:t>
      </w:r>
    </w:p>
    <w:p>
      <w:pPr>
        <w:pStyle w:val="FirstParagraph"/>
      </w:pPr>
      <w:r>
        <w:t xml:space="preserve">On considère quatre valeurs observées</w:t>
      </w:r>
      <w:r>
        <w:t xml:space="preserve"> </w:t>
      </w:r>
      <m:oMath>
        <m:sSub>
          <m:e>
            <m:r>
              <m:t>Z</m:t>
            </m:r>
          </m:e>
          <m:sub>
            <m:r>
              <m:t>1</m:t>
            </m:r>
          </m:sub>
        </m:sSub>
        <m:r>
          <m:rPr>
            <m:sty m:val="p"/>
          </m:rPr>
          <m:t>,</m:t>
        </m:r>
        <m:r>
          <m:rPr>
            <m:sty m:val="p"/>
          </m:rPr>
          <m:t>…</m:t>
        </m:r>
        <m:r>
          <m:rPr>
            <m:sty m:val="p"/>
          </m:rPr>
          <m:t>,</m:t>
        </m:r>
        <m:sSub>
          <m:e>
            <m:r>
              <m:t>Z</m:t>
            </m:r>
          </m:e>
          <m:sub>
            <m:r>
              <m:t>4</m:t>
            </m:r>
          </m:sub>
        </m:sSub>
      </m:oMath>
      <w:r>
        <w:t xml:space="preserve"> </w:t>
      </w:r>
      <w:r>
        <w:t xml:space="preserve">aux positions</w:t>
      </w:r>
      <w:r>
        <w:t xml:space="preserve"> </w:t>
      </w:r>
      <m:oMath>
        <m:sSub>
          <m:e>
            <m:r>
              <m:rPr>
                <m:sty m:val="b"/>
              </m:rPr>
              <m:t>x</m:t>
            </m:r>
          </m:e>
          <m:sub>
            <m:r>
              <m:t>1</m:t>
            </m:r>
          </m:sub>
        </m:sSub>
        <m:r>
          <m:rPr>
            <m:sty m:val="p"/>
          </m:rPr>
          <m:t>,</m:t>
        </m:r>
        <m:r>
          <m:rPr>
            <m:sty m:val="p"/>
          </m:rPr>
          <m:t>…</m:t>
        </m:r>
        <m:r>
          <m:rPr>
            <m:sty m:val="p"/>
          </m:rPr>
          <m:t>,</m:t>
        </m:r>
        <m:sSub>
          <m:e>
            <m:r>
              <m:rPr>
                <m:sty m:val="b"/>
              </m:rPr>
              <m:t>x</m:t>
            </m:r>
          </m:e>
          <m:sub>
            <m:r>
              <m:t>4</m:t>
            </m:r>
          </m:sub>
        </m:sSub>
      </m:oMath>
      <w:r>
        <w:t xml:space="preserve">, formant un rectangle. On veut un krigeage d’indicatrices au point</w:t>
      </w:r>
      <w:r>
        <w:t xml:space="preserve"> </w:t>
      </w:r>
      <m:oMath>
        <m:sSub>
          <m:e>
            <m:r>
              <m:rPr>
                <m:sty m:val="b"/>
              </m:rPr>
              <m:t>x</m:t>
            </m:r>
          </m:e>
          <m:sub>
            <m:r>
              <m:t>0</m:t>
            </m:r>
          </m:sub>
        </m:sSub>
      </m:oMath>
      <w:r>
        <w:t xml:space="preserve">, situé au centre :</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m:oMath>
              <m:sSub>
                <m:e>
                  <m:r>
                    <m:t>Z</m:t>
                  </m:r>
                </m:e>
                <m:sub>
                  <m:r>
                    <m:t>1</m:t>
                  </m:r>
                </m:sub>
              </m:sSub>
              <m:r>
                <m:rPr>
                  <m:sty m:val="p"/>
                </m:rPr>
                <m:t>=</m:t>
              </m:r>
              <m:r>
                <m:t>2</m:t>
              </m:r>
              <m:r>
                <m:rPr>
                  <m:sty m:val="p"/>
                </m:rPr>
                <m:t>,</m:t>
              </m:r>
              <m:r>
                <m:t>2</m:t>
              </m:r>
            </m:oMath>
          </w:p>
        </w:tc>
        <w:tc>
          <w:tcPr/>
          <w:p>
            <w:pPr>
              <w:pStyle w:val="Compact"/>
            </w:pPr>
          </w:p>
        </w:tc>
        <w:tc>
          <w:tcPr/>
          <w:p>
            <w:pPr>
              <w:pStyle w:val="Compact"/>
              <w:jc w:val="center"/>
            </w:pPr>
            <m:oMath>
              <m:sSub>
                <m:e>
                  <m:r>
                    <m:t>Z</m:t>
                  </m:r>
                </m:e>
                <m:sub>
                  <m:r>
                    <m:t>2</m:t>
                  </m:r>
                </m:sub>
              </m:sSub>
              <m:r>
                <m:rPr>
                  <m:sty m:val="p"/>
                </m:rPr>
                <m:t>=</m:t>
              </m:r>
              <m:r>
                <m:t>5</m:t>
              </m:r>
              <m:r>
                <m:rPr>
                  <m:sty m:val="p"/>
                </m:rPr>
                <m:t>,</m:t>
              </m:r>
              <m:r>
                <m:t>1</m:t>
              </m:r>
            </m:oMath>
          </w:p>
        </w:tc>
      </w:tr>
      <w:tr>
        <w:tc>
          <w:tcPr/>
          <w:p>
            <w:pPr>
              <w:pStyle w:val="Compact"/>
            </w:pPr>
          </w:p>
        </w:tc>
        <w:tc>
          <w:tcPr/>
          <w:p>
            <w:pPr>
              <w:pStyle w:val="Compact"/>
              <w:jc w:val="center"/>
            </w:pPr>
            <m:oMath>
              <m:sSub>
                <m:e>
                  <m:r>
                    <m:rPr>
                      <m:sty m:val="b"/>
                    </m:rPr>
                    <m:t>x</m:t>
                  </m:r>
                </m:e>
                <m:sub>
                  <m:r>
                    <m:t>0</m:t>
                  </m:r>
                </m:sub>
              </m:sSub>
            </m:oMath>
          </w:p>
        </w:tc>
        <w:tc>
          <w:tcPr/>
          <w:p>
            <w:pPr>
              <w:pStyle w:val="Compact"/>
            </w:pPr>
          </w:p>
        </w:tc>
      </w:tr>
      <w:tr>
        <w:tc>
          <w:tcPr/>
          <w:p>
            <w:pPr>
              <w:pStyle w:val="Compact"/>
              <w:jc w:val="center"/>
            </w:pPr>
            <m:oMath>
              <m:sSub>
                <m:e>
                  <m:r>
                    <m:t>Z</m:t>
                  </m:r>
                </m:e>
                <m:sub>
                  <m:r>
                    <m:t>3</m:t>
                  </m:r>
                </m:sub>
              </m:sSub>
              <m:r>
                <m:rPr>
                  <m:sty m:val="p"/>
                </m:rPr>
                <m:t>=</m:t>
              </m:r>
              <m:r>
                <m:t>6</m:t>
              </m:r>
              <m:r>
                <m:rPr>
                  <m:sty m:val="p"/>
                </m:rPr>
                <m:t>,</m:t>
              </m:r>
              <m:r>
                <m:t>4</m:t>
              </m:r>
            </m:oMath>
          </w:p>
        </w:tc>
        <w:tc>
          <w:tcPr/>
          <w:p>
            <w:pPr>
              <w:pStyle w:val="Compact"/>
            </w:pPr>
          </w:p>
        </w:tc>
        <w:tc>
          <w:tcPr/>
          <w:p>
            <w:pPr>
              <w:pStyle w:val="Compact"/>
              <w:jc w:val="center"/>
            </w:pPr>
            <m:oMath>
              <m:sSub>
                <m:e>
                  <m:r>
                    <m:t>Z</m:t>
                  </m:r>
                </m:e>
                <m:sub>
                  <m:r>
                    <m:t>4</m:t>
                  </m:r>
                </m:sub>
              </m:sSub>
              <m:r>
                <m:rPr>
                  <m:sty m:val="p"/>
                </m:rPr>
                <m:t>=</m:t>
              </m:r>
              <m:r>
                <m:t>4</m:t>
              </m:r>
              <m:r>
                <m:rPr>
                  <m:sty m:val="p"/>
                </m:rPr>
                <m:t>,</m:t>
              </m:r>
              <m:r>
                <m:t>7</m:t>
              </m:r>
            </m:oMath>
          </w:p>
        </w:tc>
      </w:tr>
    </w:tbl>
    <w:p>
      <w:pPr>
        <w:pStyle w:val="BodyText"/>
      </w:pPr>
      <w:r>
        <w:t xml:space="preserve">On choisit les seuils</w:t>
      </w:r>
      <w:r>
        <w:t xml:space="preserve"> </w:t>
      </w:r>
      <m:oMath>
        <m:sSub>
          <m:e>
            <m:r>
              <m:t>z</m:t>
            </m:r>
          </m:e>
          <m:sub>
            <m:r>
              <m:t>c</m:t>
            </m:r>
          </m:sub>
        </m:sSub>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oMath>
      <w:r>
        <w:t xml:space="preserve">. Par symétrie, le krigeage ordinaire donne les poids</w:t>
      </w:r>
      <w:r>
        <w:t xml:space="preserve"> </w:t>
      </w:r>
      <m:oMath>
        <m:sSub>
          <m:e>
            <m:r>
              <m:t>λ</m:t>
            </m:r>
          </m:e>
          <m:sub>
            <m:r>
              <m:t>i</m:t>
            </m:r>
          </m:sub>
        </m:sSub>
        <m:r>
          <m:rPr>
            <m:sty m:val="p"/>
          </m:rPr>
          <m:t>=</m:t>
        </m:r>
        <m:f>
          <m:fPr>
            <m:type m:val="lin"/>
          </m:fPr>
          <m:num>
            <m:r>
              <m:t>1</m:t>
            </m:r>
          </m:num>
          <m:den>
            <m:r>
              <m:t>4</m:t>
            </m:r>
          </m:den>
        </m:f>
      </m:oMath>
      <w:r>
        <w:t xml:space="preserve"> </w:t>
      </w:r>
      <w:r>
        <w:t xml:space="preserve">pour tout</w:t>
      </w:r>
      <w:r>
        <w:t xml:space="preserve"> </w:t>
      </w:r>
      <m:oMath>
        <m:r>
          <m:t>i</m:t>
        </m:r>
      </m:oMath>
      <w:r>
        <w:t xml:space="preserve"> </w:t>
      </w:r>
      <w:r>
        <w:t xml:space="preserve">et tout</w:t>
      </w:r>
      <w:r>
        <w:t xml:space="preserve"> </w:t>
      </w:r>
      <m:oMath>
        <m:sSub>
          <m:e>
            <m:r>
              <m:t>z</m:t>
            </m:r>
          </m:e>
          <m:sub>
            <m:r>
              <m:t>c</m:t>
            </m:r>
          </m:sub>
        </m:sSub>
      </m:oMath>
      <w:r>
        <w:t xml:space="preserve">. Le krigeage d’indicatrices donne alors</w:t>
      </w:r>
      <w:r>
        <w:t xml:space="preserve"> </w:t>
      </w: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nary>
          <m:naryPr>
            <m:chr m:val="∑"/>
            <m:limLoc m:val="undOvr"/>
            <m:subHide m:val="off"/>
            <m:supHide m:val="off"/>
          </m:naryPr>
          <m:sub>
            <m:r>
              <m:t>i</m:t>
            </m:r>
            <m:r>
              <m:rPr>
                <m:sty m:val="p"/>
              </m:rPr>
              <m:t>=</m:t>
            </m:r>
            <m:r>
              <m:t>1</m:t>
            </m:r>
          </m:sub>
          <m:sup>
            <m:r>
              <m:t>4</m:t>
            </m:r>
          </m:sup>
          <m:e>
            <m:f>
              <m:fPr>
                <m:type m:val="lin"/>
              </m:fPr>
              <m:num>
                <m:r>
                  <m:t>1</m:t>
                </m:r>
              </m:num>
              <m:den>
                <m:r>
                  <m:t>4</m:t>
                </m:r>
              </m:den>
            </m:f>
          </m:e>
        </m:nary>
        <m:r>
          <m:t>I</m:t>
        </m:r>
        <m:d>
          <m:dPr>
            <m:begChr m:val="("/>
            <m:sepChr m:val=""/>
            <m:endChr m:val=")"/>
            <m:grow/>
          </m:dPr>
          <m:e>
            <m:sSub>
              <m:e>
                <m:r>
                  <m:rPr>
                    <m:sty m:val="b"/>
                  </m:rPr>
                  <m:t>x</m:t>
                </m:r>
              </m:e>
              <m:sub>
                <m:r>
                  <m:t>i</m:t>
                </m:r>
              </m:sub>
            </m:sSub>
            <m:r>
              <m:rPr>
                <m:sty m:val="p"/>
              </m:rPr>
              <m:t>;</m:t>
            </m:r>
            <m:sSub>
              <m:e>
                <m:r>
                  <m:t>z</m:t>
                </m:r>
              </m:e>
              <m:sub>
                <m:r>
                  <m:t>c</m:t>
                </m:r>
              </m:sub>
            </m:sSub>
          </m:e>
        </m:d>
      </m:oMath>
      <w:r>
        <w:t xml:space="preserve"> </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z</m:t>
                  </m:r>
                </m:e>
                <m:sub>
                  <m:r>
                    <m:t>c</m:t>
                  </m:r>
                </m:sub>
              </m:sSub>
            </m:oMath>
          </w:p>
        </w:tc>
        <w:tc>
          <w:tcPr/>
          <w:p>
            <w:pPr>
              <w:pStyle w:val="Compact"/>
              <w:jc w:val="center"/>
            </w:pPr>
            <m:oMath>
              <m:r>
                <m:t>I</m:t>
              </m:r>
              <m:d>
                <m:dPr>
                  <m:begChr m:val="("/>
                  <m:sepChr m:val=""/>
                  <m:endChr m:val=")"/>
                  <m:grow/>
                </m:dPr>
                <m:e>
                  <m:sSub>
                    <m:e>
                      <m:r>
                        <m:rPr>
                          <m:sty m:val="b"/>
                        </m:rPr>
                        <m:t>x</m:t>
                      </m:r>
                    </m:e>
                    <m:sub>
                      <m:r>
                        <m:t>1</m:t>
                      </m:r>
                    </m:sub>
                  </m:sSub>
                  <m:r>
                    <m:rPr>
                      <m:sty m:val="p"/>
                    </m:rPr>
                    <m:t>;</m:t>
                  </m:r>
                  <m:sSub>
                    <m:e>
                      <m:r>
                        <m:t>z</m:t>
                      </m:r>
                    </m:e>
                    <m:sub>
                      <m:r>
                        <m:t>c</m:t>
                      </m:r>
                    </m:sub>
                  </m:sSub>
                </m:e>
              </m:d>
            </m:oMath>
          </w:p>
        </w:tc>
        <w:tc>
          <w:tcPr/>
          <w:p>
            <w:pPr>
              <w:pStyle w:val="Compact"/>
              <w:jc w:val="center"/>
            </w:pPr>
            <m:oMath>
              <m:r>
                <m:t>I</m:t>
              </m:r>
              <m:d>
                <m:dPr>
                  <m:begChr m:val="("/>
                  <m:sepChr m:val=""/>
                  <m:endChr m:val=")"/>
                  <m:grow/>
                </m:dPr>
                <m:e>
                  <m:sSub>
                    <m:e>
                      <m:r>
                        <m:rPr>
                          <m:sty m:val="b"/>
                        </m:rPr>
                        <m:t>x</m:t>
                      </m:r>
                    </m:e>
                    <m:sub>
                      <m:r>
                        <m:t>2</m:t>
                      </m:r>
                    </m:sub>
                  </m:sSub>
                  <m:r>
                    <m:rPr>
                      <m:sty m:val="p"/>
                    </m:rPr>
                    <m:t>;</m:t>
                  </m:r>
                  <m:sSub>
                    <m:e>
                      <m:r>
                        <m:t>z</m:t>
                      </m:r>
                    </m:e>
                    <m:sub>
                      <m:r>
                        <m:t>c</m:t>
                      </m:r>
                    </m:sub>
                  </m:sSub>
                </m:e>
              </m:d>
            </m:oMath>
          </w:p>
        </w:tc>
        <w:tc>
          <w:tcPr/>
          <w:p>
            <w:pPr>
              <w:pStyle w:val="Compact"/>
              <w:jc w:val="center"/>
            </w:pPr>
            <m:oMath>
              <m:r>
                <m:t>I</m:t>
              </m:r>
              <m:d>
                <m:dPr>
                  <m:begChr m:val="("/>
                  <m:sepChr m:val=""/>
                  <m:endChr m:val=")"/>
                  <m:grow/>
                </m:dPr>
                <m:e>
                  <m:sSub>
                    <m:e>
                      <m:r>
                        <m:rPr>
                          <m:sty m:val="b"/>
                        </m:rPr>
                        <m:t>x</m:t>
                      </m:r>
                    </m:e>
                    <m:sub>
                      <m:r>
                        <m:t>3</m:t>
                      </m:r>
                    </m:sub>
                  </m:sSub>
                  <m:r>
                    <m:rPr>
                      <m:sty m:val="p"/>
                    </m:rPr>
                    <m:t>;</m:t>
                  </m:r>
                  <m:sSub>
                    <m:e>
                      <m:r>
                        <m:t>z</m:t>
                      </m:r>
                    </m:e>
                    <m:sub>
                      <m:r>
                        <m:t>c</m:t>
                      </m:r>
                    </m:sub>
                  </m:sSub>
                </m:e>
              </m:d>
            </m:oMath>
          </w:p>
        </w:tc>
        <w:tc>
          <w:tcPr/>
          <w:p>
            <w:pPr>
              <w:pStyle w:val="Compact"/>
              <w:jc w:val="center"/>
            </w:pPr>
            <m:oMath>
              <m:r>
                <m:t>I</m:t>
              </m:r>
              <m:d>
                <m:dPr>
                  <m:begChr m:val="("/>
                  <m:sepChr m:val=""/>
                  <m:endChr m:val=")"/>
                  <m:grow/>
                </m:dPr>
                <m:e>
                  <m:sSub>
                    <m:e>
                      <m:r>
                        <m:rPr>
                          <m:sty m:val="b"/>
                        </m:rPr>
                        <m:t>x</m:t>
                      </m:r>
                    </m:e>
                    <m:sub>
                      <m:r>
                        <m:t>4</m:t>
                      </m:r>
                    </m:sub>
                  </m:sSub>
                  <m:r>
                    <m:rPr>
                      <m:sty m:val="p"/>
                    </m:rPr>
                    <m:t>;</m:t>
                  </m:r>
                  <m:sSub>
                    <m:e>
                      <m:r>
                        <m:t>z</m:t>
                      </m:r>
                    </m:e>
                    <m:sub>
                      <m:r>
                        <m:t>c</m:t>
                      </m:r>
                    </m:sub>
                  </m:sSub>
                </m:e>
              </m:d>
            </m:oMath>
          </w:p>
        </w:tc>
        <w:tc>
          <w:tcPr/>
          <w:p>
            <w:pPr>
              <w:pStyle w:val="Compact"/>
              <w:jc w:val="center"/>
            </w:pP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r>
                <m:rPr>
                  <m:sty m:val="p"/>
                </m:rPr>
                <m:t>=</m:t>
              </m:r>
              <m:sSub>
                <m:e>
                  <m:acc>
                    <m:accPr>
                      <m:chr m:val="̂"/>
                    </m:accPr>
                    <m:e>
                      <m:r>
                        <m:t>F</m:t>
                      </m:r>
                    </m:e>
                  </m:acc>
                </m:e>
                <m:sub>
                  <m:r>
                    <m:t>K</m:t>
                  </m:r>
                  <m:r>
                    <m:t>I</m:t>
                  </m:r>
                </m:sub>
              </m:sSub>
              <m:d>
                <m:dPr>
                  <m:begChr m:val="("/>
                  <m:sepChr m:val=""/>
                  <m:endChr m:val=")"/>
                  <m:grow/>
                </m:dPr>
                <m:e>
                  <m:sSub>
                    <m:e>
                      <m:r>
                        <m:t>z</m:t>
                      </m:r>
                    </m:e>
                    <m:sub>
                      <m:r>
                        <m:t>c</m:t>
                      </m:r>
                    </m:sub>
                  </m:sSub>
                </m:e>
              </m:d>
            </m:oMath>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0,25</w:t>
            </w:r>
          </w:p>
        </w:tc>
      </w:tr>
      <w:tr>
        <w:tc>
          <w:tcPr/>
          <w:p>
            <w:pPr>
              <w:pStyle w:val="Compact"/>
              <w:jc w:val="center"/>
            </w:pPr>
            <w:r>
              <w:t xml:space="preserve">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0,25</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0,50</w:t>
            </w:r>
          </w:p>
        </w:tc>
      </w:tr>
      <w:tr>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0,75</w:t>
            </w:r>
          </w:p>
        </w:tc>
      </w:tr>
      <w:tr>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bl>
    <w:p>
      <w:pPr>
        <w:pStyle w:val="BodyText"/>
      </w:pPr>
      <w:r>
        <w:t xml:space="preserve">Cette table est une approximation discrète de la fonction de répartition conditionnelle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m:t>
            </m:r>
            <m:sSub>
              <m:e>
                <m:r>
                  <m:t>z</m:t>
                </m:r>
              </m:e>
              <m:sub>
                <m:r>
                  <m:t>c</m:t>
                </m:r>
              </m:sub>
            </m:sSub>
          </m:e>
        </m:d>
      </m:oMath>
      <w:r>
        <w:t xml:space="preserve">. La</w:t>
      </w:r>
      <w:r>
        <w:t xml:space="preserve"> </w:t>
      </w:r>
      <w:hyperlink w:anchor="fig-C11_KI">
        <w:r>
          <w:rPr>
            <w:rStyle w:val="Hyperlink"/>
          </w:rPr>
          <w:t xml:space="preserve">Figure 2</w:t>
        </w:r>
      </w:hyperlink>
      <w:r>
        <w:t xml:space="preserve"> </w:t>
      </w:r>
      <w:r>
        <w:t xml:space="preserve">la présente sous forme de graphique.</w:t>
      </w:r>
    </w:p>
    <w:tbl>
      <w:tblPr>
        <w:tblStyle w:val="Table"/>
        <w:tblW w:type="pct" w:w="5000"/>
        <w:tblLayout w:type="fixed"/>
        <w:tblLook w:firstRow="0" w:lastRow="0" w:firstColumn="0" w:lastColumn="0" w:noHBand="0" w:noVBand="0" w:val="0000"/>
      </w:tblPr>
      <w:tblGrid>
        <w:gridCol w:w="7920"/>
      </w:tblGrid>
      <w:tr>
        <w:tc>
          <w:tcPr/>
          <w:bookmarkStart w:id="40" w:name="fig-C11_KI"/>
          <w:p>
            <w:pPr>
              <w:pStyle w:val="Compact"/>
              <w:jc w:val="center"/>
            </w:pPr>
            <w:r>
              <w:drawing>
                <wp:inline>
                  <wp:extent cx="5334000" cy="3707062"/>
                  <wp:effectExtent b="0" l="0" r="0" t="0"/>
                  <wp:docPr descr="" title="" id="38" name="Picture"/>
                  <a:graphic>
                    <a:graphicData uri="http://schemas.openxmlformats.org/drawingml/2006/picture">
                      <pic:pic>
                        <pic:nvPicPr>
                          <pic:cNvPr descr="images/C11_KI.png" id="39" name="Picture"/>
                          <pic:cNvPicPr>
                            <a:picLocks noChangeArrowheads="1" noChangeAspect="1"/>
                          </pic:cNvPicPr>
                        </pic:nvPicPr>
                        <pic:blipFill>
                          <a:blip r:embed="rId37"/>
                          <a:stretch>
                            <a:fillRect/>
                          </a:stretch>
                        </pic:blipFill>
                        <pic:spPr bwMode="auto">
                          <a:xfrm>
                            <a:off x="0" y="0"/>
                            <a:ext cx="5334000" cy="370706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Fonction de répartition estimée au point</w:t>
            </w:r>
            <w:r>
              <w:t xml:space="preserve"> </w:t>
            </w:r>
            <m:oMath>
              <m:sSub>
                <m:e>
                  <m:r>
                    <m:rPr>
                      <m:sty m:val="b"/>
                    </m:rPr>
                    <m:t>x</m:t>
                  </m:r>
                </m:e>
                <m:sub>
                  <m:r>
                    <m:t>0</m:t>
                  </m:r>
                </m:sub>
              </m:sSub>
            </m:oMath>
            <w:r>
              <w:t xml:space="preserve">.</w:t>
            </w:r>
          </w:p>
          <w:bookmarkEnd w:id="40"/>
        </w:tc>
      </w:tr>
    </w:tbl>
    <w:bookmarkStart w:id="41" w:name="probabilités-de-dépassement"/>
    <w:p>
      <w:pPr>
        <w:pStyle w:val="Heading4"/>
      </w:pPr>
      <w:r>
        <w:t xml:space="preserve">2.3.1 1. Probabilités de dépassement</w:t>
      </w:r>
    </w:p>
    <w:p>
      <w:pPr>
        <w:pStyle w:val="FirstParagraph"/>
      </w:pPr>
      <w:r>
        <w:t xml:space="preserve">La probabilité estimée que</w:t>
      </w:r>
      <w:r>
        <w:t xml:space="preserve"> </w:t>
      </w:r>
      <m:oMath>
        <m:r>
          <m:t>Z</m:t>
        </m:r>
      </m:oMath>
      <w:r>
        <w:t xml:space="preserve"> </w:t>
      </w:r>
      <w:r>
        <w:t xml:space="preserve">dépasse un seuil est</w:t>
      </w:r>
      <w:r>
        <w:t xml:space="preserve"> </w:t>
      </w:r>
      <m:oMath>
        <m:acc>
          <m:accPr>
            <m:chr m:val="̂"/>
          </m:accPr>
          <m:e>
            <m:r>
              <m:rPr>
                <m:sty m:val="p"/>
                <m:scr m:val="double-struck"/>
              </m:rPr>
              <m:t>P</m:t>
            </m:r>
          </m:e>
        </m:acc>
        <m:d>
          <m:dPr>
            <m:begChr m:val="("/>
            <m:sepChr m:val=""/>
            <m:endChr m:val=")"/>
            <m:grow/>
          </m:dPr>
          <m:e>
            <m:sSub>
              <m:e>
                <m:r>
                  <m:t>Z</m:t>
                </m:r>
              </m:e>
              <m:sub>
                <m:r>
                  <m:t>0</m:t>
                </m:r>
              </m:sub>
            </m:sSub>
            <m:r>
              <m:rPr>
                <m:sty m:val="p"/>
              </m:rPr>
              <m:t>&gt;</m:t>
            </m:r>
            <m:sSub>
              <m:e>
                <m:r>
                  <m:t>z</m:t>
                </m:r>
              </m:e>
              <m:sub>
                <m:r>
                  <m:t>c</m:t>
                </m:r>
              </m:sub>
            </m:sSub>
          </m:e>
        </m:d>
        <m:r>
          <m:rPr>
            <m:sty m:val="p"/>
          </m:rPr>
          <m:t>=</m:t>
        </m:r>
        <m:r>
          <m:t>1</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oMath>
      <w:r>
        <w:t xml:space="preserve">.</w:t>
      </w:r>
    </w:p>
    <w:p>
      <w:pPr>
        <w:pStyle w:val="BodyText"/>
      </w:pPr>
      <w:r>
        <w:t xml:space="preserve">Pour</w:t>
      </w:r>
      <w:r>
        <w:t xml:space="preserve"> </w:t>
      </w:r>
      <m:oMath>
        <m:sSub>
          <m:e>
            <m:r>
              <m:t>z</m:t>
            </m:r>
          </m:e>
          <m:sub>
            <m:r>
              <m:t>c</m:t>
            </m:r>
          </m:sub>
        </m:sSub>
        <m:r>
          <m:rPr>
            <m:sty m:val="p"/>
          </m:rPr>
          <m:t>=</m:t>
        </m:r>
        <m:r>
          <m:t>3</m:t>
        </m:r>
        <m:r>
          <m:rPr>
            <m:sty m:val="p"/>
          </m:rPr>
          <m:t>,</m:t>
        </m:r>
        <m:r>
          <m:t>5</m:t>
        </m:r>
      </m:oMath>
      <w:r>
        <w:t xml:space="preserve">, la fonction de répartition est constante entre les seuils 3 et 4 (</w:t>
      </w:r>
      <m:oMath>
        <m:sSub>
          <m:e>
            <m:acc>
              <m:accPr>
                <m:chr m:val="̂"/>
              </m:accPr>
              <m:e>
                <m:r>
                  <m:t>F</m:t>
                </m:r>
              </m:e>
            </m:acc>
          </m:e>
          <m:sub>
            <m:r>
              <m:t>K</m:t>
            </m:r>
            <m:r>
              <m:t>I</m:t>
            </m:r>
          </m:sub>
        </m:sSub>
        <m:d>
          <m:dPr>
            <m:begChr m:val="("/>
            <m:sepChr m:val=""/>
            <m:endChr m:val=")"/>
            <m:grow/>
          </m:dPr>
          <m:e>
            <m:r>
              <m:t>3</m:t>
            </m:r>
          </m:e>
        </m:d>
        <m:r>
          <m:rPr>
            <m:sty m:val="p"/>
          </m:rPr>
          <m:t>=</m:t>
        </m:r>
        <m:sSub>
          <m:e>
            <m:acc>
              <m:accPr>
                <m:chr m:val="̂"/>
              </m:accPr>
              <m:e>
                <m:r>
                  <m:t>F</m:t>
                </m:r>
              </m:e>
            </m:acc>
          </m:e>
          <m:sub>
            <m:r>
              <m:t>K</m:t>
            </m:r>
            <m:r>
              <m:t>I</m:t>
            </m:r>
          </m:sub>
        </m:sSub>
        <m:d>
          <m:dPr>
            <m:begChr m:val="("/>
            <m:sepChr m:val=""/>
            <m:endChr m:val=")"/>
            <m:grow/>
          </m:dPr>
          <m:e>
            <m:r>
              <m:t>4</m:t>
            </m:r>
          </m:e>
        </m:d>
        <m:r>
          <m:rPr>
            <m:sty m:val="p"/>
          </m:rPr>
          <m:t>=</m:t>
        </m:r>
        <m:r>
          <m:t>0</m:t>
        </m:r>
        <m:r>
          <m:rPr>
            <m:sty m:val="p"/>
          </m:rPr>
          <m:t>,</m:t>
        </m:r>
        <m:r>
          <m:t>25</m:t>
        </m:r>
      </m:oMath>
      <w:r>
        <w:t xml:space="preserve">), donc par interpolation</w:t>
      </w:r>
      <w:r>
        <w:t xml:space="preserve"> </w:t>
      </w:r>
      <m:oMath>
        <m:sSub>
          <m:e>
            <m:acc>
              <m:accPr>
                <m:chr m:val="̂"/>
              </m:accPr>
              <m:e>
                <m:r>
                  <m:t>F</m:t>
                </m:r>
              </m:e>
            </m:acc>
          </m:e>
          <m:sub>
            <m:r>
              <m:t>K</m:t>
            </m:r>
            <m:r>
              <m:t>I</m:t>
            </m:r>
          </m:sub>
        </m:sSub>
        <m:d>
          <m:dPr>
            <m:begChr m:val="("/>
            <m:sepChr m:val=""/>
            <m:endChr m:val=")"/>
            <m:grow/>
          </m:dPr>
          <m:e>
            <m:r>
              <m:t>3</m:t>
            </m:r>
            <m:r>
              <m:rPr>
                <m:sty m:val="p"/>
              </m:rPr>
              <m:t>,</m:t>
            </m:r>
            <m:r>
              <m:t>5</m:t>
            </m:r>
          </m:e>
        </m:d>
        <m:r>
          <m:rPr>
            <m:sty m:val="p"/>
          </m:rPr>
          <m:t>=</m:t>
        </m:r>
        <m:r>
          <m:t>0</m:t>
        </m:r>
        <m:r>
          <m:rPr>
            <m:sty m:val="p"/>
          </m:rPr>
          <m:t>,</m:t>
        </m:r>
        <m:r>
          <m:t>25</m:t>
        </m:r>
      </m:oMath>
      <w:r>
        <w:t xml:space="preserve">, et</w:t>
      </w:r>
      <w:r>
        <w:t xml:space="preserve"> </w:t>
      </w:r>
      <m:oMath>
        <m:acc>
          <m:accPr>
            <m:chr m:val="̂"/>
          </m:accPr>
          <m:e>
            <m:r>
              <m:rPr>
                <m:sty m:val="p"/>
                <m:scr m:val="double-struck"/>
              </m:rPr>
              <m:t>P</m:t>
            </m:r>
          </m:e>
        </m:acc>
        <m:d>
          <m:dPr>
            <m:begChr m:val="("/>
            <m:sepChr m:val=""/>
            <m:endChr m:val=")"/>
            <m:grow/>
          </m:dPr>
          <m:e>
            <m:sSub>
              <m:e>
                <m:r>
                  <m:t>Z</m:t>
                </m:r>
              </m:e>
              <m:sub>
                <m:r>
                  <m:t>0</m:t>
                </m:r>
              </m:sub>
            </m:sSub>
            <m:r>
              <m:rPr>
                <m:sty m:val="p"/>
              </m:rPr>
              <m:t>&gt;</m:t>
            </m:r>
            <m:r>
              <m:t>3</m:t>
            </m:r>
            <m:r>
              <m:rPr>
                <m:sty m:val="p"/>
              </m:rPr>
              <m:t>,</m:t>
            </m:r>
            <m:r>
              <m:t>5</m:t>
            </m:r>
          </m:e>
        </m:d>
        <m:r>
          <m:rPr>
            <m:sty m:val="p"/>
          </m:rPr>
          <m:t>=</m:t>
        </m:r>
        <m:r>
          <m:t>1</m:t>
        </m:r>
        <m:r>
          <m:rPr>
            <m:sty m:val="p"/>
          </m:rPr>
          <m:t>−</m:t>
        </m:r>
        <m:r>
          <m:t>0</m:t>
        </m:r>
        <m:r>
          <m:rPr>
            <m:sty m:val="p"/>
          </m:rPr>
          <m:t>,</m:t>
        </m:r>
        <m:r>
          <m:t>25</m:t>
        </m:r>
        <m:r>
          <m:rPr>
            <m:sty m:val="p"/>
          </m:rPr>
          <m:t>=</m:t>
        </m:r>
        <m:r>
          <m:t>0</m:t>
        </m:r>
        <m:r>
          <m:rPr>
            <m:sty m:val="p"/>
          </m:rPr>
          <m:t>,</m:t>
        </m:r>
        <m:r>
          <m:t>75</m:t>
        </m:r>
      </m:oMath>
      <w:r>
        <w:t xml:space="preserve">.</w:t>
      </w:r>
    </w:p>
    <w:p>
      <w:pPr>
        <w:pStyle w:val="BodyText"/>
      </w:pPr>
      <w:r>
        <w:t xml:space="preserve">Pour</w:t>
      </w:r>
      <w:r>
        <w:t xml:space="preserve"> </w:t>
      </w:r>
      <m:oMath>
        <m:sSub>
          <m:e>
            <m:r>
              <m:t>z</m:t>
            </m:r>
          </m:e>
          <m:sub>
            <m:r>
              <m:t>c</m:t>
            </m:r>
          </m:sub>
        </m:sSub>
        <m:r>
          <m:rPr>
            <m:sty m:val="p"/>
          </m:rPr>
          <m:t>=</m:t>
        </m:r>
        <m:r>
          <m:t>4</m:t>
        </m:r>
        <m:r>
          <m:rPr>
            <m:sty m:val="p"/>
          </m:rPr>
          <m:t>,</m:t>
        </m:r>
        <m:r>
          <m:t>3</m:t>
        </m:r>
      </m:oMath>
      <w:r>
        <w:t xml:space="preserve">, on interpole linéairement entre les seuils 4 et 5 :</w:t>
      </w:r>
    </w:p>
    <w:p>
      <w:pPr>
        <w:pStyle w:val="BodyText"/>
      </w:pPr>
      <m:oMathPara>
        <m:oMathParaPr>
          <m:jc m:val="center"/>
        </m:oMathPara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4</m:t>
              </m:r>
              <m:r>
                <m:rPr>
                  <m:sty m:val="p"/>
                </m:rPr>
                <m:t>,</m:t>
              </m:r>
              <m:r>
                <m:t>3</m:t>
              </m:r>
            </m:e>
          </m:d>
          <m:r>
            <m:rPr>
              <m:sty m:val="p"/>
            </m:rPr>
            <m:t>=</m:t>
          </m:r>
          <m:r>
            <m:t>0</m:t>
          </m:r>
          <m:r>
            <m:rPr>
              <m:sty m:val="p"/>
            </m:rPr>
            <m:t>,</m:t>
          </m:r>
          <m:r>
            <m:t>25</m:t>
          </m:r>
          <m:r>
            <m:rPr>
              <m:sty m:val="p"/>
            </m:rPr>
            <m:t>+</m:t>
          </m:r>
          <m:f>
            <m:fPr>
              <m:type m:val="bar"/>
            </m:fPr>
            <m:num>
              <m:r>
                <m:t>4</m:t>
              </m:r>
              <m:r>
                <m:rPr>
                  <m:sty m:val="p"/>
                </m:rPr>
                <m:t>,</m:t>
              </m:r>
              <m:r>
                <m:t>3</m:t>
              </m:r>
              <m:r>
                <m:rPr>
                  <m:sty m:val="p"/>
                </m:rPr>
                <m:t>−</m:t>
              </m:r>
              <m:r>
                <m:t>4</m:t>
              </m:r>
            </m:num>
            <m:den>
              <m:r>
                <m:t>5</m:t>
              </m:r>
              <m:r>
                <m:rPr>
                  <m:sty m:val="p"/>
                </m:rPr>
                <m:t>−</m:t>
              </m:r>
              <m:r>
                <m:t>4</m:t>
              </m:r>
            </m:den>
          </m:f>
          <m:d>
            <m:dPr>
              <m:begChr m:val="("/>
              <m:sepChr m:val=""/>
              <m:endChr m:val=")"/>
              <m:grow/>
            </m:dPr>
            <m:e>
              <m:r>
                <m:t>0</m:t>
              </m:r>
              <m:r>
                <m:rPr>
                  <m:sty m:val="p"/>
                </m:rPr>
                <m:t>,</m:t>
              </m:r>
              <m:r>
                <m:t>50</m:t>
              </m:r>
              <m:r>
                <m:rPr>
                  <m:sty m:val="p"/>
                </m:rPr>
                <m:t>−</m:t>
              </m:r>
              <m:r>
                <m:t>0</m:t>
              </m:r>
              <m:r>
                <m:rPr>
                  <m:sty m:val="p"/>
                </m:rPr>
                <m:t>,</m:t>
              </m:r>
              <m:r>
                <m:t>25</m:t>
              </m:r>
            </m:e>
          </m:d>
          <m:r>
            <m:rPr>
              <m:sty m:val="p"/>
            </m:rPr>
            <m:t>=</m:t>
          </m:r>
          <m:r>
            <m:t>0</m:t>
          </m:r>
          <m:r>
            <m:rPr>
              <m:sty m:val="p"/>
            </m:rPr>
            <m:t>,</m:t>
          </m:r>
          <m:r>
            <m:t>25</m:t>
          </m:r>
          <m:r>
            <m:rPr>
              <m:sty m:val="p"/>
            </m:rPr>
            <m:t>+</m:t>
          </m:r>
          <m:r>
            <m:t>0</m:t>
          </m:r>
          <m:r>
            <m:rPr>
              <m:sty m:val="p"/>
            </m:rPr>
            <m:t>,</m:t>
          </m:r>
          <m:r>
            <m:t>3</m:t>
          </m:r>
          <m:r>
            <m:rPr>
              <m:sty m:val="p"/>
            </m:rPr>
            <m:t>×</m:t>
          </m:r>
          <m:r>
            <m:t>0</m:t>
          </m:r>
          <m:r>
            <m:rPr>
              <m:sty m:val="p"/>
            </m:rPr>
            <m:t>,</m:t>
          </m:r>
          <m:r>
            <m:t>25</m:t>
          </m:r>
          <m:r>
            <m:rPr>
              <m:sty m:val="p"/>
            </m:rPr>
            <m:t>=</m:t>
          </m:r>
          <m:r>
            <m:t>0</m:t>
          </m:r>
          <m:r>
            <m:rPr>
              <m:sty m:val="p"/>
            </m:rPr>
            <m:t>,</m:t>
          </m:r>
          <m:r>
            <m:t>325</m:t>
          </m:r>
          <m:r>
            <m:rPr>
              <m:sty m:val="p"/>
            </m:rPr>
            <m:t>,</m:t>
          </m:r>
        </m:oMath>
      </m:oMathPara>
    </w:p>
    <w:p>
      <w:pPr>
        <w:pStyle w:val="FirstParagraph"/>
      </w:pPr>
      <w:r>
        <w:t xml:space="preserve">d’où</w:t>
      </w:r>
      <w:r>
        <w:t xml:space="preserve"> </w:t>
      </w:r>
      <m:oMath>
        <m:acc>
          <m:accPr>
            <m:chr m:val="̂"/>
          </m:accPr>
          <m:e>
            <m:r>
              <m:rPr>
                <m:sty m:val="p"/>
                <m:scr m:val="double-struck"/>
              </m:rPr>
              <m:t>P</m:t>
            </m:r>
          </m:e>
        </m:acc>
        <m:d>
          <m:dPr>
            <m:begChr m:val="("/>
            <m:sepChr m:val=""/>
            <m:endChr m:val=")"/>
            <m:grow/>
          </m:dPr>
          <m:e>
            <m:sSub>
              <m:e>
                <m:r>
                  <m:t>Z</m:t>
                </m:r>
              </m:e>
              <m:sub>
                <m:r>
                  <m:t>0</m:t>
                </m:r>
              </m:sub>
            </m:sSub>
            <m:r>
              <m:rPr>
                <m:sty m:val="p"/>
              </m:rPr>
              <m:t>&gt;</m:t>
            </m:r>
            <m:r>
              <m:t>4</m:t>
            </m:r>
            <m:r>
              <m:rPr>
                <m:sty m:val="p"/>
              </m:rPr>
              <m:t>,</m:t>
            </m:r>
            <m:r>
              <m:t>3</m:t>
            </m:r>
          </m:e>
        </m:d>
        <m:r>
          <m:rPr>
            <m:sty m:val="p"/>
          </m:rPr>
          <m:t>=</m:t>
        </m:r>
        <m:r>
          <m:t>1</m:t>
        </m:r>
        <m:r>
          <m:rPr>
            <m:sty m:val="p"/>
          </m:rPr>
          <m:t>−</m:t>
        </m:r>
        <m:r>
          <m:t>0</m:t>
        </m:r>
        <m:r>
          <m:rPr>
            <m:sty m:val="p"/>
          </m:rPr>
          <m:t>,</m:t>
        </m:r>
        <m:r>
          <m:t>325</m:t>
        </m:r>
        <m:r>
          <m:rPr>
            <m:sty m:val="p"/>
          </m:rPr>
          <m:t>=</m:t>
        </m:r>
        <m:r>
          <m:t>0</m:t>
        </m:r>
        <m:r>
          <m:rPr>
            <m:sty m:val="p"/>
          </m:rPr>
          <m:t>,</m:t>
        </m:r>
        <m:r>
          <m:t>675</m:t>
        </m:r>
      </m:oMath>
      <w:r>
        <w:t xml:space="preserve">.</w:t>
      </w:r>
    </w:p>
    <w:bookmarkEnd w:id="41"/>
    <w:bookmarkStart w:id="42" w:name="médiane-et-percentiles"/>
    <w:p>
      <w:pPr>
        <w:pStyle w:val="Heading4"/>
      </w:pPr>
      <w:r>
        <w:t xml:space="preserve">2.3.2 2. Médiane et percentiles</w:t>
      </w:r>
    </w:p>
    <w:p>
      <w:pPr>
        <w:pStyle w:val="FirstParagraph"/>
      </w:pPr>
      <w:r>
        <w:t xml:space="preserve">La médiane estimée</w:t>
      </w:r>
      <w:r>
        <w:t xml:space="preserve"> </w:t>
      </w:r>
      <m:oMath>
        <m:sSub>
          <m:e>
            <m:acc>
              <m:accPr>
                <m:chr m:val="̂"/>
              </m:accPr>
              <m:e>
                <m:r>
                  <m:t>q</m:t>
                </m:r>
              </m:e>
            </m:acc>
          </m:e>
          <m:sub>
            <m:r>
              <m:t>0</m:t>
            </m:r>
            <m:r>
              <m:rPr>
                <m:sty m:val="p"/>
              </m:rPr>
              <m:t>,</m:t>
            </m:r>
            <m:r>
              <m:t>5</m:t>
            </m:r>
          </m:sub>
        </m:sSub>
      </m:oMath>
      <w:r>
        <w:t xml:space="preserve"> </w:t>
      </w:r>
      <w:r>
        <w:t xml:space="preserve">satisfait</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acc>
                  <m:accPr>
                    <m:chr m:val="̂"/>
                  </m:accPr>
                  <m:e>
                    <m:r>
                      <m:t>q</m:t>
                    </m:r>
                  </m:e>
                </m:acc>
              </m:e>
              <m:sub>
                <m:r>
                  <m:t>0</m:t>
                </m:r>
                <m:r>
                  <m:rPr>
                    <m:sty m:val="p"/>
                  </m:rPr>
                  <m:t>,</m:t>
                </m:r>
                <m:r>
                  <m:t>5</m:t>
                </m:r>
              </m:sub>
            </m:sSub>
          </m:e>
        </m:d>
        <m:r>
          <m:rPr>
            <m:sty m:val="p"/>
          </m:rPr>
          <m:t>=</m:t>
        </m:r>
        <m:r>
          <m:t>0</m:t>
        </m:r>
        <m:r>
          <m:rPr>
            <m:sty m:val="p"/>
          </m:rPr>
          <m:t>,</m:t>
        </m:r>
        <m:r>
          <m:t>5</m:t>
        </m:r>
      </m:oMath>
      <w:r>
        <w:t xml:space="preserve">. Comme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5</m:t>
            </m:r>
          </m:e>
        </m:d>
        <m:r>
          <m:rPr>
            <m:sty m:val="p"/>
          </m:rPr>
          <m:t>=</m:t>
        </m:r>
        <m:r>
          <m:t>0</m:t>
        </m:r>
        <m:r>
          <m:rPr>
            <m:sty m:val="p"/>
          </m:rPr>
          <m:t>,</m:t>
        </m:r>
        <m:r>
          <m:t>5</m:t>
        </m:r>
      </m:oMath>
      <w:r>
        <w:t xml:space="preserve">, la médiane est</w:t>
      </w:r>
      <w:r>
        <w:t xml:space="preserve"> </w:t>
      </w:r>
      <m:oMath>
        <m:sSub>
          <m:e>
            <m:acc>
              <m:accPr>
                <m:chr m:val="̂"/>
              </m:accPr>
              <m:e>
                <m:r>
                  <m:t>q</m:t>
                </m:r>
              </m:e>
            </m:acc>
          </m:e>
          <m:sub>
            <m:r>
              <m:t>0</m:t>
            </m:r>
            <m:r>
              <m:rPr>
                <m:sty m:val="p"/>
              </m:rPr>
              <m:t>,</m:t>
            </m:r>
            <m:r>
              <m:t>5</m:t>
            </m:r>
          </m:sub>
        </m:sSub>
        <m:r>
          <m:rPr>
            <m:sty m:val="p"/>
          </m:rPr>
          <m:t>=</m:t>
        </m:r>
        <m:r>
          <m:t>5</m:t>
        </m:r>
      </m:oMath>
      <w:r>
        <w:t xml:space="preserve">. Pour le 65e percentile, on cherche</w:t>
      </w:r>
      <w:r>
        <w:t xml:space="preserve"> </w:t>
      </w:r>
      <m:oMath>
        <m:r>
          <m:t>z</m:t>
        </m:r>
      </m:oMath>
      <w:r>
        <w:t xml:space="preserve"> </w:t>
      </w:r>
      <w:r>
        <w:t xml:space="preserve">tel que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r>
          <m:t>0</m:t>
        </m:r>
        <m:r>
          <m:rPr>
            <m:sty m:val="p"/>
          </m:rPr>
          <m:t>,</m:t>
        </m:r>
        <m:r>
          <m:t>65</m:t>
        </m:r>
      </m:oMath>
      <w:r>
        <w:t xml:space="preserve">, ce qui tombe entre les seuils 5 (</w:t>
      </w:r>
      <m:oMath>
        <m:sSub>
          <m:e>
            <m:acc>
              <m:accPr>
                <m:chr m:val="̂"/>
              </m:accPr>
              <m:e>
                <m:r>
                  <m:t>F</m:t>
                </m:r>
              </m:e>
            </m:acc>
          </m:e>
          <m:sub>
            <m:r>
              <m:t>K</m:t>
            </m:r>
            <m:r>
              <m:t>I</m:t>
            </m:r>
          </m:sub>
        </m:sSub>
        <m:r>
          <m:rPr>
            <m:sty m:val="p"/>
          </m:rPr>
          <m:t>=</m:t>
        </m:r>
        <m:r>
          <m:t>0</m:t>
        </m:r>
        <m:r>
          <m:rPr>
            <m:sty m:val="p"/>
          </m:rPr>
          <m:t>,</m:t>
        </m:r>
        <m:r>
          <m:t>50</m:t>
        </m:r>
      </m:oMath>
      <w:r>
        <w:t xml:space="preserve">) et 6 (</w:t>
      </w:r>
      <m:oMath>
        <m:sSub>
          <m:e>
            <m:acc>
              <m:accPr>
                <m:chr m:val="̂"/>
              </m:accPr>
              <m:e>
                <m:r>
                  <m:t>F</m:t>
                </m:r>
              </m:e>
            </m:acc>
          </m:e>
          <m:sub>
            <m:r>
              <m:t>K</m:t>
            </m:r>
            <m:r>
              <m:t>I</m:t>
            </m:r>
          </m:sub>
        </m:sSub>
        <m:r>
          <m:rPr>
            <m:sty m:val="p"/>
          </m:rPr>
          <m:t>=</m:t>
        </m:r>
        <m:r>
          <m:t>0</m:t>
        </m:r>
        <m:r>
          <m:rPr>
            <m:sty m:val="p"/>
          </m:rPr>
          <m:t>,</m:t>
        </m:r>
        <m:r>
          <m:t>75</m:t>
        </m:r>
      </m:oMath>
      <w:r>
        <w:t xml:space="preserve">) :</w:t>
      </w:r>
    </w:p>
    <w:p>
      <w:pPr>
        <w:pStyle w:val="BodyText"/>
      </w:pPr>
      <m:oMathPara>
        <m:oMathParaPr>
          <m:jc m:val="center"/>
        </m:oMathParaPr>
        <m:oMath>
          <m:sSub>
            <m:e>
              <m:acc>
                <m:accPr>
                  <m:chr m:val="̂"/>
                </m:accPr>
                <m:e>
                  <m:r>
                    <m:t>q</m:t>
                  </m:r>
                </m:e>
              </m:acc>
            </m:e>
            <m:sub>
              <m:r>
                <m:t>0</m:t>
              </m:r>
              <m:r>
                <m:rPr>
                  <m:sty m:val="p"/>
                </m:rPr>
                <m:t>,</m:t>
              </m:r>
              <m:r>
                <m:t>65</m:t>
              </m:r>
            </m:sub>
          </m:sSub>
          <m:r>
            <m:rPr>
              <m:sty m:val="p"/>
            </m:rPr>
            <m:t>=</m:t>
          </m:r>
          <m:r>
            <m:t>5</m:t>
          </m:r>
          <m:r>
            <m:rPr>
              <m:sty m:val="p"/>
            </m:rPr>
            <m:t>+</m:t>
          </m:r>
          <m:f>
            <m:fPr>
              <m:type m:val="bar"/>
            </m:fPr>
            <m:num>
              <m:r>
                <m:t>0</m:t>
              </m:r>
              <m:r>
                <m:rPr>
                  <m:sty m:val="p"/>
                </m:rPr>
                <m:t>,</m:t>
              </m:r>
              <m:r>
                <m:t>65</m:t>
              </m:r>
              <m:r>
                <m:rPr>
                  <m:sty m:val="p"/>
                </m:rPr>
                <m:t>−</m:t>
              </m:r>
              <m:r>
                <m:t>0</m:t>
              </m:r>
              <m:r>
                <m:rPr>
                  <m:sty m:val="p"/>
                </m:rPr>
                <m:t>,</m:t>
              </m:r>
              <m:r>
                <m:t>50</m:t>
              </m:r>
            </m:num>
            <m:den>
              <m:r>
                <m:t>0</m:t>
              </m:r>
              <m:r>
                <m:rPr>
                  <m:sty m:val="p"/>
                </m:rPr>
                <m:t>,</m:t>
              </m:r>
              <m:r>
                <m:t>75</m:t>
              </m:r>
              <m:r>
                <m:rPr>
                  <m:sty m:val="p"/>
                </m:rPr>
                <m:t>−</m:t>
              </m:r>
              <m:r>
                <m:t>0</m:t>
              </m:r>
              <m:r>
                <m:rPr>
                  <m:sty m:val="p"/>
                </m:rPr>
                <m:t>,</m:t>
              </m:r>
              <m:r>
                <m:t>50</m:t>
              </m:r>
            </m:den>
          </m:f>
          <m:d>
            <m:dPr>
              <m:begChr m:val="("/>
              <m:sepChr m:val=""/>
              <m:endChr m:val=")"/>
              <m:grow/>
            </m:dPr>
            <m:e>
              <m:r>
                <m:t>6</m:t>
              </m:r>
              <m:r>
                <m:rPr>
                  <m:sty m:val="p"/>
                </m:rPr>
                <m:t>−</m:t>
              </m:r>
              <m:r>
                <m:t>5</m:t>
              </m:r>
            </m:e>
          </m:d>
          <m:r>
            <m:rPr>
              <m:sty m:val="p"/>
            </m:rPr>
            <m:t>=</m:t>
          </m:r>
          <m:r>
            <m:t>5</m:t>
          </m:r>
          <m:r>
            <m:rPr>
              <m:sty m:val="p"/>
            </m:rPr>
            <m:t>,</m:t>
          </m:r>
          <m:r>
            <m:t>6</m:t>
          </m:r>
          <m:r>
            <m:rPr>
              <m:sty m:val="p"/>
            </m:rPr>
            <m:t>.</m:t>
          </m:r>
        </m:oMath>
      </m:oMathPara>
    </w:p>
    <w:bookmarkEnd w:id="42"/>
    <w:bookmarkStart w:id="43" w:name="espérance-conditionnelle"/>
    <w:p>
      <w:pPr>
        <w:pStyle w:val="Heading4"/>
      </w:pPr>
      <w:r>
        <w:t xml:space="preserve">2.3.3 3. Espérance conditionnelle</w:t>
      </w:r>
    </w:p>
    <w:p>
      <w:pPr>
        <w:pStyle w:val="FirstParagraph"/>
      </w:pPr>
      <w:r>
        <w:t xml:space="preserve">La fonction de répartition discrétisée définit des classes de valeurs, chacune de probabilité estimée</w:t>
      </w:r>
      <w:r>
        <w:t xml:space="preserve"> </w:t>
      </w:r>
      <m:oMath>
        <m:sSub>
          <m:e>
            <m:acc>
              <m:accPr>
                <m:chr m:val="̂"/>
              </m:accPr>
              <m:e>
                <m:r>
                  <m:t>p</m:t>
                </m:r>
              </m:e>
            </m:acc>
          </m:e>
          <m:sub>
            <m:r>
              <m:t>k</m:t>
            </m:r>
          </m:sub>
        </m:sSub>
        <m:r>
          <m:rPr>
            <m:sty m:val="p"/>
          </m:rPr>
          <m:t>=</m:t>
        </m:r>
        <m:sSub>
          <m:e>
            <m:acc>
              <m:accPr>
                <m:chr m:val="̂"/>
              </m:accPr>
              <m:e>
                <m:r>
                  <m:t>F</m:t>
                </m:r>
              </m:e>
            </m:acc>
          </m:e>
          <m:sub>
            <m:r>
              <m:t>K</m:t>
            </m:r>
            <m:r>
              <m:t>I</m:t>
            </m:r>
          </m:sub>
        </m:sSub>
        <m:d>
          <m:dPr>
            <m:begChr m:val="("/>
            <m:sepChr m:val=""/>
            <m:endChr m:val=")"/>
            <m:grow/>
          </m:dPr>
          <m:e>
            <m:sSub>
              <m:e>
                <m:r>
                  <m:t>z</m:t>
                </m:r>
              </m:e>
              <m:sub>
                <m:r>
                  <m:t>c</m:t>
                </m:r>
                <m:r>
                  <m:rPr>
                    <m:sty m:val="p"/>
                  </m:rPr>
                  <m:t>,</m:t>
                </m:r>
                <m:r>
                  <m:t>k</m:t>
                </m:r>
              </m:sub>
            </m:sSub>
          </m:e>
        </m:d>
        <m:r>
          <m:rPr>
            <m:sty m:val="p"/>
          </m:rPr>
          <m:t>−</m:t>
        </m:r>
        <m:sSub>
          <m:e>
            <m:acc>
              <m:accPr>
                <m:chr m:val="̂"/>
              </m:accPr>
              <m:e>
                <m:r>
                  <m:t>F</m:t>
                </m:r>
              </m:e>
            </m:acc>
          </m:e>
          <m:sub>
            <m:r>
              <m:t>K</m:t>
            </m:r>
            <m:r>
              <m:t>I</m:t>
            </m:r>
          </m:sub>
        </m:sSub>
        <m:d>
          <m:dPr>
            <m:begChr m:val="("/>
            <m:sepChr m:val=""/>
            <m:endChr m:val=")"/>
            <m:grow/>
          </m:dPr>
          <m:e>
            <m:sSub>
              <m:e>
                <m:r>
                  <m:t>z</m:t>
                </m:r>
              </m:e>
              <m:sub>
                <m:r>
                  <m:t>c</m:t>
                </m:r>
                <m:r>
                  <m:rPr>
                    <m:sty m:val="p"/>
                  </m:rPr>
                  <m:t>,</m:t>
                </m:r>
                <m:r>
                  <m:t>k</m:t>
                </m:r>
                <m:r>
                  <m:rPr>
                    <m:sty m:val="p"/>
                  </m:rPr>
                  <m:t>−</m:t>
                </m:r>
                <m:r>
                  <m:t>1</m:t>
                </m:r>
              </m:sub>
            </m:sSub>
          </m:e>
        </m:d>
      </m:oMath>
      <w:r>
        <w:t xml:space="preserve"> </w:t>
      </w:r>
      <w:r>
        <w:t xml:space="preserve">et de milieu</w:t>
      </w:r>
      <w:r>
        <w:t xml:space="preserve"> </w:t>
      </w:r>
      <m:oMath>
        <m:sSub>
          <m:e>
            <m:r>
              <m:t>m</m:t>
            </m:r>
          </m:e>
          <m:sub>
            <m:r>
              <m:t>k</m:t>
            </m:r>
          </m:sub>
        </m:sSub>
      </m:oMath>
      <w:r>
        <w:t xml:space="preserve"> </w:t>
      </w:r>
      <w:r>
        <w:t xml:space="preserve">(la valeur représentative</w:t>
      </w:r>
      <w:r>
        <w:t xml:space="preserve"> </w:t>
      </w:r>
      <m:oMath>
        <m:sSub>
          <m:e>
            <m:acc>
              <m:accPr>
                <m:chr m:val="̃"/>
              </m:accPr>
              <m:e>
                <m:r>
                  <m:t>z</m:t>
                </m:r>
              </m:e>
            </m:acc>
          </m:e>
          <m:sub>
            <m:r>
              <m:t>k</m:t>
            </m:r>
          </m:sub>
        </m:sSub>
      </m:oMath>
      <w:r>
        <w:t xml:space="preserve"> </w:t>
      </w:r>
      <w:r>
        <w:t xml:space="preserve">des formules précédentes)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Classe</w:t>
            </w:r>
            <w:r>
              <w:t xml:space="preserve"> </w:t>
            </w:r>
            <m:oMath>
              <m:r>
                <m:t>k</m:t>
              </m:r>
            </m:oMath>
          </w:p>
        </w:tc>
        <w:tc>
          <w:tcPr/>
          <w:p>
            <w:pPr>
              <w:pStyle w:val="Compact"/>
              <w:jc w:val="center"/>
            </w:pPr>
            <w:r>
              <w:t xml:space="preserve">Intervalle</w:t>
            </w:r>
          </w:p>
        </w:tc>
        <w:tc>
          <w:tcPr/>
          <w:p>
            <w:pPr>
              <w:pStyle w:val="Compact"/>
              <w:jc w:val="center"/>
            </w:pPr>
            <w:r>
              <w:t xml:space="preserve">Milieu</w:t>
            </w:r>
            <w:r>
              <w:t xml:space="preserve"> </w:t>
            </w:r>
            <m:oMath>
              <m:sSub>
                <m:e>
                  <m:r>
                    <m:t>m</m:t>
                  </m:r>
                </m:e>
                <m:sub>
                  <m:r>
                    <m:t>k</m:t>
                  </m:r>
                </m:sub>
              </m:sSub>
            </m:oMath>
          </w:p>
        </w:tc>
        <w:tc>
          <w:tcPr/>
          <w:p>
            <w:pPr>
              <w:pStyle w:val="Compact"/>
              <w:jc w:val="center"/>
            </w:pPr>
            <m:oMath>
              <m:sSub>
                <m:e>
                  <m:acc>
                    <m:accPr>
                      <m:chr m:val="̂"/>
                    </m:accPr>
                    <m:e>
                      <m:r>
                        <m:t>F</m:t>
                      </m:r>
                    </m:e>
                  </m:acc>
                </m:e>
                <m:sub>
                  <m:r>
                    <m:t>K</m:t>
                  </m:r>
                  <m:r>
                    <m:t>I</m:t>
                  </m:r>
                </m:sub>
              </m:sSub>
              <m:d>
                <m:dPr>
                  <m:begChr m:val="("/>
                  <m:sepChr m:val=""/>
                  <m:endChr m:val=")"/>
                  <m:grow/>
                </m:dPr>
                <m:e>
                  <m:sSub>
                    <m:e>
                      <m:r>
                        <m:t>z</m:t>
                      </m:r>
                    </m:e>
                    <m:sub>
                      <m:r>
                        <m:t>c</m:t>
                      </m:r>
                      <m:r>
                        <m:rPr>
                          <m:sty m:val="p"/>
                        </m:rPr>
                        <m:t>,</m:t>
                      </m:r>
                      <m:r>
                        <m:t>k</m:t>
                      </m:r>
                      <m:r>
                        <m:rPr>
                          <m:sty m:val="p"/>
                        </m:rPr>
                        <m:t>−</m:t>
                      </m:r>
                      <m:r>
                        <m:t>1</m:t>
                      </m:r>
                    </m:sub>
                  </m:sSub>
                </m:e>
              </m:d>
            </m:oMath>
          </w:p>
        </w:tc>
        <w:tc>
          <w:tcPr/>
          <w:p>
            <w:pPr>
              <w:pStyle w:val="Compact"/>
              <w:jc w:val="center"/>
            </w:pPr>
            <m:oMath>
              <m:sSub>
                <m:e>
                  <m:acc>
                    <m:accPr>
                      <m:chr m:val="̂"/>
                    </m:accPr>
                    <m:e>
                      <m:r>
                        <m:t>F</m:t>
                      </m:r>
                    </m:e>
                  </m:acc>
                </m:e>
                <m:sub>
                  <m:r>
                    <m:t>K</m:t>
                  </m:r>
                  <m:r>
                    <m:t>I</m:t>
                  </m:r>
                </m:sub>
              </m:sSub>
              <m:d>
                <m:dPr>
                  <m:begChr m:val="("/>
                  <m:sepChr m:val=""/>
                  <m:endChr m:val=")"/>
                  <m:grow/>
                </m:dPr>
                <m:e>
                  <m:sSub>
                    <m:e>
                      <m:r>
                        <m:t>z</m:t>
                      </m:r>
                    </m:e>
                    <m:sub>
                      <m:r>
                        <m:t>c</m:t>
                      </m:r>
                      <m:r>
                        <m:rPr>
                          <m:sty m:val="p"/>
                        </m:rPr>
                        <m:t>,</m:t>
                      </m:r>
                      <m:r>
                        <m:t>k</m:t>
                      </m:r>
                    </m:sub>
                  </m:sSub>
                </m:e>
              </m:d>
            </m:oMath>
          </w:p>
        </w:tc>
        <w:tc>
          <w:tcPr/>
          <w:p>
            <w:pPr>
              <w:pStyle w:val="Compact"/>
              <w:jc w:val="center"/>
            </w:pPr>
            <m:oMath>
              <m:sSub>
                <m:e>
                  <m:acc>
                    <m:accPr>
                      <m:chr m:val="̂"/>
                    </m:accPr>
                    <m:e>
                      <m:r>
                        <m:t>p</m:t>
                      </m:r>
                    </m:e>
                  </m:acc>
                </m:e>
                <m:sub>
                  <m:r>
                    <m:t>k</m:t>
                  </m:r>
                </m:sub>
              </m:sSub>
            </m:oMath>
          </w:p>
        </w:tc>
      </w:tr>
      <w:tr>
        <w:tc>
          <w:tcPr/>
          <w:p>
            <w:pPr>
              <w:pStyle w:val="Compact"/>
              <w:jc w:val="center"/>
            </w:pPr>
            <w:r>
              <w:t xml:space="preserve">1</w:t>
            </w:r>
          </w:p>
        </w:tc>
        <w:tc>
          <w:tcPr/>
          <w:p>
            <w:pPr>
              <w:pStyle w:val="Compact"/>
              <w:jc w:val="center"/>
            </w:pPr>
            <m:oMath>
              <m:r>
                <m:rPr>
                  <m:sty m:val="p"/>
                </m:rPr>
                <m:t>(</m:t>
              </m:r>
              <m:r>
                <m:rPr>
                  <m:sty m:val="p"/>
                </m:rPr>
                <m:t>−</m:t>
              </m:r>
              <m:r>
                <m:rPr>
                  <m:sty m:val="p"/>
                </m:rPr>
                <m:t>∞</m:t>
              </m:r>
              <m:r>
                <m:rPr>
                  <m:sty m:val="p"/>
                </m:rPr>
                <m:t>,</m:t>
              </m:r>
              <m:r>
                <m:t>1</m:t>
              </m:r>
              <m:r>
                <m:rPr>
                  <m:sty m:val="p"/>
                </m:rPr>
                <m:t>]</m:t>
              </m:r>
            </m:oMath>
          </w:p>
        </w:tc>
        <w:tc>
          <w:tcPr/>
          <w:p>
            <w:pPr>
              <w:pStyle w:val="Compact"/>
              <w:jc w:val="center"/>
            </w:pPr>
            <w:r>
              <w:t xml:space="preserve">0,5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m:oMath>
              <m:r>
                <m:rPr>
                  <m:sty m:val="p"/>
                </m:rPr>
                <m:t>(</m:t>
              </m:r>
              <m:r>
                <m:t>1</m:t>
              </m:r>
              <m:r>
                <m:rPr>
                  <m:sty m:val="p"/>
                </m:rPr>
                <m:t>,</m:t>
              </m:r>
              <m:r>
                <m:t>2</m:t>
              </m:r>
              <m:r>
                <m:rPr>
                  <m:sty m:val="p"/>
                </m:rPr>
                <m:t>]</m:t>
              </m:r>
            </m:oMath>
          </w:p>
        </w:tc>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m:oMath>
              <m:r>
                <m:rPr>
                  <m:sty m:val="p"/>
                </m:rPr>
                <m:t>(</m:t>
              </m:r>
              <m:r>
                <m:t>2</m:t>
              </m:r>
              <m:r>
                <m:rPr>
                  <m:sty m:val="p"/>
                </m:rPr>
                <m:t>,</m:t>
              </m:r>
              <m:r>
                <m:t>3</m:t>
              </m:r>
              <m:r>
                <m:rPr>
                  <m:sty m:val="p"/>
                </m:rPr>
                <m:t>]</m:t>
              </m:r>
            </m:oMath>
          </w:p>
        </w:tc>
        <w:tc>
          <w:tcPr/>
          <w:p>
            <w:pPr>
              <w:pStyle w:val="Compact"/>
              <w:jc w:val="center"/>
            </w:pPr>
            <w:r>
              <w:t xml:space="preserve">2,5</w:t>
            </w:r>
          </w:p>
        </w:tc>
        <w:tc>
          <w:tcPr/>
          <w:p>
            <w:pPr>
              <w:pStyle w:val="Compact"/>
              <w:jc w:val="center"/>
            </w:pPr>
            <w:r>
              <w:t xml:space="preserve">0</w:t>
            </w:r>
          </w:p>
        </w:tc>
        <w:tc>
          <w:tcPr/>
          <w:p>
            <w:pPr>
              <w:pStyle w:val="Compact"/>
              <w:jc w:val="center"/>
            </w:pPr>
            <w:r>
              <w:t xml:space="preserve">0,25</w:t>
            </w:r>
          </w:p>
        </w:tc>
        <w:tc>
          <w:tcPr/>
          <w:p>
            <w:pPr>
              <w:pStyle w:val="Compact"/>
              <w:jc w:val="center"/>
            </w:pPr>
            <w:r>
              <w:t xml:space="preserve">0,25</w:t>
            </w:r>
          </w:p>
        </w:tc>
      </w:tr>
      <w:tr>
        <w:tc>
          <w:tcPr/>
          <w:p>
            <w:pPr>
              <w:pStyle w:val="Compact"/>
              <w:jc w:val="center"/>
            </w:pPr>
            <w:r>
              <w:t xml:space="preserve">4</w:t>
            </w:r>
          </w:p>
        </w:tc>
        <w:tc>
          <w:tcPr/>
          <w:p>
            <w:pPr>
              <w:pStyle w:val="Compact"/>
              <w:jc w:val="center"/>
            </w:pPr>
            <m:oMath>
              <m:r>
                <m:rPr>
                  <m:sty m:val="p"/>
                </m:rPr>
                <m:t>(</m:t>
              </m:r>
              <m:r>
                <m:t>3</m:t>
              </m:r>
              <m:r>
                <m:rPr>
                  <m:sty m:val="p"/>
                </m:rPr>
                <m:t>,</m:t>
              </m:r>
              <m:r>
                <m:t>4</m:t>
              </m:r>
              <m:r>
                <m:rPr>
                  <m:sty m:val="p"/>
                </m:rPr>
                <m:t>]</m:t>
              </m:r>
            </m:oMath>
          </w:p>
        </w:tc>
        <w:tc>
          <w:tcPr/>
          <w:p>
            <w:pPr>
              <w:pStyle w:val="Compact"/>
              <w:jc w:val="center"/>
            </w:pPr>
            <w:r>
              <w:t xml:space="preserve">3,5</w:t>
            </w:r>
          </w:p>
        </w:tc>
        <w:tc>
          <w:tcPr/>
          <w:p>
            <w:pPr>
              <w:pStyle w:val="Compact"/>
              <w:jc w:val="center"/>
            </w:pPr>
            <w:r>
              <w:t xml:space="preserve">0,25</w:t>
            </w:r>
          </w:p>
        </w:tc>
        <w:tc>
          <w:tcPr/>
          <w:p>
            <w:pPr>
              <w:pStyle w:val="Compact"/>
              <w:jc w:val="center"/>
            </w:pPr>
            <w:r>
              <w:t xml:space="preserve">0,25</w:t>
            </w:r>
          </w:p>
        </w:tc>
        <w:tc>
          <w:tcPr/>
          <w:p>
            <w:pPr>
              <w:pStyle w:val="Compact"/>
              <w:jc w:val="center"/>
            </w:pPr>
            <w:r>
              <w:t xml:space="preserve">0</w:t>
            </w:r>
          </w:p>
        </w:tc>
      </w:tr>
      <w:tr>
        <w:tc>
          <w:tcPr/>
          <w:p>
            <w:pPr>
              <w:pStyle w:val="Compact"/>
              <w:jc w:val="center"/>
            </w:pPr>
            <w:r>
              <w:t xml:space="preserve">5</w:t>
            </w:r>
          </w:p>
        </w:tc>
        <w:tc>
          <w:tcPr/>
          <w:p>
            <w:pPr>
              <w:pStyle w:val="Compact"/>
              <w:jc w:val="center"/>
            </w:pPr>
            <m:oMath>
              <m:r>
                <m:rPr>
                  <m:sty m:val="p"/>
                </m:rPr>
                <m:t>(</m:t>
              </m:r>
              <m:r>
                <m:t>4</m:t>
              </m:r>
              <m:r>
                <m:rPr>
                  <m:sty m:val="p"/>
                </m:rPr>
                <m:t>,</m:t>
              </m:r>
              <m:r>
                <m:t>5</m:t>
              </m:r>
              <m:r>
                <m:rPr>
                  <m:sty m:val="p"/>
                </m:rPr>
                <m:t>]</m:t>
              </m:r>
            </m:oMath>
          </w:p>
        </w:tc>
        <w:tc>
          <w:tcPr/>
          <w:p>
            <w:pPr>
              <w:pStyle w:val="Compact"/>
              <w:jc w:val="center"/>
            </w:pPr>
            <w:r>
              <w:t xml:space="preserve">4,5</w:t>
            </w:r>
          </w:p>
        </w:tc>
        <w:tc>
          <w:tcPr/>
          <w:p>
            <w:pPr>
              <w:pStyle w:val="Compact"/>
              <w:jc w:val="center"/>
            </w:pPr>
            <w:r>
              <w:t xml:space="preserve">0,25</w:t>
            </w:r>
          </w:p>
        </w:tc>
        <w:tc>
          <w:tcPr/>
          <w:p>
            <w:pPr>
              <w:pStyle w:val="Compact"/>
              <w:jc w:val="center"/>
            </w:pPr>
            <w:r>
              <w:t xml:space="preserve">0,50</w:t>
            </w:r>
          </w:p>
        </w:tc>
        <w:tc>
          <w:tcPr/>
          <w:p>
            <w:pPr>
              <w:pStyle w:val="Compact"/>
              <w:jc w:val="center"/>
            </w:pPr>
            <w:r>
              <w:t xml:space="preserve">0,25</w:t>
            </w:r>
          </w:p>
        </w:tc>
      </w:tr>
      <w:tr>
        <w:tc>
          <w:tcPr/>
          <w:p>
            <w:pPr>
              <w:pStyle w:val="Compact"/>
              <w:jc w:val="center"/>
            </w:pPr>
            <w:r>
              <w:t xml:space="preserve">6</w:t>
            </w:r>
          </w:p>
        </w:tc>
        <w:tc>
          <w:tcPr/>
          <w:p>
            <w:pPr>
              <w:pStyle w:val="Compact"/>
              <w:jc w:val="center"/>
            </w:pPr>
            <m:oMath>
              <m:r>
                <m:rPr>
                  <m:sty m:val="p"/>
                </m:rPr>
                <m:t>(</m:t>
              </m:r>
              <m:r>
                <m:t>5</m:t>
              </m:r>
              <m:r>
                <m:rPr>
                  <m:sty m:val="p"/>
                </m:rPr>
                <m:t>,</m:t>
              </m:r>
              <m:r>
                <m:t>6</m:t>
              </m:r>
              <m:r>
                <m:rPr>
                  <m:sty m:val="p"/>
                </m:rPr>
                <m:t>]</m:t>
              </m:r>
            </m:oMath>
          </w:p>
        </w:tc>
        <w:tc>
          <w:tcPr/>
          <w:p>
            <w:pPr>
              <w:pStyle w:val="Compact"/>
              <w:jc w:val="center"/>
            </w:pPr>
            <w:r>
              <w:t xml:space="preserve">5,5</w:t>
            </w:r>
          </w:p>
        </w:tc>
        <w:tc>
          <w:tcPr/>
          <w:p>
            <w:pPr>
              <w:pStyle w:val="Compact"/>
              <w:jc w:val="center"/>
            </w:pPr>
            <w:r>
              <w:t xml:space="preserve">0,50</w:t>
            </w:r>
          </w:p>
        </w:tc>
        <w:tc>
          <w:tcPr/>
          <w:p>
            <w:pPr>
              <w:pStyle w:val="Compact"/>
              <w:jc w:val="center"/>
            </w:pPr>
            <w:r>
              <w:t xml:space="preserve">0,75</w:t>
            </w:r>
          </w:p>
        </w:tc>
        <w:tc>
          <w:tcPr/>
          <w:p>
            <w:pPr>
              <w:pStyle w:val="Compact"/>
              <w:jc w:val="center"/>
            </w:pPr>
            <w:r>
              <w:t xml:space="preserve">0,25</w:t>
            </w:r>
          </w:p>
        </w:tc>
      </w:tr>
      <w:tr>
        <w:tc>
          <w:tcPr/>
          <w:p>
            <w:pPr>
              <w:pStyle w:val="Compact"/>
              <w:jc w:val="center"/>
            </w:pPr>
            <w:r>
              <w:t xml:space="preserve">7</w:t>
            </w:r>
          </w:p>
        </w:tc>
        <w:tc>
          <w:tcPr/>
          <w:p>
            <w:pPr>
              <w:pStyle w:val="Compact"/>
              <w:jc w:val="center"/>
            </w:pPr>
            <m:oMath>
              <m:r>
                <m:rPr>
                  <m:sty m:val="p"/>
                </m:rPr>
                <m:t>(</m:t>
              </m:r>
              <m:r>
                <m:t>6</m:t>
              </m:r>
              <m:r>
                <m:rPr>
                  <m:sty m:val="p"/>
                </m:rPr>
                <m:t>,</m:t>
              </m:r>
              <m:r>
                <m:t>7</m:t>
              </m:r>
              <m:r>
                <m:rPr>
                  <m:sty m:val="p"/>
                </m:rPr>
                <m:t>]</m:t>
              </m:r>
            </m:oMath>
          </w:p>
        </w:tc>
        <w:tc>
          <w:tcPr/>
          <w:p>
            <w:pPr>
              <w:pStyle w:val="Compact"/>
              <w:jc w:val="center"/>
            </w:pPr>
            <w:r>
              <w:t xml:space="preserve">6,5</w:t>
            </w:r>
          </w:p>
        </w:tc>
        <w:tc>
          <w:tcPr/>
          <w:p>
            <w:pPr>
              <w:pStyle w:val="Compact"/>
              <w:jc w:val="center"/>
            </w:pPr>
            <w:r>
              <w:t xml:space="preserve">0,75</w:t>
            </w:r>
          </w:p>
        </w:tc>
        <w:tc>
          <w:tcPr/>
          <w:p>
            <w:pPr>
              <w:pStyle w:val="Compact"/>
              <w:jc w:val="center"/>
            </w:pPr>
            <w:r>
              <w:t xml:space="preserve">1</w:t>
            </w:r>
          </w:p>
        </w:tc>
        <w:tc>
          <w:tcPr/>
          <w:p>
            <w:pPr>
              <w:pStyle w:val="Compact"/>
              <w:jc w:val="center"/>
            </w:pPr>
            <w:r>
              <w:t xml:space="preserve">0,25</w:t>
            </w:r>
          </w:p>
        </w:tc>
      </w:tr>
    </w:tbl>
    <w:p>
      <w:pPr>
        <w:pStyle w:val="BodyText"/>
      </w:pPr>
      <w:r>
        <w:t xml:space="preserve">L’espérance conditionnelle estimée est</w:t>
      </w:r>
    </w:p>
    <w:p>
      <w:pPr>
        <w:pStyle w:val="BodyText"/>
      </w:pPr>
      <m:oMathPara>
        <m:oMathParaPr>
          <m:jc m:val="center"/>
        </m:oMathParaPr>
        <m:oMath>
          <m:sSub>
            <m:e>
              <m:acc>
                <m:accPr>
                  <m:chr m:val="̂"/>
                </m:accPr>
                <m:e>
                  <m:r>
                    <m:rPr>
                      <m:sty m:val="p"/>
                      <m:scr m:val="double-struck"/>
                    </m:rPr>
                    <m:t>E</m:t>
                  </m:r>
                </m:e>
              </m:acc>
            </m:e>
            <m:sub>
              <m:r>
                <m:t>K</m:t>
              </m:r>
              <m:r>
                <m:t>I</m:t>
              </m:r>
            </m:sub>
          </m:sSub>
          <m:d>
            <m:dPr>
              <m:begChr m:val="["/>
              <m:sepChr m:val=""/>
              <m:endChr m:val="]"/>
              <m:grow/>
            </m:dPr>
            <m:e>
              <m:sSub>
                <m:e>
                  <m:r>
                    <m:t>Z</m:t>
                  </m:r>
                </m:e>
                <m:sub>
                  <m:r>
                    <m:t>0</m:t>
                  </m:r>
                </m:sub>
              </m:sSub>
            </m:e>
          </m:d>
          <m:r>
            <m:rPr>
              <m:sty m:val="p"/>
            </m:rPr>
            <m:t>=</m:t>
          </m:r>
          <m:nary>
            <m:naryPr>
              <m:chr m:val="∑"/>
              <m:limLoc m:val="undOvr"/>
              <m:subHide m:val="off"/>
              <m:supHide m:val="off"/>
            </m:naryPr>
            <m:sub>
              <m:r>
                <m:t>k</m:t>
              </m:r>
              <m:r>
                <m:rPr>
                  <m:sty m:val="p"/>
                </m:rPr>
                <m:t>=</m:t>
              </m:r>
              <m:r>
                <m:t>1</m:t>
              </m:r>
            </m:sub>
            <m:sup>
              <m:r>
                <m:t>7</m:t>
              </m:r>
            </m:sup>
            <m:e>
              <m:sSub>
                <m:e>
                  <m:acc>
                    <m:accPr>
                      <m:chr m:val="̂"/>
                    </m:accPr>
                    <m:e>
                      <m:r>
                        <m:t>p</m:t>
                      </m:r>
                    </m:e>
                  </m:acc>
                </m:e>
                <m:sub>
                  <m:r>
                    <m:t>k</m:t>
                  </m:r>
                </m:sub>
              </m:sSub>
            </m:e>
          </m:nary>
          <m:r>
            <m:t> </m:t>
          </m:r>
          <m:sSub>
            <m:e>
              <m:r>
                <m:t>m</m:t>
              </m:r>
            </m:e>
            <m:sub>
              <m:r>
                <m:t>k</m:t>
              </m:r>
            </m:sub>
          </m:sSub>
          <m:r>
            <m:rPr>
              <m:sty m:val="p"/>
            </m:rPr>
            <m:t>=</m:t>
          </m:r>
          <m:r>
            <m:t>0</m:t>
          </m:r>
          <m:r>
            <m:rPr>
              <m:sty m:val="p"/>
            </m:rPr>
            <m:t>,</m:t>
          </m:r>
          <m:r>
            <m:t>25</m:t>
          </m:r>
          <m:r>
            <m:rPr>
              <m:sty m:val="p"/>
            </m:rPr>
            <m:t>×</m:t>
          </m:r>
          <m:r>
            <m:t>2</m:t>
          </m:r>
          <m:r>
            <m:rPr>
              <m:sty m:val="p"/>
            </m:rPr>
            <m:t>,</m:t>
          </m:r>
          <m:r>
            <m:t>5</m:t>
          </m:r>
          <m:r>
            <m:rPr>
              <m:sty m:val="p"/>
            </m:rPr>
            <m:t>+</m:t>
          </m:r>
          <m:r>
            <m:t>0</m:t>
          </m:r>
          <m:r>
            <m:rPr>
              <m:sty m:val="p"/>
            </m:rPr>
            <m:t>×</m:t>
          </m:r>
          <m:r>
            <m:t>3</m:t>
          </m:r>
          <m:r>
            <m:rPr>
              <m:sty m:val="p"/>
            </m:rPr>
            <m:t>,</m:t>
          </m:r>
          <m:r>
            <m:t>5</m:t>
          </m:r>
          <m:r>
            <m:rPr>
              <m:sty m:val="p"/>
            </m:rPr>
            <m:t>+</m:t>
          </m:r>
          <m:r>
            <m:t>0</m:t>
          </m:r>
          <m:r>
            <m:rPr>
              <m:sty m:val="p"/>
            </m:rPr>
            <m:t>,</m:t>
          </m:r>
          <m:r>
            <m:t>25</m:t>
          </m:r>
          <m:r>
            <m:rPr>
              <m:sty m:val="p"/>
            </m:rPr>
            <m:t>×</m:t>
          </m:r>
          <m:r>
            <m:t>4</m:t>
          </m:r>
          <m:r>
            <m:rPr>
              <m:sty m:val="p"/>
            </m:rPr>
            <m:t>,</m:t>
          </m:r>
          <m:r>
            <m:t>5</m:t>
          </m:r>
          <m:r>
            <m:rPr>
              <m:sty m:val="p"/>
            </m:rPr>
            <m:t>+</m:t>
          </m:r>
          <m:r>
            <m:t>0</m:t>
          </m:r>
          <m:r>
            <m:rPr>
              <m:sty m:val="p"/>
            </m:rPr>
            <m:t>,</m:t>
          </m:r>
          <m:r>
            <m:t>25</m:t>
          </m:r>
          <m:r>
            <m:rPr>
              <m:sty m:val="p"/>
            </m:rPr>
            <m:t>×</m:t>
          </m:r>
          <m:r>
            <m:t>5</m:t>
          </m:r>
          <m:r>
            <m:rPr>
              <m:sty m:val="p"/>
            </m:rPr>
            <m:t>,</m:t>
          </m:r>
          <m:r>
            <m:t>5</m:t>
          </m:r>
          <m:r>
            <m:rPr>
              <m:sty m:val="p"/>
            </m:rPr>
            <m:t>+</m:t>
          </m:r>
          <m:r>
            <m:t>0</m:t>
          </m:r>
          <m:r>
            <m:rPr>
              <m:sty m:val="p"/>
            </m:rPr>
            <m:t>,</m:t>
          </m:r>
          <m:r>
            <m:t>25</m:t>
          </m:r>
          <m:r>
            <m:rPr>
              <m:sty m:val="p"/>
            </m:rPr>
            <m:t>×</m:t>
          </m:r>
          <m:r>
            <m:t>6</m:t>
          </m:r>
          <m:r>
            <m:rPr>
              <m:sty m:val="p"/>
            </m:rPr>
            <m:t>,</m:t>
          </m:r>
          <m:r>
            <m:t>5</m:t>
          </m:r>
          <m:r>
            <m:rPr>
              <m:sty m:val="p"/>
            </m:rPr>
            <m:t>=</m:t>
          </m:r>
          <m:r>
            <m:t>4</m:t>
          </m:r>
          <m:r>
            <m:rPr>
              <m:sty m:val="p"/>
            </m:rPr>
            <m:t>,</m:t>
          </m:r>
          <m:r>
            <m:t>75</m:t>
          </m:r>
          <m:r>
            <m:rPr>
              <m:sty m:val="p"/>
            </m:rPr>
            <m:t>.</m:t>
          </m:r>
        </m:oMath>
      </m:oMathPara>
    </w:p>
    <w:p>
      <w:pPr>
        <w:pStyle w:val="FirstParagraph"/>
      </w:pPr>
      <w:r>
        <w:t xml:space="preserve">À titre de comparaison, le krigeage ordinaire direct de la teneur donnerait</w:t>
      </w:r>
      <w:r>
        <w:t xml:space="preserve"> </w:t>
      </w:r>
      <m:oMath>
        <m:sSubSup>
          <m:e>
            <m:r>
              <m:t>Z</m:t>
            </m:r>
          </m:e>
          <m:sub>
            <m:r>
              <m:t>0</m:t>
            </m:r>
          </m:sub>
          <m:sup>
            <m:r>
              <m:rPr>
                <m:sty m:val="p"/>
              </m:rPr>
              <m:t>*</m:t>
            </m:r>
          </m:sup>
        </m:sSubSup>
        <m:r>
          <m:rPr>
            <m:sty m:val="p"/>
          </m:rPr>
          <m:t>=</m:t>
        </m:r>
        <m:f>
          <m:fPr>
            <m:type m:val="lin"/>
          </m:fPr>
          <m:num>
            <m:r>
              <m:t>1</m:t>
            </m:r>
          </m:num>
          <m:den>
            <m:r>
              <m:t>4</m:t>
            </m:r>
          </m:den>
        </m:f>
        <m:d>
          <m:dPr>
            <m:begChr m:val="("/>
            <m:sepChr m:val=""/>
            <m:endChr m:val=")"/>
            <m:grow/>
          </m:dPr>
          <m:e>
            <m:r>
              <m:t>2</m:t>
            </m:r>
            <m:r>
              <m:rPr>
                <m:sty m:val="p"/>
              </m:rPr>
              <m:t>,</m:t>
            </m:r>
            <m:r>
              <m:t>2</m:t>
            </m:r>
            <m:r>
              <m:rPr>
                <m:sty m:val="p"/>
              </m:rPr>
              <m:t>+</m:t>
            </m:r>
            <m:r>
              <m:t>5</m:t>
            </m:r>
            <m:r>
              <m:rPr>
                <m:sty m:val="p"/>
              </m:rPr>
              <m:t>,</m:t>
            </m:r>
            <m:r>
              <m:t>1</m:t>
            </m:r>
            <m:r>
              <m:rPr>
                <m:sty m:val="p"/>
              </m:rPr>
              <m:t>+</m:t>
            </m:r>
            <m:r>
              <m:t>6</m:t>
            </m:r>
            <m:r>
              <m:rPr>
                <m:sty m:val="p"/>
              </m:rPr>
              <m:t>,</m:t>
            </m:r>
            <m:r>
              <m:t>4</m:t>
            </m:r>
            <m:r>
              <m:rPr>
                <m:sty m:val="p"/>
              </m:rPr>
              <m:t>+</m:t>
            </m:r>
            <m:r>
              <m:t>4</m:t>
            </m:r>
            <m:r>
              <m:rPr>
                <m:sty m:val="p"/>
              </m:rPr>
              <m:t>,</m:t>
            </m:r>
            <m:r>
              <m:t>7</m:t>
            </m:r>
          </m:e>
        </m:d>
        <m:r>
          <m:rPr>
            <m:sty m:val="p"/>
          </m:rPr>
          <m:t>=</m:t>
        </m:r>
        <m:r>
          <m:t>4</m:t>
        </m:r>
        <m:r>
          <m:rPr>
            <m:sty m:val="p"/>
          </m:rPr>
          <m:t>,</m:t>
        </m:r>
        <m:r>
          <m:t>6</m:t>
        </m:r>
      </m:oMath>
      <w:r>
        <w:t xml:space="preserve">. L’écart vient de ce que le KI interpole la distribution de façon non linéaire.</w:t>
      </w:r>
    </w:p>
    <w:p>
      <w:pPr>
        <w:pStyle w:val="BlockText"/>
      </w:pPr>
      <w:r>
        <w:rPr>
          <w:b/>
          <w:bCs/>
        </w:rPr>
        <w:t xml:space="preserve">Remarque.</w:t>
      </w:r>
      <w:r>
        <w:t xml:space="preserve"> </w:t>
      </w:r>
      <w:r>
        <w:t xml:space="preserve">Le choix de la valeur représentative de la dernière classe (ici</w:t>
      </w:r>
      <w:r>
        <w:t xml:space="preserve"> </w:t>
      </w:r>
      <m:oMath>
        <m:sSub>
          <m:e>
            <m:r>
              <m:t>m</m:t>
            </m:r>
          </m:e>
          <m:sub>
            <m:r>
              <m:t>7</m:t>
            </m:r>
          </m:sub>
        </m:sSub>
        <m:r>
          <m:rPr>
            <m:sty m:val="p"/>
          </m:rPr>
          <m:t>=</m:t>
        </m:r>
        <m:r>
          <m:t>6</m:t>
        </m:r>
        <m:r>
          <m:rPr>
            <m:sty m:val="p"/>
          </m:rPr>
          <m:t>,</m:t>
        </m:r>
        <m:r>
          <m:t>5</m:t>
        </m:r>
      </m:oMath>
      <w:r>
        <w:t xml:space="preserve">) influence l’espérance. En pratique, on prend la valeur maximale des données ou la borne supérieure de la dernière classe.</w:t>
      </w:r>
    </w:p>
    <w:bookmarkEnd w:id="43"/>
    <w:bookmarkStart w:id="44" w:name="variance-conditionnelle"/>
    <w:p>
      <w:pPr>
        <w:pStyle w:val="Heading4"/>
      </w:pPr>
      <w:r>
        <w:t xml:space="preserve">2.3.4 4. Variance conditionnelle</w:t>
      </w:r>
    </w:p>
    <w:p>
      <w:pPr>
        <w:pStyle w:val="FirstParagraph"/>
      </w:pPr>
      <m:oMathPara>
        <m:oMathParaPr>
          <m:jc m:val="center"/>
        </m:oMathParaPr>
        <m:oMath>
          <m:sSub>
            <m:e>
              <m:acc>
                <m:accPr>
                  <m:chr m:val="̂"/>
                </m:accPr>
                <m:e>
                  <m:r>
                    <m:rPr>
                      <m:sty m:val="p"/>
                      <m:scr m:val="double-struck"/>
                    </m:rPr>
                    <m:t>E</m:t>
                  </m:r>
                </m:e>
              </m:acc>
            </m:e>
            <m:sub>
              <m:r>
                <m:t>K</m:t>
              </m:r>
              <m:r>
                <m:t>I</m:t>
              </m:r>
            </m:sub>
          </m:sSub>
          <m:d>
            <m:dPr>
              <m:begChr m:val="["/>
              <m:sepChr m:val=""/>
              <m:endChr m:val="]"/>
              <m:grow/>
            </m:dPr>
            <m:e>
              <m:sSubSup>
                <m:e>
                  <m:r>
                    <m:t>Z</m:t>
                  </m:r>
                </m:e>
                <m:sub>
                  <m:r>
                    <m:t>0</m:t>
                  </m:r>
                </m:sub>
                <m:sup>
                  <m:r>
                    <m:t>2</m:t>
                  </m:r>
                </m:sup>
              </m:sSubSup>
            </m:e>
          </m:d>
          <m:r>
            <m:rPr>
              <m:sty m:val="p"/>
            </m:rPr>
            <m:t>=</m:t>
          </m:r>
          <m:nary>
            <m:naryPr>
              <m:chr m:val="∑"/>
              <m:limLoc m:val="undOvr"/>
              <m:subHide m:val="off"/>
              <m:supHide m:val="on"/>
            </m:naryPr>
            <m:sub>
              <m:r>
                <m:t>k</m:t>
              </m:r>
            </m:sub>
            <m:sup>
              <m:r>
                <m:t>​</m:t>
              </m:r>
            </m:sup>
            <m:e>
              <m:sSub>
                <m:e>
                  <m:acc>
                    <m:accPr>
                      <m:chr m:val="̂"/>
                    </m:accPr>
                    <m:e>
                      <m:r>
                        <m:t>p</m:t>
                      </m:r>
                    </m:e>
                  </m:acc>
                </m:e>
                <m:sub>
                  <m:r>
                    <m:t>k</m:t>
                  </m:r>
                </m:sub>
              </m:sSub>
            </m:e>
          </m:nary>
          <m:r>
            <m:t> </m:t>
          </m:r>
          <m:sSubSup>
            <m:e>
              <m:r>
                <m:t>m</m:t>
              </m:r>
            </m:e>
            <m:sub>
              <m:r>
                <m:t>k</m:t>
              </m:r>
            </m:sub>
            <m:sup>
              <m:r>
                <m:t>2</m:t>
              </m:r>
            </m:sup>
          </m:sSubSup>
          <m:r>
            <m:rPr>
              <m:sty m:val="p"/>
            </m:rPr>
            <m:t>=</m:t>
          </m:r>
          <m:r>
            <m:t>0</m:t>
          </m:r>
          <m:r>
            <m:rPr>
              <m:sty m:val="p"/>
            </m:rPr>
            <m:t>,</m:t>
          </m:r>
          <m:r>
            <m:t>25</m:t>
          </m:r>
          <m:r>
            <m:t> </m:t>
          </m:r>
          <m:d>
            <m:dPr>
              <m:begChr m:val="("/>
              <m:sepChr m:val=""/>
              <m:endChr m:val=")"/>
              <m:grow/>
            </m:dPr>
            <m:e>
              <m:r>
                <m:t>2</m:t>
              </m:r>
              <m:r>
                <m:rPr>
                  <m:sty m:val="p"/>
                </m:rPr>
                <m:t>,</m:t>
              </m:r>
              <m:sSup>
                <m:e>
                  <m:r>
                    <m:t>5</m:t>
                  </m:r>
                </m:e>
                <m:sup>
                  <m:r>
                    <m:t>2</m:t>
                  </m:r>
                </m:sup>
              </m:sSup>
              <m:r>
                <m:rPr>
                  <m:sty m:val="p"/>
                </m:rPr>
                <m:t>+</m:t>
              </m:r>
              <m:r>
                <m:t>4</m:t>
              </m:r>
              <m:r>
                <m:rPr>
                  <m:sty m:val="p"/>
                </m:rPr>
                <m:t>,</m:t>
              </m:r>
              <m:sSup>
                <m:e>
                  <m:r>
                    <m:t>5</m:t>
                  </m:r>
                </m:e>
                <m:sup>
                  <m:r>
                    <m:t>2</m:t>
                  </m:r>
                </m:sup>
              </m:sSup>
              <m:r>
                <m:rPr>
                  <m:sty m:val="p"/>
                </m:rPr>
                <m:t>+</m:t>
              </m:r>
              <m:r>
                <m:t>5</m:t>
              </m:r>
              <m:r>
                <m:rPr>
                  <m:sty m:val="p"/>
                </m:rPr>
                <m:t>,</m:t>
              </m:r>
              <m:sSup>
                <m:e>
                  <m:r>
                    <m:t>5</m:t>
                  </m:r>
                </m:e>
                <m:sup>
                  <m:r>
                    <m:t>2</m:t>
                  </m:r>
                </m:sup>
              </m:sSup>
              <m:r>
                <m:rPr>
                  <m:sty m:val="p"/>
                </m:rPr>
                <m:t>+</m:t>
              </m:r>
              <m:r>
                <m:t>6</m:t>
              </m:r>
              <m:r>
                <m:rPr>
                  <m:sty m:val="p"/>
                </m:rPr>
                <m:t>,</m:t>
              </m:r>
              <m:sSup>
                <m:e>
                  <m:r>
                    <m:t>5</m:t>
                  </m:r>
                </m:e>
                <m:sup>
                  <m:r>
                    <m:t>2</m:t>
                  </m:r>
                </m:sup>
              </m:sSup>
            </m:e>
          </m:d>
          <m:r>
            <m:rPr>
              <m:sty m:val="p"/>
            </m:rPr>
            <m:t>=</m:t>
          </m:r>
          <m:r>
            <m:t>24</m:t>
          </m:r>
          <m:r>
            <m:rPr>
              <m:sty m:val="p"/>
            </m:rPr>
            <m:t>,</m:t>
          </m:r>
          <m:r>
            <m:t>75</m:t>
          </m:r>
        </m:oMath>
      </m:oMathPara>
    </w:p>
    <w:p>
      <w:pPr>
        <w:pStyle w:val="FirstParagraph"/>
      </w:pPr>
      <m:oMathPara>
        <m:oMathParaPr>
          <m:jc m:val="center"/>
        </m:oMathParaPr>
        <m:oMath>
          <m:sSub>
            <m:e>
              <m:acc>
                <m:accPr>
                  <m:chr m:val="̂"/>
                </m:accPr>
                <m:e>
                  <m:r>
                    <m:rPr>
                      <m:sty m:val="p"/>
                    </m:rPr>
                    <m:t>Var</m:t>
                  </m:r>
                </m:e>
              </m:acc>
            </m:e>
            <m:sub>
              <m:r>
                <m:t>K</m:t>
              </m:r>
              <m:r>
                <m:t>I</m:t>
              </m:r>
            </m:sub>
          </m:sSub>
          <m:d>
            <m:dPr>
              <m:begChr m:val="["/>
              <m:sepChr m:val=""/>
              <m:endChr m:val="]"/>
              <m:grow/>
            </m:dPr>
            <m:e>
              <m:sSub>
                <m:e>
                  <m:r>
                    <m:t>Z</m:t>
                  </m:r>
                </m:e>
                <m:sub>
                  <m:r>
                    <m:t>0</m:t>
                  </m:r>
                </m:sub>
              </m:sSub>
            </m:e>
          </m:d>
          <m:r>
            <m:rPr>
              <m:sty m:val="p"/>
            </m:rPr>
            <m:t>=</m:t>
          </m:r>
          <m:r>
            <m:t>24</m:t>
          </m:r>
          <m:r>
            <m:rPr>
              <m:sty m:val="p"/>
            </m:rPr>
            <m:t>,</m:t>
          </m:r>
          <m:r>
            <m:t>75</m:t>
          </m:r>
          <m:r>
            <m:rPr>
              <m:sty m:val="p"/>
            </m:rPr>
            <m:t>−</m:t>
          </m:r>
          <m:sSup>
            <m:e>
              <m:d>
                <m:dPr>
                  <m:begChr m:val="("/>
                  <m:sepChr m:val=""/>
                  <m:endChr m:val=")"/>
                  <m:grow/>
                </m:dPr>
                <m:e>
                  <m:r>
                    <m:t>4</m:t>
                  </m:r>
                  <m:r>
                    <m:rPr>
                      <m:sty m:val="p"/>
                    </m:rPr>
                    <m:t>,</m:t>
                  </m:r>
                  <m:r>
                    <m:t>75</m:t>
                  </m:r>
                </m:e>
              </m:d>
            </m:e>
            <m:sup>
              <m:r>
                <m:t>2</m:t>
              </m:r>
            </m:sup>
          </m:sSup>
          <m:r>
            <m:rPr>
              <m:sty m:val="p"/>
            </m:rPr>
            <m:t>=</m:t>
          </m:r>
          <m:r>
            <m:t>24</m:t>
          </m:r>
          <m:r>
            <m:rPr>
              <m:sty m:val="p"/>
            </m:rPr>
            <m:t>,</m:t>
          </m:r>
          <m:r>
            <m:t>75</m:t>
          </m:r>
          <m:r>
            <m:rPr>
              <m:sty m:val="p"/>
            </m:rPr>
            <m:t>−</m:t>
          </m:r>
          <m:r>
            <m:t>22</m:t>
          </m:r>
          <m:r>
            <m:rPr>
              <m:sty m:val="p"/>
            </m:rPr>
            <m:t>,</m:t>
          </m:r>
          <m:r>
            <m:t>5625</m:t>
          </m:r>
          <m:r>
            <m:rPr>
              <m:sty m:val="p"/>
            </m:rPr>
            <m:t>=</m:t>
          </m:r>
          <m:r>
            <m:t>2</m:t>
          </m:r>
          <m:r>
            <m:rPr>
              <m:sty m:val="p"/>
            </m:rPr>
            <m:t>,</m:t>
          </m:r>
          <m:r>
            <m:t>1875</m:t>
          </m:r>
        </m:oMath>
      </m:oMathPara>
    </w:p>
    <w:bookmarkEnd w:id="44"/>
    <w:bookmarkStart w:id="45" w:name="espérance-associée-à-un-coût"/>
    <w:p>
      <w:pPr>
        <w:pStyle w:val="Heading4"/>
      </w:pPr>
      <w:r>
        <w:t xml:space="preserve">2.3.5 5. Espérance associée à un coût</w:t>
      </w:r>
    </w:p>
    <w:p>
      <w:pPr>
        <w:pStyle w:val="FirstParagraph"/>
      </w:pPr>
      <w:r>
        <w:t xml:space="preserve">Pour une fonction de coût</w:t>
      </w:r>
      <w:r>
        <w:t xml:space="preserve"> </w:t>
      </w:r>
      <m:oMath>
        <m:r>
          <m:t>C</m:t>
        </m:r>
        <m:d>
          <m:dPr>
            <m:begChr m:val="("/>
            <m:sepChr m:val=""/>
            <m:endChr m:val=")"/>
            <m:grow/>
          </m:dPr>
          <m:e>
            <m:r>
              <m:t>Z</m:t>
            </m:r>
          </m:e>
        </m:d>
        <m:r>
          <m:rPr>
            <m:sty m:val="p"/>
          </m:rPr>
          <m:t>=</m:t>
        </m:r>
        <m:sSup>
          <m:e>
            <m:r>
              <m:t>Z</m:t>
            </m:r>
          </m:e>
          <m:sup>
            <m:r>
              <m:t>2</m:t>
            </m:r>
          </m:sup>
        </m:sSup>
      </m:oMath>
      <w:r>
        <w:t xml:space="preserve">, on a</w:t>
      </w:r>
      <w:r>
        <w:t xml:space="preserve"> </w:t>
      </w:r>
      <m:oMath>
        <m:acc>
          <m:accPr>
            <m:chr m:val="̂"/>
          </m:accPr>
          <m:e>
            <m:r>
              <m:rPr>
                <m:sty m:val="p"/>
                <m:scr m:val="double-struck"/>
              </m:rPr>
              <m:t>E</m:t>
            </m:r>
          </m:e>
        </m:acc>
        <m:d>
          <m:dPr>
            <m:begChr m:val="["/>
            <m:sepChr m:val=""/>
            <m:endChr m:val="]"/>
            <m:grow/>
          </m:dPr>
          <m:e>
            <m:r>
              <m:t>C</m:t>
            </m:r>
            <m:d>
              <m:dPr>
                <m:begChr m:val="("/>
                <m:sepChr m:val=""/>
                <m:endChr m:val=")"/>
                <m:grow/>
              </m:dPr>
              <m:e>
                <m:sSub>
                  <m:e>
                    <m:r>
                      <m:t>Z</m:t>
                    </m:r>
                  </m:e>
                  <m:sub>
                    <m:r>
                      <m:t>0</m:t>
                    </m:r>
                  </m:sub>
                </m:sSub>
              </m:e>
            </m:d>
          </m:e>
        </m:d>
        <m:r>
          <m:rPr>
            <m:sty m:val="p"/>
          </m:rPr>
          <m:t>=</m:t>
        </m:r>
        <m:nary>
          <m:naryPr>
            <m:chr m:val="∑"/>
            <m:limLoc m:val="undOvr"/>
            <m:subHide m:val="off"/>
            <m:supHide m:val="on"/>
          </m:naryPr>
          <m:sub>
            <m:r>
              <m:t>k</m:t>
            </m:r>
          </m:sub>
          <m:sup>
            <m:r>
              <m:t>​</m:t>
            </m:r>
          </m:sup>
          <m:e>
            <m:sSub>
              <m:e>
                <m:acc>
                  <m:accPr>
                    <m:chr m:val="̂"/>
                  </m:accPr>
                  <m:e>
                    <m:r>
                      <m:t>p</m:t>
                    </m:r>
                  </m:e>
                </m:acc>
              </m:e>
              <m:sub>
                <m:r>
                  <m:t>k</m:t>
                </m:r>
              </m:sub>
            </m:sSub>
          </m:e>
        </m:nary>
        <m:r>
          <m:t> </m:t>
        </m:r>
        <m:r>
          <m:t>C</m:t>
        </m:r>
        <m:d>
          <m:dPr>
            <m:begChr m:val="("/>
            <m:sepChr m:val=""/>
            <m:endChr m:val=")"/>
            <m:grow/>
          </m:dPr>
          <m:e>
            <m:sSub>
              <m:e>
                <m:r>
                  <m:t>m</m:t>
                </m:r>
              </m:e>
              <m:sub>
                <m:r>
                  <m:t>k</m:t>
                </m:r>
              </m:sub>
            </m:sSub>
          </m:e>
        </m:d>
        <m:r>
          <m:rPr>
            <m:sty m:val="p"/>
          </m:rPr>
          <m:t>=</m:t>
        </m:r>
        <m:sSub>
          <m:e>
            <m:acc>
              <m:accPr>
                <m:chr m:val="̂"/>
              </m:accPr>
              <m:e>
                <m:r>
                  <m:rPr>
                    <m:sty m:val="p"/>
                    <m:scr m:val="double-struck"/>
                  </m:rPr>
                  <m:t>E</m:t>
                </m:r>
              </m:e>
            </m:acc>
          </m:e>
          <m:sub>
            <m:r>
              <m:t>K</m:t>
            </m:r>
            <m:r>
              <m:t>I</m:t>
            </m:r>
          </m:sub>
        </m:sSub>
        <m:d>
          <m:dPr>
            <m:begChr m:val="["/>
            <m:sepChr m:val=""/>
            <m:endChr m:val="]"/>
            <m:grow/>
          </m:dPr>
          <m:e>
            <m:sSubSup>
              <m:e>
                <m:r>
                  <m:t>Z</m:t>
                </m:r>
              </m:e>
              <m:sub>
                <m:r>
                  <m:t>0</m:t>
                </m:r>
              </m:sub>
              <m:sup>
                <m:r>
                  <m:t>2</m:t>
                </m:r>
              </m:sup>
            </m:sSubSup>
          </m:e>
        </m:d>
        <m:r>
          <m:rPr>
            <m:sty m:val="p"/>
          </m:rPr>
          <m:t>=</m:t>
        </m:r>
        <m:r>
          <m:t>24</m:t>
        </m:r>
        <m:r>
          <m:rPr>
            <m:sty m:val="p"/>
          </m:rPr>
          <m:t>,</m:t>
        </m:r>
        <m:r>
          <m:t>75</m:t>
        </m:r>
      </m:oMath>
      <w:r>
        <w:t xml:space="preserve">.</w:t>
      </w:r>
    </w:p>
    <w:bookmarkEnd w:id="45"/>
    <w:bookmarkEnd w:id="46"/>
    <w:bookmarkStart w:id="47" w:name="considérations-théoriques-et-pratiques"/>
    <w:p>
      <w:pPr>
        <w:pStyle w:val="Heading3"/>
      </w:pPr>
      <w:r>
        <w:t xml:space="preserve">2.4 Considérations théoriques et pratiques</w:t>
      </w:r>
    </w:p>
    <w:p>
      <w:pPr>
        <w:pStyle w:val="FirstParagraph"/>
      </w:pPr>
      <w:r>
        <w:t xml:space="preserve">Le codage binaire entraîne une perte d’information : pour un seuil donné, deux valeurs situées du même côté du seuil reçoivent la même indicatrice, quelle que soit leur distance à celui-ci. Le cokrigeage simultané des indicatrices de tous les seuils tiendrait compte de leurs dépendances croisées et compenserait en partie cette perte, mais la modélisation de tous les variogrammes directs et croisés devient vite trop lourde en pratique.</w:t>
      </w:r>
    </w:p>
    <w:p>
      <w:pPr>
        <w:pStyle w:val="BodyText"/>
      </w:pPr>
      <w:r>
        <w:t xml:space="preserve">Les variogrammes d’indicatrices sont peu sensibles à l’amplitude des valeurs extrêmes, puisque les données sont ramenées à 0 ou 1. Leur estimation peut toutefois devenir instable aux seuils extrêmes, lorsque très peu d’observations tombent dans l’une des deux classes. De plus, tous les modèles admissibles pour une variable continue ne le sont pas pour une indicatrice : le modèle gaussien, en particulier, est à éviter pour les variogrammes d’indicatrices.</w:t>
      </w:r>
    </w:p>
    <w:p>
      <w:pPr>
        <w:pStyle w:val="BodyText"/>
      </w:pPr>
      <w:r>
        <w:t xml:space="preserve">En pratique, on utilise souvent de 5 à 10 seuils. Des quantiles comme les déciles répartissent les observations de façon relativement équilibrée entre les classes, mais le choix doit tenir compte de la taille de l’échantillon, de la forme de la distribution et des valeurs critiques du problème. Les quantiles très faibles ou très élevés sont à manier avec prudence, le faible effectif d’une classe rendant le variogramme difficile à estimer.</w:t>
      </w:r>
    </w:p>
    <w:p>
      <w:pPr>
        <w:pStyle w:val="BodyText"/>
      </w:pPr>
      <w:r>
        <w:t xml:space="preserve">Un atout majeur du KI est sa souplesse structurale : chaque seuil peut recevoir une continuité spatiale propre — portée, anisotropie, effet de pépite —, ce qui permet de représenter une organisation différente pour les faibles et les fortes teneurs. Les modèles des différents seuils doivent néanmoins rester cohérents entre eux, pour limiter les violations des relations d’ordre.</w:t>
      </w:r>
    </w:p>
    <w:p>
      <w:pPr>
        <w:pStyle w:val="BodyText"/>
      </w:pPr>
      <w:r>
        <w:t xml:space="preserve">C’est là le dernier point, et le plus contraignant. La fonction de répartition estimée doit rester bornée,</w:t>
      </w:r>
    </w:p>
    <w:p>
      <w:pPr>
        <w:pStyle w:val="BodyText"/>
      </w:pPr>
      <m:oMathPara>
        <m:oMathParaPr>
          <m:jc m:val="center"/>
        </m:oMathParaPr>
        <m:oMath>
          <m:r>
            <m:t>0</m:t>
          </m:r>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r>
            <m:rPr>
              <m:sty m:val="p"/>
            </m:rPr>
            <m:t>≤</m:t>
          </m:r>
          <m:r>
            <m:t>1</m:t>
          </m:r>
          <m:r>
            <m:rPr>
              <m:sty m:val="p"/>
            </m:rPr>
            <m:t>,</m:t>
          </m:r>
        </m:oMath>
      </m:oMathPara>
    </w:p>
    <w:p>
      <w:pPr>
        <w:pStyle w:val="FirstParagraph"/>
      </w:pPr>
      <w:r>
        <w:t xml:space="preserve">et non décroissante : pour</w:t>
      </w:r>
      <w:r>
        <w:t xml:space="preserve"> </w:t>
      </w:r>
      <m:oMath>
        <m:sSub>
          <m:e>
            <m:r>
              <m:t>z</m:t>
            </m:r>
          </m:e>
          <m:sub>
            <m:r>
              <m:t>c</m:t>
            </m:r>
            <m:r>
              <m:rPr>
                <m:sty m:val="p"/>
              </m:rPr>
              <m:t>,</m:t>
            </m:r>
            <m:r>
              <m:t>k</m:t>
            </m:r>
          </m:sub>
        </m:sSub>
        <m:r>
          <m:rPr>
            <m:sty m:val="p"/>
          </m:rPr>
          <m:t>&lt;</m:t>
        </m:r>
        <m:sSub>
          <m:e>
            <m:r>
              <m:t>z</m:t>
            </m:r>
          </m:e>
          <m:sub>
            <m:r>
              <m:t>c</m:t>
            </m:r>
            <m:r>
              <m:rPr>
                <m:sty m:val="p"/>
              </m:rPr>
              <m:t>,</m:t>
            </m:r>
            <m:r>
              <m:t>k</m:t>
            </m:r>
            <m:r>
              <m:rPr>
                <m:sty m:val="p"/>
              </m:rPr>
              <m:t>+</m:t>
            </m:r>
            <m:r>
              <m:t>1</m:t>
            </m:r>
          </m:sub>
        </m:sSub>
      </m:oMath>
      <w:r>
        <w:t xml:space="preserve">,</w:t>
      </w:r>
    </w:p>
    <w:p>
      <w:pPr>
        <w:pStyle w:val="BodyText"/>
      </w:pPr>
      <m:oMathPara>
        <m:oMathParaPr>
          <m:jc m:val="center"/>
        </m:oMathPara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sub>
              </m:sSub>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k</m:t>
                  </m:r>
                  <m:r>
                    <m:rPr>
                      <m:sty m:val="p"/>
                    </m:rPr>
                    <m:t>+</m:t>
                  </m:r>
                  <m:r>
                    <m:t>1</m:t>
                  </m:r>
                </m:sub>
              </m:sSub>
            </m:e>
          </m:d>
          <m:r>
            <m:rPr>
              <m:sty m:val="p"/>
            </m:rPr>
            <m:t>.</m:t>
          </m:r>
        </m:oMath>
      </m:oMathPara>
    </w:p>
    <w:p>
      <w:pPr>
        <w:pStyle w:val="FirstParagraph"/>
      </w:pPr>
      <w:r>
        <w:t xml:space="preserve">Or le krigeage se fait seuil par seuil, indépendamment : les probabilités krigées peuvent sortir de</w:t>
      </w:r>
      <w:r>
        <w:t xml:space="preserve"> </w:t>
      </w:r>
      <m:oMath>
        <m:d>
          <m:dPr>
            <m:begChr m:val="["/>
            <m:sepChr m:val=""/>
            <m:endChr m:val="]"/>
            <m:grow/>
          </m:dPr>
          <m:e>
            <m:r>
              <m:t>0</m:t>
            </m:r>
            <m:r>
              <m:rPr>
                <m:sty m:val="p"/>
              </m:rPr>
              <m:t>,</m:t>
            </m:r>
            <m:r>
              <m:t>1</m:t>
            </m:r>
          </m:e>
        </m:d>
      </m:oMath>
      <w:r>
        <w:t xml:space="preserve"> </w:t>
      </w:r>
      <w:r>
        <w:t xml:space="preserve">ou violer la monotonie, à cause de poids négatifs ou de variogrammes incompatibles d’un seuil à l’autre. Ces anomalies doivent être corrigées a posteriori.</w:t>
      </w:r>
    </w:p>
    <w:bookmarkEnd w:id="47"/>
    <w:bookmarkEnd w:id="48"/>
    <w:bookmarkStart w:id="60" w:name="problèmes-de-relation-dordre"/>
    <w:p>
      <w:pPr>
        <w:pStyle w:val="Heading2"/>
      </w:pPr>
      <w:r>
        <w:t xml:space="preserve">3 Problèmes de relation d’ordre</w:t>
      </w:r>
    </w:p>
    <w:p>
      <w:pPr>
        <w:pStyle w:val="FirstParagraph"/>
      </w:pPr>
      <w:r>
        <w:t xml:space="preserve">Rien ne garantit que le krigeage d’indicatrices produise une fonction de répartition strictement croissante et bornée sur</w:t>
      </w:r>
      <w:r>
        <w:t xml:space="preserve"> </w:t>
      </w:r>
      <m:oMath>
        <m:d>
          <m:dPr>
            <m:begChr m:val="["/>
            <m:sepChr m:val=""/>
            <m:endChr m:val="]"/>
            <m:grow/>
          </m:dPr>
          <m:e>
            <m:r>
              <m:t>0</m:t>
            </m:r>
            <m:r>
              <m:rPr>
                <m:sty m:val="p"/>
              </m:rPr>
              <m:t>,</m:t>
            </m:r>
            <m:r>
              <m:t>1</m:t>
            </m:r>
          </m:e>
        </m:d>
      </m:oMath>
      <w:r>
        <w:t xml:space="preserve">. La fonction estimée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 </w:t>
      </w:r>
      <w:r>
        <w:t xml:space="preserve">doit pourtant rester entre 0 et 1 (</w:t>
      </w:r>
      <m:oMath>
        <m:r>
          <m:t>0</m:t>
        </m:r>
        <m:r>
          <m:rPr>
            <m:sty m:val="p"/>
          </m:rPr>
          <m:t>≤</m:t>
        </m:r>
        <m:sSub>
          <m:e>
            <m:acc>
              <m:accPr>
                <m:chr m:val="̂"/>
              </m:accPr>
              <m:e>
                <m:r>
                  <m:t>F</m:t>
                </m:r>
              </m:e>
            </m:acc>
          </m:e>
          <m:sub>
            <m:r>
              <m:t>K</m:t>
            </m:r>
            <m:r>
              <m:t>I</m:t>
            </m:r>
          </m:sub>
        </m:sSub>
        <m:r>
          <m:rPr>
            <m:sty m:val="p"/>
          </m:rPr>
          <m:t>≤</m:t>
        </m:r>
        <m:r>
          <m:t>1</m:t>
        </m:r>
      </m:oMath>
      <w:r>
        <w:t xml:space="preserve">) et croître avec le seuil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r>
          <m:rPr>
            <m:sty m:val="p"/>
          </m:rPr>
          <m:t>≤</m:t>
        </m:r>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r>
              <m:rPr>
                <m:sty m:val="p"/>
              </m:rPr>
              <m:t>′</m:t>
            </m:r>
          </m:e>
        </m:d>
      </m:oMath>
      <w:r>
        <w:t xml:space="preserve"> </w:t>
      </w:r>
      <w:r>
        <w:t xml:space="preserve">si</w:t>
      </w:r>
      <w:r>
        <w:t xml:space="preserve"> </w:t>
      </w:r>
      <m:oMath>
        <m:r>
          <m:t>z</m:t>
        </m:r>
        <m:r>
          <m:rPr>
            <m:sty m:val="p"/>
          </m:rPr>
          <m:t>≤</m:t>
        </m:r>
        <m:r>
          <m:t>z</m:t>
        </m:r>
        <m:r>
          <m:rPr>
            <m:sty m:val="p"/>
          </m:rPr>
          <m:t>′</m:t>
        </m:r>
      </m:oMath>
      <w:r>
        <w:t xml:space="preserve">).</w:t>
      </w:r>
    </w:p>
    <w:p>
      <w:pPr>
        <w:pStyle w:val="BodyText"/>
      </w:pPr>
      <w:r>
        <w:t xml:space="preserve">Il faut donc vérifier, avant tout calcul, que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 </w:t>
      </w:r>
      <w:r>
        <w:t xml:space="preserve">respecte ces contraintes. En pratique, on utilise souvent l’heuristique simple décrite ci-dessous. La</w:t>
      </w:r>
      <w:r>
        <w:t xml:space="preserve"> </w:t>
      </w:r>
      <w:hyperlink w:anchor="fig-C11_RelationOrdre">
        <w:r>
          <w:rPr>
            <w:rStyle w:val="Hyperlink"/>
          </w:rPr>
          <w:t xml:space="preserve">Figure 3</w:t>
        </w:r>
      </w:hyperlink>
      <w:r>
        <w:t xml:space="preserve"> </w:t>
      </w:r>
      <w:r>
        <w:t xml:space="preserve">montre une violation marquée de ces propriétés.</w:t>
      </w:r>
    </w:p>
    <w:tbl>
      <w:tblPr>
        <w:tblStyle w:val="Table"/>
        <w:tblW w:type="pct" w:w="5000"/>
        <w:tblLayout w:type="fixed"/>
        <w:tblLook w:firstRow="0" w:lastRow="0" w:firstColumn="0" w:lastColumn="0" w:noHBand="0" w:noVBand="0" w:val="0000"/>
      </w:tblPr>
      <w:tblGrid>
        <w:gridCol w:w="7920"/>
      </w:tblGrid>
      <w:tr>
        <w:tc>
          <w:tcPr/>
          <w:bookmarkStart w:id="52" w:name="fig-C11_RelationOrdre"/>
          <w:p>
            <w:pPr>
              <w:pStyle w:val="Compact"/>
              <w:jc w:val="center"/>
            </w:pPr>
            <w:r>
              <w:drawing>
                <wp:inline>
                  <wp:extent cx="5334000" cy="3516245"/>
                  <wp:effectExtent b="0" l="0" r="0" t="0"/>
                  <wp:docPr descr="" title="" id="50" name="Picture"/>
                  <a:graphic>
                    <a:graphicData uri="http://schemas.openxmlformats.org/drawingml/2006/picture">
                      <pic:pic>
                        <pic:nvPicPr>
                          <pic:cNvPr descr="images/C11_RelationOrdre.png" id="51" name="Picture"/>
                          <pic:cNvPicPr>
                            <a:picLocks noChangeArrowheads="1" noChangeAspect="1"/>
                          </pic:cNvPicPr>
                        </pic:nvPicPr>
                        <pic:blipFill>
                          <a:blip r:embed="rId49"/>
                          <a:stretch>
                            <a:fillRect/>
                          </a:stretch>
                        </pic:blipFill>
                        <pic:spPr bwMode="auto">
                          <a:xfrm>
                            <a:off x="0" y="0"/>
                            <a:ext cx="5334000" cy="351624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Violation des propriétés d’une fonction de répartition.</w:t>
            </w:r>
          </w:p>
          <w:bookmarkEnd w:id="52"/>
        </w:tc>
      </w:tr>
    </w:tbl>
    <w:bookmarkStart w:id="53" w:name="X252a82dda2e56f14b1eface0778056f8f14f725"/>
    <w:p>
      <w:pPr>
        <w:pStyle w:val="Heading3"/>
      </w:pPr>
      <w:r>
        <w:t xml:space="preserve">3.1 Correction par moyenne des balayages croissant et décroissant</w:t>
      </w:r>
    </w:p>
    <w:p>
      <w:pPr>
        <w:pStyle w:val="FirstParagraph"/>
      </w:pPr>
      <w:r>
        <w:t xml:space="preserve">Cette heuristique régularise la fonction estimée en quatre étapes.</w:t>
      </w:r>
    </w:p>
    <w:p>
      <w:pPr>
        <w:numPr>
          <w:ilvl w:val="0"/>
          <w:numId w:val="1003"/>
        </w:numPr>
      </w:pPr>
      <w:r>
        <w:rPr>
          <w:b/>
          <w:bCs/>
        </w:rPr>
        <w:t xml:space="preserve">Troncature des bornes.</w:t>
      </w:r>
      <w:r>
        <w:t xml:space="preserve"> </w:t>
      </w:r>
      <w:r>
        <w:t xml:space="preserve">On ramène à 0 les valeurs négatives de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oMath>
      <w:r>
        <w:t xml:space="preserve"> </w:t>
      </w:r>
      <w:r>
        <w:t xml:space="preserve">et à 1 celles qui dépassent 1.</w:t>
      </w:r>
    </w:p>
    <w:p>
      <w:pPr>
        <w:numPr>
          <w:ilvl w:val="0"/>
          <w:numId w:val="1003"/>
        </w:numPr>
      </w:pPr>
      <w:r>
        <w:rPr>
          <w:b/>
          <w:bCs/>
        </w:rPr>
        <w:t xml:space="preserve">Balayage vers l’avant.</w:t>
      </w:r>
      <w:r>
        <w:t xml:space="preserve"> </w:t>
      </w:r>
      <w:r>
        <w:t xml:space="preserve">Pour des seuils ordonnés</w:t>
      </w:r>
      <w:r>
        <w:t xml:space="preserve"> </w:t>
      </w:r>
      <m:oMath>
        <m:sSub>
          <m:e>
            <m:r>
              <m:t>z</m:t>
            </m:r>
          </m:e>
          <m:sub>
            <m:r>
              <m:t>c</m:t>
            </m:r>
            <m:r>
              <m:rPr>
                <m:sty m:val="p"/>
              </m:rPr>
              <m:t>,</m:t>
            </m:r>
            <m:r>
              <m:t>1</m:t>
            </m:r>
          </m:sub>
        </m:sSub>
        <m:r>
          <m:rPr>
            <m:sty m:val="p"/>
          </m:rPr>
          <m:t>&lt;</m:t>
        </m:r>
        <m:sSub>
          <m:e>
            <m:r>
              <m:t>z</m:t>
            </m:r>
          </m:e>
          <m:sub>
            <m:r>
              <m:t>c</m:t>
            </m:r>
            <m:r>
              <m:rPr>
                <m:sty m:val="p"/>
              </m:rPr>
              <m:t>,</m:t>
            </m:r>
            <m:r>
              <m:t>2</m:t>
            </m:r>
          </m:sub>
        </m:sSub>
        <m:r>
          <m:rPr>
            <m:sty m:val="p"/>
          </m:rPr>
          <m:t>&lt;</m:t>
        </m:r>
        <m:r>
          <m:rPr>
            <m:sty m:val="p"/>
          </m:rPr>
          <m:t>⋯</m:t>
        </m:r>
        <m:r>
          <m:rPr>
            <m:sty m:val="p"/>
          </m:rPr>
          <m:t>&lt;</m:t>
        </m:r>
        <m:sSub>
          <m:e>
            <m:r>
              <m:t>z</m:t>
            </m:r>
          </m:e>
          <m:sub>
            <m:r>
              <m:t>c</m:t>
            </m:r>
            <m:r>
              <m:rPr>
                <m:sty m:val="p"/>
              </m:rPr>
              <m:t>,</m:t>
            </m:r>
            <m:r>
              <m:t>p</m:t>
            </m:r>
          </m:sub>
        </m:sSub>
      </m:oMath>
      <w:r>
        <w:t xml:space="preserve"> </w:t>
      </w:r>
      <w:r>
        <w:t xml:space="preserve">:</w:t>
      </w:r>
    </w:p>
    <w:p>
      <w:pPr>
        <w:pStyle w:val="FirstParagraph"/>
      </w:pPr>
      <m:oMathPara>
        <m:oMathParaPr>
          <m:jc m:val="center"/>
        </m:oMathParaPr>
        <m:oMath>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1</m:t>
                  </m:r>
                </m:sub>
              </m:sSub>
            </m:e>
          </m:d>
          <m:r>
            <m:rPr>
              <m:sty m:val="p"/>
            </m:rPr>
            <m:t>=</m:t>
          </m:r>
          <m:r>
            <m:rPr>
              <m:sty m:val="p"/>
            </m:rPr>
            <m:t>max</m:t>
          </m:r>
          <m:d>
            <m:dPr>
              <m:begChr m:val="("/>
              <m:sepChr m:val=""/>
              <m:endChr m:val=")"/>
              <m:grow/>
            </m:dPr>
            <m:e>
              <m:r>
                <m:t>0</m:t>
              </m:r>
              <m:r>
                <m:rPr>
                  <m:sty m:val="p"/>
                </m:rPr>
                <m:t>,</m:t>
              </m:r>
              <m:r>
                <m:t> </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1</m:t>
                      </m:r>
                    </m:sub>
                  </m:sSub>
                </m:e>
              </m:d>
            </m:e>
          </m:d>
          <m:r>
            <m:rPr>
              <m:sty m:val="p"/>
            </m:rPr>
            <m:t>,</m:t>
          </m:r>
        </m:oMath>
      </m:oMathPara>
    </w:p>
    <w:p>
      <w:pPr>
        <w:pStyle w:val="FirstParagraph"/>
      </w:pPr>
      <w:r>
        <w:t xml:space="preserve">puis, pour</w:t>
      </w:r>
      <w:r>
        <w:t xml:space="preserve"> </w:t>
      </w:r>
      <m:oMath>
        <m:r>
          <m:t>i</m:t>
        </m:r>
        <m:r>
          <m:rPr>
            <m:sty m:val="p"/>
          </m:rPr>
          <m:t>=</m:t>
        </m:r>
        <m:r>
          <m:t>2</m:t>
        </m:r>
        <m:r>
          <m:rPr>
            <m:sty m:val="p"/>
          </m:rPr>
          <m:t>,</m:t>
        </m:r>
        <m:r>
          <m:rPr>
            <m:sty m:val="p"/>
          </m:rPr>
          <m:t>…</m:t>
        </m:r>
        <m:r>
          <m:rPr>
            <m:sty m:val="p"/>
          </m:rPr>
          <m:t>,</m:t>
        </m:r>
        <m:r>
          <m:t>p</m:t>
        </m:r>
      </m:oMath>
      <w:r>
        <w:t xml:space="preserve"> </w:t>
      </w:r>
      <w:r>
        <w:t xml:space="preserve">:</w:t>
      </w:r>
    </w:p>
    <w:p>
      <w:pPr>
        <w:pStyle w:val="BodyText"/>
      </w:pPr>
      <m:oMathPara>
        <m:oMathParaPr>
          <m:jc m:val="center"/>
        </m:oMathParaPr>
        <m:oMath>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r>
            <m:rPr>
              <m:sty m:val="p"/>
            </m:rPr>
            <m:t>max</m:t>
          </m:r>
          <m:d>
            <m:dPr>
              <m:begChr m:val="("/>
              <m:sepChr m:val=""/>
              <m:endChr m:val=")"/>
              <m:grow/>
            </m:dPr>
            <m:e>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i</m:t>
                      </m:r>
                      <m:r>
                        <m:rPr>
                          <m:sty m:val="p"/>
                        </m:rPr>
                        <m:t>−</m:t>
                      </m:r>
                      <m:r>
                        <m:t>1</m:t>
                      </m:r>
                    </m:sub>
                  </m:sSub>
                </m:e>
              </m:d>
              <m:r>
                <m:rPr>
                  <m:sty m:val="p"/>
                </m:rPr>
                <m:t>,</m:t>
              </m:r>
              <m:r>
                <m:t> </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e>
          </m:d>
          <m:r>
            <m:rPr>
              <m:sty m:val="p"/>
            </m:rPr>
            <m:t>.</m:t>
          </m:r>
        </m:oMath>
      </m:oMathPara>
    </w:p>
    <w:p>
      <w:pPr>
        <w:pStyle w:val="Compact"/>
        <w:numPr>
          <w:ilvl w:val="0"/>
          <w:numId w:val="1004"/>
        </w:numPr>
      </w:pPr>
      <w:r>
        <w:rPr>
          <w:b/>
          <w:bCs/>
        </w:rPr>
        <w:t xml:space="preserve">Balayage vers l’arrière</w:t>
      </w:r>
      <w:r>
        <w:t xml:space="preserve">, en partant du seuil le plus élevé :</w:t>
      </w:r>
    </w:p>
    <w:p>
      <w:pPr>
        <w:pStyle w:val="FirstParagraph"/>
      </w:pPr>
      <m:oMathPara>
        <m:oMathParaPr>
          <m:jc m:val="center"/>
        </m:oMathParaPr>
        <m:oMath>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p</m:t>
                  </m:r>
                </m:sub>
              </m:sSub>
            </m:e>
          </m:d>
          <m:r>
            <m:rPr>
              <m:sty m:val="p"/>
            </m:rPr>
            <m:t>=</m:t>
          </m:r>
          <m:r>
            <m:rPr>
              <m:sty m:val="p"/>
            </m:rPr>
            <m:t>min</m:t>
          </m:r>
          <m:d>
            <m:dPr>
              <m:begChr m:val="("/>
              <m:sepChr m:val=""/>
              <m:endChr m:val=")"/>
              <m:grow/>
            </m:dPr>
            <m:e>
              <m:r>
                <m:t>1</m:t>
              </m:r>
              <m:r>
                <m:rPr>
                  <m:sty m:val="p"/>
                </m:rPr>
                <m:t>,</m:t>
              </m:r>
              <m:r>
                <m:t> </m:t>
              </m:r>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p</m:t>
                      </m:r>
                    </m:sub>
                  </m:sSub>
                </m:e>
              </m:d>
            </m:e>
          </m:d>
          <m:r>
            <m:rPr>
              <m:sty m:val="p"/>
            </m:rPr>
            <m:t>,</m:t>
          </m:r>
        </m:oMath>
      </m:oMathPara>
    </w:p>
    <w:p>
      <w:pPr>
        <w:pStyle w:val="FirstParagraph"/>
      </w:pPr>
      <w:r>
        <w:t xml:space="preserve">puis, pour</w:t>
      </w:r>
      <w:r>
        <w:t xml:space="preserve"> </w:t>
      </w:r>
      <m:oMath>
        <m:r>
          <m:t>i</m:t>
        </m:r>
        <m:r>
          <m:rPr>
            <m:sty m:val="p"/>
          </m:rPr>
          <m:t>=</m:t>
        </m:r>
        <m:r>
          <m:t>p</m:t>
        </m:r>
        <m:r>
          <m:rPr>
            <m:sty m:val="p"/>
          </m:rPr>
          <m:t>−</m:t>
        </m:r>
        <m:r>
          <m:t>1</m:t>
        </m:r>
        <m:r>
          <m:rPr>
            <m:sty m:val="p"/>
          </m:rPr>
          <m:t>,</m:t>
        </m:r>
        <m:r>
          <m:rPr>
            <m:sty m:val="p"/>
          </m:rPr>
          <m:t>…</m:t>
        </m:r>
        <m:r>
          <m:rPr>
            <m:sty m:val="p"/>
          </m:rPr>
          <m:t>,</m:t>
        </m:r>
        <m:r>
          <m:t>1</m:t>
        </m:r>
      </m:oMath>
      <w:r>
        <w:t xml:space="preserve"> </w:t>
      </w:r>
      <w:r>
        <w:t xml:space="preserve">:</w:t>
      </w:r>
    </w:p>
    <w:p>
      <w:pPr>
        <w:pStyle w:val="BodyText"/>
      </w:pPr>
      <m:oMathPara>
        <m:oMathParaPr>
          <m:jc m:val="center"/>
        </m:oMathParaPr>
        <m:oMath>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r>
            <m:rPr>
              <m:sty m:val="p"/>
            </m:rPr>
            <m:t>min</m:t>
          </m:r>
          <m:d>
            <m:dPr>
              <m:begChr m:val="("/>
              <m:sepChr m:val=""/>
              <m:endChr m:val=")"/>
              <m:grow/>
            </m:dPr>
            <m:e>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r>
                <m:t> </m:t>
              </m:r>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i</m:t>
                      </m:r>
                      <m:r>
                        <m:rPr>
                          <m:sty m:val="p"/>
                        </m:rPr>
                        <m:t>+</m:t>
                      </m:r>
                      <m:r>
                        <m:t>1</m:t>
                      </m:r>
                    </m:sub>
                  </m:sSub>
                </m:e>
              </m:d>
            </m:e>
          </m:d>
          <m:r>
            <m:rPr>
              <m:sty m:val="p"/>
            </m:rPr>
            <m:t>.</m:t>
          </m:r>
        </m:oMath>
      </m:oMathPara>
    </w:p>
    <w:p>
      <w:pPr>
        <w:pStyle w:val="Compact"/>
        <w:numPr>
          <w:ilvl w:val="0"/>
          <w:numId w:val="1005"/>
        </w:numPr>
      </w:pPr>
      <w:r>
        <w:rPr>
          <w:b/>
          <w:bCs/>
        </w:rPr>
        <w:t xml:space="preserve">Moyenne des deux balayages.</w:t>
      </w:r>
      <w:r>
        <w:t xml:space="preserve"> </w:t>
      </w:r>
      <w:r>
        <w:t xml:space="preserve">La fonction corrigée finale est la moyenne arithmétique :</w:t>
      </w:r>
    </w:p>
    <w:p>
      <w:pPr>
        <w:pStyle w:val="FirstParagraph"/>
      </w:pPr>
      <m:oMathPara>
        <m:oMathParaPr>
          <m:jc m:val="center"/>
        </m:oMathParaPr>
        <m:oMath>
          <m:sSub>
            <m:e>
              <m:acc>
                <m:accPr>
                  <m:chr m:val="̂"/>
                </m:accPr>
                <m:e>
                  <m:r>
                    <m:t>F</m:t>
                  </m:r>
                </m:e>
              </m:acc>
            </m:e>
            <m:sub>
              <m:r>
                <m:t>K</m:t>
              </m:r>
              <m:r>
                <m:t>I</m:t>
              </m:r>
              <m:r>
                <m:rPr>
                  <m:sty m:val="p"/>
                </m:rPr>
                <m:t>,</m:t>
              </m:r>
              <m:r>
                <m:rPr>
                  <m:nor/>
                  <m:sty m:val="p"/>
                </m:rPr>
                <m:t>corr</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f>
            <m:fPr>
              <m:type m:val="lin"/>
            </m:fPr>
            <m:num>
              <m:r>
                <m:t>1</m:t>
              </m:r>
            </m:num>
            <m:den>
              <m:r>
                <m:t>2</m:t>
              </m:r>
            </m:den>
          </m:f>
          <m:d>
            <m:dPr>
              <m:begChr m:val="("/>
              <m:sepChr m:val=""/>
              <m:endChr m:val=")"/>
              <m:grow/>
            </m:dPr>
            <m:e>
              <m:sSub>
                <m:e>
                  <m:acc>
                    <m:accPr>
                      <m:chr m:val="̂"/>
                    </m:accPr>
                    <m:e>
                      <m:r>
                        <m:t>F</m:t>
                      </m:r>
                    </m:e>
                  </m:acc>
                </m:e>
                <m:sub>
                  <m:r>
                    <m:t>K</m:t>
                  </m:r>
                  <m:r>
                    <m:t>I</m:t>
                  </m:r>
                  <m:r>
                    <m:rPr>
                      <m:sty m:val="p"/>
                    </m:rPr>
                    <m:t>,</m:t>
                  </m:r>
                  <m:r>
                    <m:rPr>
                      <m:nor/>
                      <m:sty m:val="p"/>
                    </m:rPr>
                    <m:t>avant</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r>
                <m:rPr>
                  <m:sty m:val="p"/>
                </m:rPr>
                <m:t>+</m:t>
              </m:r>
              <m:sSub>
                <m:e>
                  <m:acc>
                    <m:accPr>
                      <m:chr m:val="̂"/>
                    </m:accPr>
                    <m:e>
                      <m:r>
                        <m:t>F</m:t>
                      </m:r>
                    </m:e>
                  </m:acc>
                </m:e>
                <m:sub>
                  <m:r>
                    <m:t>K</m:t>
                  </m:r>
                  <m:r>
                    <m:t>I</m:t>
                  </m:r>
                  <m:r>
                    <m:rPr>
                      <m:sty m:val="p"/>
                    </m:rPr>
                    <m:t>,</m:t>
                  </m:r>
                  <m:r>
                    <m:rPr>
                      <m:nor/>
                      <m:sty m:val="p"/>
                    </m:rPr>
                    <m:t>arr</m:t>
                  </m:r>
                </m:sub>
              </m:sSub>
              <m:d>
                <m:dPr>
                  <m:begChr m:val="("/>
                  <m:sepChr m:val=""/>
                  <m:endChr m:val=")"/>
                  <m:grow/>
                </m:dPr>
                <m:e>
                  <m:sSub>
                    <m:e>
                      <m:r>
                        <m:rPr>
                          <m:sty m:val="b"/>
                        </m:rPr>
                        <m:t>x</m:t>
                      </m:r>
                    </m:e>
                    <m:sub>
                      <m:r>
                        <m:t>0</m:t>
                      </m:r>
                    </m:sub>
                  </m:sSub>
                  <m:r>
                    <m:rPr>
                      <m:sty m:val="p"/>
                    </m:rPr>
                    <m:t>;</m:t>
                  </m:r>
                  <m:sSub>
                    <m:e>
                      <m:r>
                        <m:t>z</m:t>
                      </m:r>
                    </m:e>
                    <m:sub>
                      <m:r>
                        <m:t>c</m:t>
                      </m:r>
                      <m:r>
                        <m:rPr>
                          <m:sty m:val="p"/>
                        </m:rPr>
                        <m:t>,</m:t>
                      </m:r>
                      <m:r>
                        <m:t>i</m:t>
                      </m:r>
                    </m:sub>
                  </m:sSub>
                </m:e>
              </m:d>
            </m:e>
          </m:d>
          <m:r>
            <m:rPr>
              <m:sty m:val="p"/>
            </m:rPr>
            <m:t>.</m:t>
          </m:r>
        </m:oMath>
      </m:oMathPara>
    </w:p>
    <w:p>
      <w:pPr>
        <w:pStyle w:val="FirstParagraph"/>
      </w:pPr>
      <w:r>
        <w:t xml:space="preserve">La moyenne de deux suites non décroissantes l’est aussi : la fonction corrigée est donc bien monotone et comprise dans</w:t>
      </w:r>
      <w:r>
        <w:t xml:space="preserve"> </w:t>
      </w:r>
      <m:oMath>
        <m:d>
          <m:dPr>
            <m:begChr m:val="["/>
            <m:sepChr m:val=""/>
            <m:endChr m:val="]"/>
            <m:grow/>
          </m:dPr>
          <m:e>
            <m:r>
              <m:t>0</m:t>
            </m:r>
            <m:r>
              <m:rPr>
                <m:sty m:val="p"/>
              </m:rPr>
              <m:t>,</m:t>
            </m:r>
            <m:r>
              <m:t>1</m:t>
            </m:r>
          </m:e>
        </m:d>
      </m:oMath>
      <w:r>
        <w:t xml:space="preserve">.</w:t>
      </w:r>
    </w:p>
    <w:bookmarkEnd w:id="53"/>
    <w:bookmarkStart w:id="54" w:name="exemple-de-correction"/>
    <w:p>
      <w:pPr>
        <w:pStyle w:val="Heading3"/>
      </w:pPr>
      <w:r>
        <w:t xml:space="preserve">3.2 Exemple de correction</w:t>
      </w:r>
    </w:p>
    <w:p>
      <w:pPr>
        <w:pStyle w:val="FirstParagraph"/>
      </w:pPr>
      <w:r>
        <w:t xml:space="preserve">Le tableau suivant applique ces corrections à une série présentant des anomalies de monotonie et de bornage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Seuil</w:t>
            </w:r>
            <w:r>
              <w:t xml:space="preserve"> </w:t>
            </w:r>
            <m:oMath>
              <m:sSub>
                <m:e>
                  <m:r>
                    <m:t>z</m:t>
                  </m:r>
                </m:e>
                <m:sub>
                  <m:r>
                    <m:t>c</m:t>
                  </m:r>
                </m:sub>
              </m:sSub>
            </m:oMath>
          </w:p>
        </w:tc>
        <w:tc>
          <w:tcPr/>
          <w:p>
            <w:pPr>
              <w:pStyle w:val="Compact"/>
              <w:jc w:val="center"/>
            </w:pP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sSub>
                    <m:e>
                      <m:r>
                        <m:t>z</m:t>
                      </m:r>
                    </m:e>
                    <m:sub>
                      <m:r>
                        <m:t>c</m:t>
                      </m:r>
                    </m:sub>
                  </m:sSub>
                </m:e>
              </m:d>
            </m:oMath>
          </w:p>
        </w:tc>
        <w:tc>
          <w:tcPr/>
          <w:p>
            <w:pPr>
              <w:pStyle w:val="Compact"/>
              <w:jc w:val="center"/>
            </w:pPr>
            <m:oMath>
              <m:sSub>
                <m:e>
                  <m:acc>
                    <m:accPr>
                      <m:chr m:val="̂"/>
                    </m:accPr>
                    <m:e>
                      <m:r>
                        <m:t>F</m:t>
                      </m:r>
                    </m:e>
                  </m:acc>
                </m:e>
                <m:sub>
                  <m:r>
                    <m:t>K</m:t>
                  </m:r>
                  <m:r>
                    <m:t>I</m:t>
                  </m:r>
                  <m:r>
                    <m:rPr>
                      <m:sty m:val="p"/>
                    </m:rPr>
                    <m:t>,</m:t>
                  </m:r>
                  <m:r>
                    <m:rPr>
                      <m:nor/>
                      <m:sty m:val="p"/>
                    </m:rPr>
                    <m:t>avant</m:t>
                  </m:r>
                </m:sub>
              </m:sSub>
            </m:oMath>
          </w:p>
        </w:tc>
        <w:tc>
          <w:tcPr/>
          <w:p>
            <w:pPr>
              <w:pStyle w:val="Compact"/>
              <w:jc w:val="center"/>
            </w:pPr>
            <m:oMath>
              <m:sSub>
                <m:e>
                  <m:acc>
                    <m:accPr>
                      <m:chr m:val="̂"/>
                    </m:accPr>
                    <m:e>
                      <m:r>
                        <m:t>F</m:t>
                      </m:r>
                    </m:e>
                  </m:acc>
                </m:e>
                <m:sub>
                  <m:r>
                    <m:t>K</m:t>
                  </m:r>
                  <m:r>
                    <m:t>I</m:t>
                  </m:r>
                  <m:r>
                    <m:rPr>
                      <m:sty m:val="p"/>
                    </m:rPr>
                    <m:t>,</m:t>
                  </m:r>
                  <m:r>
                    <m:rPr>
                      <m:nor/>
                      <m:sty m:val="p"/>
                    </m:rPr>
                    <m:t>arr</m:t>
                  </m:r>
                </m:sub>
              </m:sSub>
            </m:oMath>
          </w:p>
        </w:tc>
        <w:tc>
          <w:tcPr/>
          <w:p>
            <w:pPr>
              <w:pStyle w:val="Compact"/>
              <w:jc w:val="center"/>
            </w:pPr>
            <m:oMath>
              <m:sSub>
                <m:e>
                  <m:acc>
                    <m:accPr>
                      <m:chr m:val="̂"/>
                    </m:accPr>
                    <m:e>
                      <m:r>
                        <m:t>F</m:t>
                      </m:r>
                    </m:e>
                  </m:acc>
                </m:e>
                <m:sub>
                  <m:r>
                    <m:t>K</m:t>
                  </m:r>
                  <m:r>
                    <m:t>I</m:t>
                  </m:r>
                  <m:r>
                    <m:rPr>
                      <m:sty m:val="p"/>
                    </m:rPr>
                    <m:t>,</m:t>
                  </m:r>
                  <m:r>
                    <m:rPr>
                      <m:nor/>
                      <m:sty m:val="p"/>
                    </m:rPr>
                    <m:t>corr</m:t>
                  </m:r>
                </m:sub>
              </m:sSub>
            </m:oMath>
          </w:p>
        </w:tc>
      </w:tr>
      <w:tr>
        <w:tc>
          <w:tcPr/>
          <w:p>
            <w:pPr>
              <w:pStyle w:val="Compact"/>
              <w:jc w:val="center"/>
            </w:pPr>
            <w:r>
              <w:t xml:space="preserve">1</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center"/>
            </w:pPr>
            <w:r>
              <w:t xml:space="preserve">2</w:t>
            </w:r>
          </w:p>
        </w:tc>
        <w:tc>
          <w:tcPr/>
          <w:p>
            <w:pPr>
              <w:pStyle w:val="Compact"/>
              <w:jc w:val="center"/>
            </w:pPr>
            <w:r>
              <w:t xml:space="preserve">0,13</w:t>
            </w:r>
          </w:p>
        </w:tc>
        <w:tc>
          <w:tcPr/>
          <w:p>
            <w:pPr>
              <w:pStyle w:val="Compact"/>
              <w:jc w:val="center"/>
            </w:pPr>
            <w:r>
              <w:t xml:space="preserve">0,13</w:t>
            </w:r>
          </w:p>
        </w:tc>
        <w:tc>
          <w:tcPr/>
          <w:p>
            <w:pPr>
              <w:pStyle w:val="Compact"/>
              <w:jc w:val="center"/>
            </w:pPr>
            <w:r>
              <w:t xml:space="preserve">0,13</w:t>
            </w:r>
          </w:p>
        </w:tc>
        <w:tc>
          <w:tcPr/>
          <w:p>
            <w:pPr>
              <w:pStyle w:val="Compact"/>
              <w:jc w:val="center"/>
            </w:pPr>
            <w:r>
              <w:t xml:space="preserve">0,13</w:t>
            </w:r>
          </w:p>
        </w:tc>
      </w:tr>
      <w:tr>
        <w:tc>
          <w:tcPr/>
          <w:p>
            <w:pPr>
              <w:pStyle w:val="Compact"/>
              <w:jc w:val="center"/>
            </w:pPr>
            <w:r>
              <w:t xml:space="preserve">3</w:t>
            </w:r>
          </w:p>
        </w:tc>
        <w:tc>
          <w:tcPr/>
          <w:p>
            <w:pPr>
              <w:pStyle w:val="Compact"/>
              <w:jc w:val="center"/>
            </w:pPr>
            <w:r>
              <w:t xml:space="preserve">0,24</w:t>
            </w:r>
          </w:p>
        </w:tc>
        <w:tc>
          <w:tcPr/>
          <w:p>
            <w:pPr>
              <w:pStyle w:val="Compact"/>
              <w:jc w:val="center"/>
            </w:pPr>
            <w:r>
              <w:t xml:space="preserve">0,24</w:t>
            </w:r>
          </w:p>
        </w:tc>
        <w:tc>
          <w:tcPr/>
          <w:p>
            <w:pPr>
              <w:pStyle w:val="Compact"/>
              <w:jc w:val="center"/>
            </w:pPr>
            <w:r>
              <w:t xml:space="preserve">0,234</w:t>
            </w:r>
          </w:p>
        </w:tc>
        <w:tc>
          <w:tcPr/>
          <w:p>
            <w:pPr>
              <w:pStyle w:val="Compact"/>
              <w:jc w:val="center"/>
            </w:pPr>
            <w:r>
              <w:t xml:space="preserve">0,237</w:t>
            </w:r>
          </w:p>
        </w:tc>
      </w:tr>
      <w:tr>
        <w:tc>
          <w:tcPr/>
          <w:p>
            <w:pPr>
              <w:pStyle w:val="Compact"/>
              <w:jc w:val="center"/>
            </w:pPr>
            <w:r>
              <w:t xml:space="preserve">4</w:t>
            </w:r>
          </w:p>
        </w:tc>
        <w:tc>
          <w:tcPr/>
          <w:p>
            <w:pPr>
              <w:pStyle w:val="Compact"/>
              <w:jc w:val="center"/>
            </w:pPr>
            <w:r>
              <w:t xml:space="preserve">0,238</w:t>
            </w:r>
          </w:p>
        </w:tc>
        <w:tc>
          <w:tcPr/>
          <w:p>
            <w:pPr>
              <w:pStyle w:val="Compact"/>
              <w:jc w:val="center"/>
            </w:pPr>
            <w:r>
              <w:t xml:space="preserve">0,24</w:t>
            </w:r>
          </w:p>
        </w:tc>
        <w:tc>
          <w:tcPr/>
          <w:p>
            <w:pPr>
              <w:pStyle w:val="Compact"/>
              <w:jc w:val="center"/>
            </w:pPr>
            <w:r>
              <w:t xml:space="preserve">0,234</w:t>
            </w:r>
          </w:p>
        </w:tc>
        <w:tc>
          <w:tcPr/>
          <w:p>
            <w:pPr>
              <w:pStyle w:val="Compact"/>
              <w:jc w:val="center"/>
            </w:pPr>
            <w:r>
              <w:t xml:space="preserve">0,237</w:t>
            </w:r>
          </w:p>
        </w:tc>
      </w:tr>
      <w:tr>
        <w:tc>
          <w:tcPr/>
          <w:p>
            <w:pPr>
              <w:pStyle w:val="Compact"/>
              <w:jc w:val="center"/>
            </w:pPr>
            <w:r>
              <w:t xml:space="preserve">5</w:t>
            </w:r>
          </w:p>
        </w:tc>
        <w:tc>
          <w:tcPr/>
          <w:p>
            <w:pPr>
              <w:pStyle w:val="Compact"/>
              <w:jc w:val="center"/>
            </w:pPr>
            <w:r>
              <w:t xml:space="preserve">0,234</w:t>
            </w:r>
          </w:p>
        </w:tc>
        <w:tc>
          <w:tcPr/>
          <w:p>
            <w:pPr>
              <w:pStyle w:val="Compact"/>
              <w:jc w:val="center"/>
            </w:pPr>
            <w:r>
              <w:t xml:space="preserve">0,24</w:t>
            </w:r>
          </w:p>
        </w:tc>
        <w:tc>
          <w:tcPr/>
          <w:p>
            <w:pPr>
              <w:pStyle w:val="Compact"/>
              <w:jc w:val="center"/>
            </w:pPr>
            <w:r>
              <w:t xml:space="preserve">0,234</w:t>
            </w:r>
          </w:p>
        </w:tc>
        <w:tc>
          <w:tcPr/>
          <w:p>
            <w:pPr>
              <w:pStyle w:val="Compact"/>
              <w:jc w:val="center"/>
            </w:pPr>
            <w:r>
              <w:t xml:space="preserve">0,237</w:t>
            </w:r>
          </w:p>
        </w:tc>
      </w:tr>
      <w:tr>
        <w:tc>
          <w:tcPr/>
          <w:p>
            <w:pPr>
              <w:pStyle w:val="Compact"/>
              <w:jc w:val="center"/>
            </w:pPr>
            <w:r>
              <w:t xml:space="preserve">6</w:t>
            </w:r>
          </w:p>
        </w:tc>
        <w:tc>
          <w:tcPr/>
          <w:p>
            <w:pPr>
              <w:pStyle w:val="Compact"/>
              <w:jc w:val="center"/>
            </w:pPr>
            <w:r>
              <w:t xml:space="preserve">0,237</w:t>
            </w:r>
          </w:p>
        </w:tc>
        <w:tc>
          <w:tcPr/>
          <w:p>
            <w:pPr>
              <w:pStyle w:val="Compact"/>
              <w:jc w:val="center"/>
            </w:pPr>
            <w:r>
              <w:t xml:space="preserve">0,24</w:t>
            </w:r>
          </w:p>
        </w:tc>
        <w:tc>
          <w:tcPr/>
          <w:p>
            <w:pPr>
              <w:pStyle w:val="Compact"/>
              <w:jc w:val="center"/>
            </w:pPr>
            <w:r>
              <w:t xml:space="preserve">0,237</w:t>
            </w:r>
          </w:p>
        </w:tc>
        <w:tc>
          <w:tcPr/>
          <w:p>
            <w:pPr>
              <w:pStyle w:val="Compact"/>
              <w:jc w:val="center"/>
            </w:pPr>
            <w:r>
              <w:t xml:space="preserve">0,2385</w:t>
            </w:r>
          </w:p>
        </w:tc>
      </w:tr>
      <w:tr>
        <w:tc>
          <w:tcPr/>
          <w:p>
            <w:pPr>
              <w:pStyle w:val="Compact"/>
              <w:jc w:val="center"/>
            </w:pPr>
            <w:r>
              <w:t xml:space="preserve">7</w:t>
            </w:r>
          </w:p>
        </w:tc>
        <w:tc>
          <w:tcPr/>
          <w:p>
            <w:pPr>
              <w:pStyle w:val="Compact"/>
              <w:jc w:val="center"/>
            </w:pPr>
            <w:r>
              <w:t xml:space="preserve">0,53</w:t>
            </w:r>
          </w:p>
        </w:tc>
        <w:tc>
          <w:tcPr/>
          <w:p>
            <w:pPr>
              <w:pStyle w:val="Compact"/>
              <w:jc w:val="center"/>
            </w:pPr>
            <w:r>
              <w:t xml:space="preserve">0,53</w:t>
            </w:r>
          </w:p>
        </w:tc>
        <w:tc>
          <w:tcPr/>
          <w:p>
            <w:pPr>
              <w:pStyle w:val="Compact"/>
              <w:jc w:val="center"/>
            </w:pPr>
            <w:r>
              <w:t xml:space="preserve">0,53</w:t>
            </w:r>
          </w:p>
        </w:tc>
        <w:tc>
          <w:tcPr/>
          <w:p>
            <w:pPr>
              <w:pStyle w:val="Compact"/>
              <w:jc w:val="center"/>
            </w:pPr>
            <w:r>
              <w:t xml:space="preserve">0,53</w:t>
            </w:r>
          </w:p>
        </w:tc>
      </w:tr>
      <w:tr>
        <w:tc>
          <w:tcPr/>
          <w:p>
            <w:pPr>
              <w:pStyle w:val="Compact"/>
              <w:jc w:val="center"/>
            </w:pPr>
            <w:r>
              <w:t xml:space="preserve">8</w:t>
            </w:r>
          </w:p>
        </w:tc>
        <w:tc>
          <w:tcPr/>
          <w:p>
            <w:pPr>
              <w:pStyle w:val="Compact"/>
              <w:jc w:val="center"/>
            </w:pPr>
            <w:r>
              <w:t xml:space="preserve">0,79</w:t>
            </w:r>
          </w:p>
        </w:tc>
        <w:tc>
          <w:tcPr/>
          <w:p>
            <w:pPr>
              <w:pStyle w:val="Compact"/>
              <w:jc w:val="center"/>
            </w:pPr>
            <w:r>
              <w:t xml:space="preserve">0,79</w:t>
            </w:r>
          </w:p>
        </w:tc>
        <w:tc>
          <w:tcPr/>
          <w:p>
            <w:pPr>
              <w:pStyle w:val="Compact"/>
              <w:jc w:val="center"/>
            </w:pPr>
            <w:r>
              <w:t xml:space="preserve">0,77</w:t>
            </w:r>
          </w:p>
        </w:tc>
        <w:tc>
          <w:tcPr/>
          <w:p>
            <w:pPr>
              <w:pStyle w:val="Compact"/>
              <w:jc w:val="center"/>
            </w:pPr>
            <w:r>
              <w:t xml:space="preserve">0,78</w:t>
            </w:r>
          </w:p>
        </w:tc>
      </w:tr>
      <w:tr>
        <w:tc>
          <w:tcPr/>
          <w:p>
            <w:pPr>
              <w:pStyle w:val="Compact"/>
              <w:jc w:val="center"/>
            </w:pPr>
            <w:r>
              <w:t xml:space="preserve">9</w:t>
            </w:r>
          </w:p>
        </w:tc>
        <w:tc>
          <w:tcPr/>
          <w:p>
            <w:pPr>
              <w:pStyle w:val="Compact"/>
              <w:jc w:val="center"/>
            </w:pPr>
            <w:r>
              <w:t xml:space="preserve">0,77</w:t>
            </w:r>
          </w:p>
        </w:tc>
        <w:tc>
          <w:tcPr/>
          <w:p>
            <w:pPr>
              <w:pStyle w:val="Compact"/>
              <w:jc w:val="center"/>
            </w:pPr>
            <w:r>
              <w:t xml:space="preserve">0,79</w:t>
            </w:r>
          </w:p>
        </w:tc>
        <w:tc>
          <w:tcPr/>
          <w:p>
            <w:pPr>
              <w:pStyle w:val="Compact"/>
              <w:jc w:val="center"/>
            </w:pPr>
            <w:r>
              <w:t xml:space="preserve">0,77</w:t>
            </w:r>
          </w:p>
        </w:tc>
        <w:tc>
          <w:tcPr/>
          <w:p>
            <w:pPr>
              <w:pStyle w:val="Compact"/>
              <w:jc w:val="center"/>
            </w:pPr>
            <w:r>
              <w:t xml:space="preserve">0,78</w:t>
            </w:r>
          </w:p>
        </w:tc>
      </w:tr>
      <w:tr>
        <w:tc>
          <w:tcPr/>
          <w:p>
            <w:pPr>
              <w:pStyle w:val="Compact"/>
              <w:jc w:val="center"/>
            </w:pPr>
            <w:r>
              <w:t xml:space="preserve">10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bl>
    <w:bookmarkEnd w:id="54"/>
    <w:bookmarkStart w:id="59" w:name="analyse-visuelle"/>
    <w:p>
      <w:pPr>
        <w:pStyle w:val="Heading3"/>
      </w:pPr>
      <w:r>
        <w:t xml:space="preserve">3.3 Analyse visuelle</w:t>
      </w:r>
    </w:p>
    <w:p>
      <w:pPr>
        <w:pStyle w:val="FirstParagraph"/>
      </w:pPr>
      <w:r>
        <w:t xml:space="preserve">La</w:t>
      </w:r>
      <w:r>
        <w:t xml:space="preserve"> </w:t>
      </w:r>
      <w:hyperlink w:anchor="fig-C11_RelationOrdre_Correction">
        <w:r>
          <w:rPr>
            <w:rStyle w:val="Hyperlink"/>
          </w:rPr>
          <w:t xml:space="preserve">Figure 4</w:t>
        </w:r>
      </w:hyperlink>
      <w:r>
        <w:t xml:space="preserve"> </w:t>
      </w:r>
      <w:r>
        <w:t xml:space="preserve">illustre l’effet de ces ajustements. Le balayage avant impose une fonction croissante en remplaçant chaque valeur par le maximum rencontré jusqu’à présent; le balayage arrière fait l’inverse, en partant du seuil maximal. La moyenne des deux donne une fonction de répartition qui respecte à la fois les bornes</w:t>
      </w:r>
      <w:r>
        <w:t xml:space="preserve"> </w:t>
      </w:r>
      <m:oMath>
        <m:d>
          <m:dPr>
            <m:begChr m:val="["/>
            <m:sepChr m:val=""/>
            <m:endChr m:val="]"/>
            <m:grow/>
          </m:dPr>
          <m:e>
            <m:r>
              <m:t>0</m:t>
            </m:r>
            <m:r>
              <m:rPr>
                <m:sty m:val="p"/>
              </m:rPr>
              <m:t>,</m:t>
            </m:r>
            <m:r>
              <m:t>1</m:t>
            </m:r>
          </m:e>
        </m:d>
      </m:oMath>
      <w:r>
        <w:t xml:space="preserve"> </w:t>
      </w:r>
      <w:r>
        <w:t xml:space="preserve">et la monotonie.</w:t>
      </w:r>
    </w:p>
    <w:tbl>
      <w:tblPr>
        <w:tblStyle w:val="Table"/>
        <w:tblW w:type="pct" w:w="5000"/>
        <w:tblLayout w:type="fixed"/>
        <w:tblLook w:firstRow="0" w:lastRow="0" w:firstColumn="0" w:lastColumn="0" w:noHBand="0" w:noVBand="0" w:val="0000"/>
      </w:tblPr>
      <w:tblGrid>
        <w:gridCol w:w="7920"/>
      </w:tblGrid>
      <w:tr>
        <w:tc>
          <w:tcPr/>
          <w:bookmarkStart w:id="58" w:name="fig-C11_RelationOrdre_Correction"/>
          <w:p>
            <w:pPr>
              <w:pStyle w:val="Compact"/>
              <w:jc w:val="center"/>
            </w:pPr>
            <w:r>
              <w:drawing>
                <wp:inline>
                  <wp:extent cx="5334000" cy="3113359"/>
                  <wp:effectExtent b="0" l="0" r="0" t="0"/>
                  <wp:docPr descr="" title="" id="56" name="Picture"/>
                  <a:graphic>
                    <a:graphicData uri="http://schemas.openxmlformats.org/drawingml/2006/picture">
                      <pic:pic>
                        <pic:nvPicPr>
                          <pic:cNvPr descr="images/C11_RelationOrdre_Correction.png" id="57" name="Picture"/>
                          <pic:cNvPicPr>
                            <a:picLocks noChangeArrowheads="1" noChangeAspect="1"/>
                          </pic:cNvPicPr>
                        </pic:nvPicPr>
                        <pic:blipFill>
                          <a:blip r:embed="rId55"/>
                          <a:stretch>
                            <a:fillRect/>
                          </a:stretch>
                        </pic:blipFill>
                        <pic:spPr bwMode="auto">
                          <a:xfrm>
                            <a:off x="0" y="0"/>
                            <a:ext cx="5334000" cy="311335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Correction des relations d’ordre de l’exemple du tableau ci-dessus.</w:t>
            </w:r>
          </w:p>
          <w:bookmarkEnd w:id="58"/>
        </w:tc>
      </w:tr>
    </w:tbl>
    <w:bookmarkEnd w:id="59"/>
    <w:bookmarkEnd w:id="60"/>
    <w:bookmarkStart w:id="61" w:name="Xc400bf80301929385fa936c277d5aff12582127"/>
    <w:p>
      <w:pPr>
        <w:pStyle w:val="Heading2"/>
      </w:pPr>
      <w:r>
        <w:t xml:space="preserve">🧮 Atelier interactif 11.2 — Correction de la relation d’ordre</w:t>
      </w:r>
    </w:p>
    <w:p>
      <w:pPr>
        <w:pStyle w:val="FirstParagraph"/>
      </w:pPr>
      <w:r>
        <w:t xml:space="preserve">Cet atelier n’est disponible que dans la version web.</w:t>
      </w:r>
    </w:p>
    <w:bookmarkEnd w:id="61"/>
    <w:bookmarkStart w:id="69" w:name="modèles-de-changement-de-support"/>
    <w:p>
      <w:pPr>
        <w:pStyle w:val="Heading2"/>
      </w:pPr>
      <w:r>
        <w:t xml:space="preserve">4 Modèles de changement de support</w:t>
      </w:r>
    </w:p>
    <w:p>
      <w:pPr>
        <w:pStyle w:val="FirstParagraph"/>
      </w:pPr>
      <w:r>
        <w:t xml:space="preserve">Les décisions se prennent presque toujours sur un support différent de celui des données. Or, la fonction estimée</w:t>
      </w:r>
      <w:r>
        <w:t xml:space="preserve"> </w:t>
      </w:r>
      <m:oMath>
        <m:sSub>
          <m:e>
            <m:acc>
              <m:accPr>
                <m:chr m:val="̂"/>
              </m:accPr>
              <m:e>
                <m:r>
                  <m:t>F</m:t>
                </m:r>
              </m:e>
            </m:acc>
          </m:e>
          <m:sub>
            <m:r>
              <m:t>K</m:t>
            </m:r>
            <m:r>
              <m:t>I</m:t>
            </m:r>
          </m:sub>
        </m:sSub>
      </m:oMath>
      <w:r>
        <w:t xml:space="preserve"> </w:t>
      </w:r>
      <w:r>
        <w:t xml:space="preserve">ne s’étend jusqu’ici que sur le support ponctuel des observations.</w:t>
      </w:r>
    </w:p>
    <w:p>
      <w:pPr>
        <w:pStyle w:val="BodyText"/>
      </w:pPr>
      <w:r>
        <w:t xml:space="preserve">Prenons une mine. La probabilité qu’un bloc de 125 m³ atteigne une teneur de coupure n’est pas la même que pour une carotte de 1 m. La variance varie selon le support, donc les fonctions de répartition aussi. Il faut donc corriger</w:t>
      </w:r>
      <w:r>
        <w:t xml:space="preserve"> </w:t>
      </w:r>
      <m:oMath>
        <m:sSub>
          <m:e>
            <m:acc>
              <m:accPr>
                <m:chr m:val="̂"/>
              </m:accPr>
              <m:e>
                <m:r>
                  <m:t>F</m:t>
                </m:r>
              </m:e>
            </m:acc>
          </m:e>
          <m:sub>
            <m:r>
              <m:t>K</m:t>
            </m:r>
            <m:r>
              <m:t>I</m:t>
            </m:r>
          </m:sub>
        </m:sSub>
      </m:oMath>
      <w:r>
        <w:t xml:space="preserve"> </w:t>
      </w:r>
      <w:r>
        <w:t xml:space="preserve">pour tenir compte du changement de support.</w:t>
      </w:r>
    </w:p>
    <w:p>
      <w:pPr>
        <w:pStyle w:val="BodyText"/>
      </w:pPr>
      <w:r>
        <w:t xml:space="preserve">Une erreur classique consiste à remplacer le krigeage ponctuel du KI par un krigeage de bloc. Mais</w:t>
      </w:r>
      <w:r>
        <w:t xml:space="preserve"> </w:t>
      </w:r>
      <m:oMath>
        <m:sSup>
          <m:e>
            <m:r>
              <m:t>I</m:t>
            </m:r>
          </m:e>
          <m:sup>
            <m:r>
              <m:rPr>
                <m:sty m:val="p"/>
              </m:rPr>
              <m:t>*</m:t>
            </m:r>
          </m:sup>
        </m:sSup>
        <m:d>
          <m:dPr>
            <m:begChr m:val="("/>
            <m:sepChr m:val=""/>
            <m:endChr m:val=")"/>
            <m:grow/>
          </m:dPr>
          <m:e>
            <m:sSub>
              <m:e>
                <m:r>
                  <m:rPr>
                    <m:sty m:val="b"/>
                  </m:rPr>
                  <m:t>x</m:t>
                </m:r>
              </m:e>
              <m:sub>
                <m:r>
                  <m:t>0</m:t>
                </m:r>
              </m:sub>
            </m:sSub>
            <m:r>
              <m:rPr>
                <m:sty m:val="p"/>
              </m:rPr>
              <m:t>;</m:t>
            </m:r>
            <m:sSub>
              <m:e>
                <m:r>
                  <m:t>z</m:t>
                </m:r>
              </m:e>
              <m:sub>
                <m:r>
                  <m:t>c</m:t>
                </m:r>
              </m:sub>
            </m:sSub>
          </m:e>
        </m:d>
      </m:oMath>
      <w:r>
        <w:t xml:space="preserve"> </w:t>
      </w:r>
      <w:r>
        <w:t xml:space="preserve">estime la probabilité</w:t>
      </w:r>
      <w:r>
        <w:t xml:space="preserve"> </w:t>
      </w:r>
      <w:r>
        <w:rPr>
          <w:i/>
          <w:iCs/>
        </w:rPr>
        <w:t xml:space="preserve">moyenne</w:t>
      </w:r>
      <w:r>
        <w:t xml:space="preserve"> </w:t>
      </w:r>
      <w:r>
        <w:t xml:space="preserve">que les points du bloc soient sous</w:t>
      </w:r>
      <w:r>
        <w:t xml:space="preserve"> </w:t>
      </w:r>
      <m:oMath>
        <m:sSub>
          <m:e>
            <m:r>
              <m:t>z</m:t>
            </m:r>
          </m:e>
          <m:sub>
            <m:r>
              <m:t>c</m:t>
            </m:r>
          </m:sub>
        </m:sSub>
      </m:oMath>
      <w:r>
        <w:t xml:space="preserve">, et non la probabilité que la</w:t>
      </w:r>
      <w:r>
        <w:t xml:space="preserve"> </w:t>
      </w:r>
      <w:r>
        <w:rPr>
          <w:i/>
          <w:iCs/>
        </w:rPr>
        <w:t xml:space="preserve">moyenne</w:t>
      </w:r>
      <w:r>
        <w:t xml:space="preserve"> </w:t>
      </w:r>
      <w:r>
        <w:t xml:space="preserve">du bloc soit sous</w:t>
      </w:r>
      <w:r>
        <w:t xml:space="preserve"> </w:t>
      </w:r>
      <m:oMath>
        <m:sSub>
          <m:e>
            <m:r>
              <m:t>z</m:t>
            </m:r>
          </m:e>
          <m:sub>
            <m:r>
              <m:t>c</m:t>
            </m:r>
          </m:sub>
        </m:sSub>
      </m:oMath>
      <w:r>
        <w:t xml:space="preserve">. La distinction est fondamentale : la probabilité n’est pas un opérateur linéaire de la moyenne, pas plus que le logarithme ne l’est (</w:t>
      </w:r>
      <m:oMath>
        <m:r>
          <m:rPr>
            <m:sty m:val="p"/>
          </m:rPr>
          <m:t>log</m:t>
        </m:r>
        <m:d>
          <m:dPr>
            <m:begChr m:val="("/>
            <m:sepChr m:val=""/>
            <m:endChr m:val=")"/>
            <m:grow/>
          </m:dPr>
          <m:e>
            <m:r>
              <m:rPr>
                <m:nor/>
                <m:sty m:val="p"/>
              </m:rPr>
              <m:t>moyenne</m:t>
            </m:r>
          </m:e>
        </m:d>
        <m:r>
          <m:rPr>
            <m:sty m:val="p"/>
          </m:rPr>
          <m:t>≠</m:t>
        </m:r>
        <m:r>
          <m:rPr>
            <m:nor/>
            <m:sty m:val="p"/>
          </m:rPr>
          <m:t>moyenne des </m:t>
        </m:r>
        <m:r>
          <m:rPr>
            <m:sty m:val="p"/>
          </m:rPr>
          <m:t>log</m:t>
        </m:r>
      </m:oMath>
      <w:r>
        <w:t xml:space="preserve">).</w:t>
      </w:r>
    </w:p>
    <w:bookmarkStart w:id="62" w:name="correction-affine"/>
    <w:p>
      <w:pPr>
        <w:pStyle w:val="Heading3"/>
      </w:pPr>
      <w:r>
        <w:t xml:space="preserve">4.1 Correction affine</w:t>
      </w:r>
    </w:p>
    <w:p>
      <w:pPr>
        <w:pStyle w:val="FirstParagraph"/>
      </w:pPr>
      <w:r>
        <w:t xml:space="preserve">La correction affine, la plus utilisée avec le KI, suppose que la distribution des blocs est celle des points, à une contraction près. Cette contraction est le rapport des écarts-types des blocs et des points :</w:t>
      </w:r>
    </w:p>
    <w:p>
      <w:pPr>
        <w:pStyle w:val="BodyText"/>
      </w:pPr>
      <m:oMathPara>
        <m:oMathParaPr>
          <m:jc m:val="center"/>
        </m:oMathParaPr>
        <m:oMath>
          <m:sSub>
            <m:e>
              <m:acc>
                <m:accPr>
                  <m:chr m:val="̂"/>
                </m:accPr>
                <m:e>
                  <m:r>
                    <m:t>F</m:t>
                  </m:r>
                </m:e>
              </m:acc>
            </m:e>
            <m:sub>
              <m:sSub>
                <m:e>
                  <m:r>
                    <m:t>Z</m:t>
                  </m:r>
                </m:e>
                <m:sub>
                  <m:r>
                    <m:t>v</m:t>
                  </m:r>
                </m:sub>
              </m:sSub>
            </m:sub>
          </m:sSub>
          <m:d>
            <m:dPr>
              <m:begChr m:val="("/>
              <m:sepChr m:val=""/>
              <m:endChr m:val=")"/>
              <m:grow/>
            </m:dPr>
            <m:e>
              <m:r>
                <m:t>z</m:t>
              </m:r>
            </m:e>
          </m:d>
          <m:r>
            <m:rPr>
              <m:sty m:val="p"/>
            </m:rPr>
            <m:t>=</m:t>
          </m:r>
          <m:sSub>
            <m:e>
              <m:acc>
                <m:accPr>
                  <m:chr m:val="̂"/>
                </m:accPr>
                <m:e>
                  <m:r>
                    <m:t>F</m:t>
                  </m:r>
                </m:e>
              </m:acc>
            </m:e>
            <m:sub>
              <m:r>
                <m:t>Z</m:t>
              </m:r>
            </m:sub>
          </m:sSub>
          <m:d>
            <m:dPr>
              <m:begChr m:val="("/>
              <m:sepChr m:val=""/>
              <m:endChr m:val=")"/>
              <m:grow/>
            </m:dPr>
            <m:e>
              <m:r>
                <m:t>m</m:t>
              </m:r>
              <m:r>
                <m:rPr>
                  <m:sty m:val="p"/>
                </m:rPr>
                <m:t>+</m:t>
              </m:r>
              <m:f>
                <m:fPr>
                  <m:type m:val="bar"/>
                </m:fPr>
                <m:num>
                  <m:r>
                    <m:t>z</m:t>
                  </m:r>
                  <m:r>
                    <m:rPr>
                      <m:sty m:val="p"/>
                    </m:rPr>
                    <m:t>−</m:t>
                  </m:r>
                  <m:r>
                    <m:t>m</m:t>
                  </m:r>
                </m:num>
                <m:den>
                  <m:rad>
                    <m:radPr>
                      <m:degHide m:val="on"/>
                    </m:radPr>
                    <m:deg/>
                    <m:e>
                      <m:f>
                        <m:fPr>
                          <m:type m:val="bar"/>
                        </m:fPr>
                        <m:num>
                          <m:sSup>
                            <m:e>
                              <m:r>
                                <m:t>D</m:t>
                              </m:r>
                            </m:e>
                            <m:sup>
                              <m:r>
                                <m:t>2</m:t>
                              </m:r>
                            </m:sup>
                          </m:sSup>
                          <m:d>
                            <m:dPr>
                              <m:begChr m:val="("/>
                              <m:sepChr m:val=""/>
                              <m:endChr m:val=")"/>
                              <m:grow/>
                            </m:dPr>
                            <m:e>
                              <m:r>
                                <m:t>v</m:t>
                              </m:r>
                              <m:r>
                                <m:rPr>
                                  <m:sty m:val="p"/>
                                </m:rPr>
                                <m:t>∣</m:t>
                              </m:r>
                              <m:r>
                                <m:t>G</m:t>
                              </m:r>
                            </m:e>
                          </m:d>
                        </m:num>
                        <m:den>
                          <m:sSup>
                            <m:e>
                              <m:r>
                                <m:t>D</m:t>
                              </m:r>
                            </m:e>
                            <m:sup>
                              <m:r>
                                <m:t>2</m:t>
                              </m:r>
                            </m:sup>
                          </m:sSup>
                          <m:d>
                            <m:dPr>
                              <m:begChr m:val="("/>
                              <m:sepChr m:val=""/>
                              <m:endChr m:val=")"/>
                              <m:grow/>
                            </m:dPr>
                            <m:e>
                              <m:r>
                                <m:rPr>
                                  <m:sty m:val="p"/>
                                </m:rPr>
                                <m:t>⋅</m:t>
                              </m:r>
                              <m:r>
                                <m:rPr>
                                  <m:sty m:val="p"/>
                                </m:rPr>
                                <m:t>∣</m:t>
                              </m:r>
                              <m:r>
                                <m:t>G</m:t>
                              </m:r>
                            </m:e>
                          </m:d>
                        </m:den>
                      </m:f>
                    </m:e>
                  </m:rad>
                </m:den>
              </m:f>
            </m:e>
          </m:d>
        </m:oMath>
      </m:oMathPara>
    </w:p>
    <w:p>
      <w:pPr>
        <w:pStyle w:val="FirstParagraph"/>
      </w:pPr>
      <w:r>
        <w:t xml:space="preserve">où</w:t>
      </w:r>
      <w:r>
        <w:t xml:space="preserve"> </w:t>
      </w:r>
      <m:oMath>
        <m:r>
          <m:t>m</m:t>
        </m:r>
        <m:r>
          <m:rPr>
            <m:sty m:val="p"/>
          </m:rPr>
          <m:t>=</m:t>
        </m:r>
        <m:sSub>
          <m:e>
            <m:acc>
              <m:accPr>
                <m:chr m:val="̂"/>
              </m:accPr>
              <m:e>
                <m:r>
                  <m:rPr>
                    <m:sty m:val="p"/>
                    <m:scr m:val="double-struck"/>
                  </m:rPr>
                  <m:t>E</m:t>
                </m:r>
              </m:e>
            </m:acc>
          </m:e>
          <m:sub>
            <m:r>
              <m:t>K</m:t>
            </m:r>
            <m:r>
              <m:t>I</m:t>
            </m:r>
          </m:sub>
        </m:sSub>
        <m:d>
          <m:dPr>
            <m:begChr m:val="["/>
            <m:sepChr m:val=""/>
            <m:endChr m:val="]"/>
            <m:grow/>
          </m:dPr>
          <m:e>
            <m:sSub>
              <m:e>
                <m:r>
                  <m:t>Z</m:t>
                </m:r>
              </m:e>
              <m:sub>
                <m:r>
                  <m:t>0</m:t>
                </m:r>
              </m:sub>
            </m:sSub>
          </m:e>
        </m:d>
      </m:oMath>
      <w:r>
        <w:t xml:space="preserve"> </w:t>
      </w:r>
      <w:r>
        <w:t xml:space="preserve">est la moyenne locale estimée par KI au support ponctuel,</w:t>
      </w:r>
      <w:r>
        <w:t xml:space="preserve"> </w:t>
      </w:r>
      <m:oMath>
        <m:sSup>
          <m:e>
            <m:r>
              <m:t>D</m:t>
            </m:r>
          </m:e>
          <m:sup>
            <m:r>
              <m:t>2</m:t>
            </m:r>
          </m:sup>
        </m:sSup>
        <m:d>
          <m:dPr>
            <m:begChr m:val="("/>
            <m:sepChr m:val=""/>
            <m:endChr m:val=")"/>
            <m:grow/>
          </m:dPr>
          <m:e>
            <m:r>
              <m:t>v</m:t>
            </m:r>
            <m:r>
              <m:rPr>
                <m:sty m:val="p"/>
              </m:rPr>
              <m:t>∣</m:t>
            </m:r>
            <m:r>
              <m:t>G</m:t>
            </m:r>
          </m:e>
        </m:d>
      </m:oMath>
      <w:r>
        <w:t xml:space="preserve"> </w:t>
      </w:r>
      <w:r>
        <w:t xml:space="preserve">la variance de dispersion au support du bloc, et</w:t>
      </w:r>
      <w:r>
        <w:t xml:space="preserve"> </w:t>
      </w:r>
      <m:oMath>
        <m:sSup>
          <m:e>
            <m:r>
              <m:t>D</m:t>
            </m:r>
          </m:e>
          <m:sup>
            <m:r>
              <m:t>2</m:t>
            </m:r>
          </m:sup>
        </m:sSup>
        <m:d>
          <m:dPr>
            <m:begChr m:val="("/>
            <m:sepChr m:val=""/>
            <m:endChr m:val=")"/>
            <m:grow/>
          </m:dPr>
          <m:e>
            <m:r>
              <m:rPr>
                <m:sty m:val="p"/>
              </m:rPr>
              <m:t>⋅</m:t>
            </m:r>
            <m:r>
              <m:rPr>
                <m:sty m:val="p"/>
              </m:rPr>
              <m:t>∣</m:t>
            </m:r>
            <m:r>
              <m:t>G</m:t>
            </m:r>
          </m:e>
        </m:d>
      </m:oMath>
      <w:r>
        <w:t xml:space="preserve"> </w:t>
      </w:r>
      <w:r>
        <w:t xml:space="preserve">celle au support ponctuel. Ici</w:t>
      </w:r>
      <w:r>
        <w:t xml:space="preserve"> </w:t>
      </w:r>
      <m:oMath>
        <m:sSub>
          <m:e>
            <m:acc>
              <m:accPr>
                <m:chr m:val="̂"/>
              </m:accPr>
              <m:e>
                <m:r>
                  <m:t>F</m:t>
                </m:r>
              </m:e>
            </m:acc>
          </m:e>
          <m:sub>
            <m:r>
              <m:t>Z</m:t>
            </m:r>
          </m:sub>
        </m:sSub>
      </m:oMath>
      <w:r>
        <w:t xml:space="preserve"> </w:t>
      </w:r>
      <w:r>
        <w:t xml:space="preserve">est la fonction de répartition estimée au support ponctuel (le</w:t>
      </w:r>
      <w:r>
        <w:t xml:space="preserve"> </w:t>
      </w:r>
      <m:oMath>
        <m:sSub>
          <m:e>
            <m:acc>
              <m:accPr>
                <m:chr m:val="̂"/>
              </m:accPr>
              <m:e>
                <m:r>
                  <m:t>F</m:t>
                </m:r>
              </m:e>
            </m:acc>
          </m:e>
          <m:sub>
            <m:r>
              <m:t>K</m:t>
            </m:r>
            <m:r>
              <m:t>I</m:t>
            </m:r>
          </m:sub>
        </m:sSub>
      </m:oMath>
      <w:r>
        <w:t xml:space="preserve"> </w:t>
      </w:r>
      <w:r>
        <w:t xml:space="preserve">des sections précédentes) et</w:t>
      </w:r>
      <w:r>
        <w:t xml:space="preserve"> </w:t>
      </w:r>
      <m:oMath>
        <m:sSub>
          <m:e>
            <m:acc>
              <m:accPr>
                <m:chr m:val="̂"/>
              </m:accPr>
              <m:e>
                <m:r>
                  <m:t>F</m:t>
                </m:r>
              </m:e>
            </m:acc>
          </m:e>
          <m:sub>
            <m:sSub>
              <m:e>
                <m:r>
                  <m:t>Z</m:t>
                </m:r>
              </m:e>
              <m:sub>
                <m:r>
                  <m:t>v</m:t>
                </m:r>
              </m:sub>
            </m:sSub>
          </m:sub>
        </m:sSub>
      </m:oMath>
      <w:r>
        <w:t xml:space="preserve"> </w:t>
      </w:r>
      <w:r>
        <w:t xml:space="preserve">son homologue au support du bloc.</w:t>
      </w:r>
    </w:p>
    <w:bookmarkEnd w:id="62"/>
    <w:bookmarkStart w:id="63" w:name="exemple-numérique"/>
    <w:p>
      <w:pPr>
        <w:pStyle w:val="Heading3"/>
      </w:pPr>
      <w:r>
        <w:t xml:space="preserve">4.2 Exemple numérique</w:t>
      </w:r>
    </w:p>
    <w:p>
      <w:pPr>
        <w:pStyle w:val="FirstParagraph"/>
      </w:pPr>
      <w:r>
        <w:t xml:space="preserve">On reprend une distribution conditionnelle estimée par KI d’espérance</w:t>
      </w:r>
      <w:r>
        <w:t xml:space="preserve"> </w:t>
      </w:r>
      <m:oMath>
        <m:r>
          <m:t>m</m:t>
        </m:r>
        <m:r>
          <m:rPr>
            <m:sty m:val="p"/>
          </m:rPr>
          <m:t>=</m:t>
        </m:r>
        <m:r>
          <m:t>6</m:t>
        </m:r>
        <m:r>
          <m:rPr>
            <m:sty m:val="p"/>
          </m:rPr>
          <m:t>,</m:t>
        </m:r>
        <m:r>
          <m:t>33</m:t>
        </m:r>
      </m:oMath>
      <w:r>
        <w:t xml:space="preserve">, avec un rapport de variances</w:t>
      </w:r>
      <w:r>
        <w:t xml:space="preserve"> </w:t>
      </w:r>
      <m:oMath>
        <m:sSup>
          <m:e>
            <m:r>
              <m:t>D</m:t>
            </m:r>
          </m:e>
          <m:sup>
            <m:r>
              <m:t>2</m:t>
            </m:r>
          </m:sup>
        </m:sSup>
        <m:d>
          <m:dPr>
            <m:begChr m:val="("/>
            <m:sepChr m:val=""/>
            <m:endChr m:val=")"/>
            <m:grow/>
          </m:dPr>
          <m:e>
            <m:r>
              <m:t>v</m:t>
            </m:r>
            <m:r>
              <m:rPr>
                <m:sty m:val="p"/>
              </m:rPr>
              <m:t>∣</m:t>
            </m:r>
            <m:r>
              <m:t>G</m:t>
            </m:r>
          </m:e>
        </m:d>
        <m:r>
          <m:rPr>
            <m:sty m:val="p"/>
          </m:rPr>
          <m:t>/</m:t>
        </m:r>
        <m:sSup>
          <m:e>
            <m:r>
              <m:t>D</m:t>
            </m:r>
          </m:e>
          <m:sup>
            <m:r>
              <m:t>2</m:t>
            </m:r>
          </m:sup>
        </m:sSup>
        <m:d>
          <m:dPr>
            <m:begChr m:val="("/>
            <m:sepChr m:val=""/>
            <m:endChr m:val=")"/>
            <m:grow/>
          </m:dPr>
          <m:e>
            <m:r>
              <m:rPr>
                <m:sty m:val="p"/>
              </m:rPr>
              <m:t>⋅</m:t>
            </m:r>
            <m:r>
              <m:rPr>
                <m:sty m:val="p"/>
              </m:rPr>
              <m:t>∣</m:t>
            </m:r>
            <m:r>
              <m:t>G</m:t>
            </m:r>
          </m:e>
        </m:d>
        <m:r>
          <m:rPr>
            <m:sty m:val="p"/>
          </m:rPr>
          <m:t>=</m:t>
        </m:r>
        <m:r>
          <m:t>0</m:t>
        </m:r>
        <m:r>
          <m:rPr>
            <m:sty m:val="p"/>
          </m:rPr>
          <m:t>,</m:t>
        </m:r>
        <m:r>
          <m:t>8</m:t>
        </m:r>
      </m:oMath>
      <w:r>
        <w:t xml:space="preserve">. On cherche la probabilité que le bloc dépasse 9. Le seuil ponctuel équivalent est :</w:t>
      </w:r>
    </w:p>
    <w:p>
      <w:pPr>
        <w:pStyle w:val="BodyText"/>
      </w:pPr>
      <m:oMathPara>
        <m:oMathParaPr>
          <m:jc m:val="center"/>
        </m:oMathParaPr>
        <m:oMath>
          <m:sSub>
            <m:e>
              <m:r>
                <m:t>z</m:t>
              </m:r>
            </m:e>
            <m:sub>
              <m:r>
                <m:t>c</m:t>
              </m:r>
            </m:sub>
          </m:sSub>
          <m:r>
            <m:rPr>
              <m:sty m:val="p"/>
            </m:rPr>
            <m:t>′</m:t>
          </m:r>
          <m:r>
            <m:rPr>
              <m:sty m:val="p"/>
            </m:rPr>
            <m:t>=</m:t>
          </m:r>
          <m:f>
            <m:fPr>
              <m:type m:val="bar"/>
            </m:fPr>
            <m:num>
              <m:r>
                <m:t>1</m:t>
              </m:r>
            </m:num>
            <m:den>
              <m:rad>
                <m:radPr>
                  <m:degHide m:val="on"/>
                </m:radPr>
                <m:deg/>
                <m:e>
                  <m:r>
                    <m:t>0</m:t>
                  </m:r>
                  <m:r>
                    <m:rPr>
                      <m:sty m:val="p"/>
                    </m:rPr>
                    <m:t>,</m:t>
                  </m:r>
                  <m:r>
                    <m:t>8</m:t>
                  </m:r>
                </m:e>
              </m:rad>
            </m:den>
          </m:f>
          <m:d>
            <m:dPr>
              <m:begChr m:val="("/>
              <m:sepChr m:val=""/>
              <m:endChr m:val=")"/>
              <m:grow/>
            </m:dPr>
            <m:e>
              <m:r>
                <m:t>9</m:t>
              </m:r>
              <m:r>
                <m:rPr>
                  <m:sty m:val="p"/>
                </m:rPr>
                <m:t>−</m:t>
              </m:r>
              <m:r>
                <m:t>6</m:t>
              </m:r>
              <m:r>
                <m:rPr>
                  <m:sty m:val="p"/>
                </m:rPr>
                <m:t>,</m:t>
              </m:r>
              <m:r>
                <m:t>33</m:t>
              </m:r>
            </m:e>
          </m:d>
          <m:r>
            <m:rPr>
              <m:sty m:val="p"/>
            </m:rPr>
            <m:t>+</m:t>
          </m:r>
          <m:r>
            <m:t>6</m:t>
          </m:r>
          <m:r>
            <m:rPr>
              <m:sty m:val="p"/>
            </m:rPr>
            <m:t>,</m:t>
          </m:r>
          <m:r>
            <m:t>33</m:t>
          </m:r>
          <m:r>
            <m:rPr>
              <m:sty m:val="p"/>
            </m:rPr>
            <m:t>≈</m:t>
          </m:r>
          <m:r>
            <m:t>9</m:t>
          </m:r>
          <m:r>
            <m:rPr>
              <m:sty m:val="p"/>
            </m:rPr>
            <m:t>,</m:t>
          </m:r>
          <m:r>
            <m:t>31</m:t>
          </m:r>
          <m:r>
            <m:rPr>
              <m:sty m:val="p"/>
            </m:rPr>
            <m:t>.</m:t>
          </m:r>
        </m:oMath>
      </m:oMathPara>
    </w:p>
    <w:p>
      <w:pPr>
        <w:pStyle w:val="FirstParagraph"/>
      </w:pPr>
      <w:r>
        <w:t xml:space="preserve">La probabilité de dépasser ce seuil au point vaut alors</w:t>
      </w:r>
      <w:r>
        <w:t xml:space="preserve"> </w:t>
      </w:r>
      <m:oMath>
        <m:acc>
          <m:accPr>
            <m:chr m:val="̂"/>
          </m:accPr>
          <m:e>
            <m:r>
              <m:rPr>
                <m:sty m:val="p"/>
                <m:scr m:val="double-struck"/>
              </m:rPr>
              <m:t>P</m:t>
            </m:r>
          </m:e>
        </m:acc>
        <m:d>
          <m:dPr>
            <m:begChr m:val="("/>
            <m:sepChr m:val=""/>
            <m:endChr m:val=")"/>
            <m:grow/>
          </m:dPr>
          <m:e>
            <m:sSub>
              <m:e>
                <m:r>
                  <m:t>Z</m:t>
                </m:r>
              </m:e>
              <m:sub>
                <m:r>
                  <m:t>v</m:t>
                </m:r>
              </m:sub>
            </m:sSub>
            <m:r>
              <m:rPr>
                <m:sty m:val="p"/>
              </m:rPr>
              <m:t>&gt;</m:t>
            </m:r>
            <m:r>
              <m:t>9</m:t>
            </m:r>
          </m:e>
        </m:d>
        <m:r>
          <m:rPr>
            <m:sty m:val="p"/>
          </m:rPr>
          <m:t>=</m:t>
        </m:r>
        <m:r>
          <m:t>1</m:t>
        </m:r>
        <m:r>
          <m:rPr>
            <m:sty m:val="p"/>
          </m:rPr>
          <m:t>−</m:t>
        </m:r>
        <m:d>
          <m:dPr>
            <m:begChr m:val="("/>
            <m:sepChr m:val=""/>
            <m:endChr m:val=")"/>
            <m:grow/>
          </m:dPr>
          <m:e>
            <m:r>
              <m:t>0</m:t>
            </m:r>
            <m:r>
              <m:rPr>
                <m:sty m:val="p"/>
              </m:rPr>
              <m:t>,</m:t>
            </m:r>
            <m:r>
              <m:t>78</m:t>
            </m:r>
            <m:r>
              <m:rPr>
                <m:sty m:val="p"/>
              </m:rPr>
              <m:t>+</m:t>
            </m:r>
            <m:r>
              <m:t>0</m:t>
            </m:r>
            <m:r>
              <m:rPr>
                <m:sty m:val="p"/>
              </m:rPr>
              <m:t>,</m:t>
            </m:r>
            <m:r>
              <m:t>31</m:t>
            </m:r>
            <m:r>
              <m:rPr>
                <m:sty m:val="p"/>
              </m:rPr>
              <m:t>×</m:t>
            </m:r>
            <m:d>
              <m:dPr>
                <m:begChr m:val="("/>
                <m:sepChr m:val=""/>
                <m:endChr m:val=")"/>
                <m:grow/>
              </m:dPr>
              <m:e>
                <m:r>
                  <m:t>1</m:t>
                </m:r>
                <m:r>
                  <m:rPr>
                    <m:sty m:val="p"/>
                  </m:rPr>
                  <m:t>−</m:t>
                </m:r>
                <m:r>
                  <m:t>0</m:t>
                </m:r>
                <m:r>
                  <m:rPr>
                    <m:sty m:val="p"/>
                  </m:rPr>
                  <m:t>,</m:t>
                </m:r>
                <m:r>
                  <m:t>78</m:t>
                </m:r>
              </m:e>
            </m:d>
          </m:e>
        </m:d>
        <m:r>
          <m:rPr>
            <m:sty m:val="p"/>
          </m:rPr>
          <m:t>=</m:t>
        </m:r>
        <m:r>
          <m:t>0</m:t>
        </m:r>
        <m:r>
          <m:rPr>
            <m:sty m:val="p"/>
          </m:rPr>
          <m:t>,</m:t>
        </m:r>
        <m:r>
          <m:t>15</m:t>
        </m:r>
      </m:oMath>
      <w:r>
        <w:t xml:space="preserve">. La probabilité ponctuelle de dépasser 9, elle, est plus élevée :</w:t>
      </w:r>
      <w:r>
        <w:t xml:space="preserve"> </w:t>
      </w:r>
      <m:oMath>
        <m:acc>
          <m:accPr>
            <m:chr m:val="̂"/>
          </m:accPr>
          <m:e>
            <m:r>
              <m:rPr>
                <m:sty m:val="p"/>
                <m:scr m:val="double-struck"/>
              </m:rPr>
              <m:t>P</m:t>
            </m:r>
          </m:e>
        </m:acc>
        <m:d>
          <m:dPr>
            <m:begChr m:val="("/>
            <m:sepChr m:val=""/>
            <m:endChr m:val=")"/>
            <m:grow/>
          </m:dPr>
          <m:e>
            <m:r>
              <m:t>Z</m:t>
            </m:r>
            <m:r>
              <m:rPr>
                <m:sty m:val="p"/>
              </m:rPr>
              <m:t>&gt;</m:t>
            </m:r>
            <m:r>
              <m:t>9</m:t>
            </m:r>
          </m:e>
        </m:d>
        <m:r>
          <m:rPr>
            <m:sty m:val="p"/>
          </m:rPr>
          <m:t>=</m:t>
        </m:r>
        <m:r>
          <m:t>1</m:t>
        </m:r>
        <m:r>
          <m:rPr>
            <m:sty m:val="p"/>
          </m:rPr>
          <m:t>−</m:t>
        </m:r>
        <m:r>
          <m:t>0</m:t>
        </m:r>
        <m:r>
          <m:rPr>
            <m:sty m:val="p"/>
          </m:rPr>
          <m:t>,</m:t>
        </m:r>
        <m:r>
          <m:t>78</m:t>
        </m:r>
        <m:r>
          <m:rPr>
            <m:sty m:val="p"/>
          </m:rPr>
          <m:t>=</m:t>
        </m:r>
        <m:r>
          <m:t>0</m:t>
        </m:r>
        <m:r>
          <m:rPr>
            <m:sty m:val="p"/>
          </m:rPr>
          <m:t>,</m:t>
        </m:r>
        <m:r>
          <m:t>22</m:t>
        </m:r>
      </m:oMath>
      <w:r>
        <w:t xml:space="preserve">. Le bloc, plus lissé, dépasse le seuil moins souvent que le point.</w:t>
      </w:r>
    </w:p>
    <w:bookmarkEnd w:id="63"/>
    <w:bookmarkStart w:id="68" w:name="limitations-et-remarques"/>
    <w:p>
      <w:pPr>
        <w:pStyle w:val="Heading3"/>
      </w:pPr>
      <w:r>
        <w:t xml:space="preserve">4.3 Limitations et remarques</w:t>
      </w:r>
    </w:p>
    <w:p>
      <w:pPr>
        <w:pStyle w:val="FirstParagraph"/>
      </w:pPr>
      <w:r>
        <w:t xml:space="preserve">La correction affine ne tient pas pour des changements de support trop importants. On la réserve aux cas où le rapport</w:t>
      </w:r>
      <w:r>
        <w:t xml:space="preserve"> </w:t>
      </w:r>
      <m:oMath>
        <m:sSup>
          <m:e>
            <m:r>
              <m:t>D</m:t>
            </m:r>
          </m:e>
          <m:sup>
            <m:r>
              <m:t>2</m:t>
            </m:r>
          </m:sup>
        </m:sSup>
        <m:d>
          <m:dPr>
            <m:begChr m:val="("/>
            <m:sepChr m:val=""/>
            <m:endChr m:val=")"/>
            <m:grow/>
          </m:dPr>
          <m:e>
            <m:r>
              <m:t>v</m:t>
            </m:r>
            <m:r>
              <m:rPr>
                <m:sty m:val="p"/>
              </m:rPr>
              <m:t>∣</m:t>
            </m:r>
            <m:r>
              <m:t>G</m:t>
            </m:r>
          </m:e>
        </m:d>
        <m:r>
          <m:rPr>
            <m:sty m:val="p"/>
          </m:rPr>
          <m:t>/</m:t>
        </m:r>
        <m:sSup>
          <m:e>
            <m:r>
              <m:t>D</m:t>
            </m:r>
          </m:e>
          <m:sup>
            <m:r>
              <m:t>2</m:t>
            </m:r>
          </m:sup>
        </m:sSup>
        <m:d>
          <m:dPr>
            <m:begChr m:val="("/>
            <m:sepChr m:val=""/>
            <m:endChr m:val=")"/>
            <m:grow/>
          </m:dPr>
          <m:e>
            <m:r>
              <m:rPr>
                <m:sty m:val="p"/>
              </m:rPr>
              <m:t>⋅</m:t>
            </m:r>
            <m:r>
              <m:rPr>
                <m:sty m:val="p"/>
              </m:rPr>
              <m:t>∣</m:t>
            </m:r>
            <m:r>
              <m:t>G</m:t>
            </m:r>
          </m:e>
        </m:d>
      </m:oMath>
      <w:r>
        <w:t xml:space="preserve"> </w:t>
      </w:r>
      <w:r>
        <w:t xml:space="preserve">reste de l’ordre de 0,7 ou plus. Au-delà, la forme de l’histogramme se déforme trop et la méthode perd en validité. La</w:t>
      </w:r>
      <w:r>
        <w:t xml:space="preserve"> </w:t>
      </w:r>
      <w:hyperlink w:anchor="fig-C11_CorrectionAfine">
        <w:r>
          <w:rPr>
            <w:rStyle w:val="Hyperlink"/>
          </w:rPr>
          <w:t xml:space="preserve">Figure 5</w:t>
        </w:r>
      </w:hyperlink>
      <w:r>
        <w:t xml:space="preserve"> </w:t>
      </w:r>
      <w:r>
        <w:t xml:space="preserve">montre son effet sur la fonction de répartition : l’écart entre la courbe noire et la courbe rouge n’est qu’une contraction d’amplitude, proportionnelle au rapport des variances.</w:t>
      </w:r>
    </w:p>
    <w:p>
      <w:pPr>
        <w:pStyle w:val="BodyText"/>
      </w:pPr>
      <w:r>
        <w:t xml:space="preserve">Une mise en garde s’impose lorsqu’on applique la correction affine localement, en remplaçant le rapport global par le rapport local propre à chaque bloc. Il a été montré que le coefficient global est en moyenne supérieur au coefficient local : la distribution des teneurs de blocs paraît alors plus sélective qu’elle ne l’est, ce qui biaise l’évaluation des ressources récupérables. Plus fondamentalement, une méthode non paramétrique comme le KI ne reproduit pas, à elle seule, un changement de support, ce qui nécessite de modéliser explicitement les distributions bivariées.</w:t>
      </w:r>
    </w:p>
    <w:p>
      <w:pPr>
        <w:pStyle w:val="BodyText"/>
      </w:pPr>
      <w:r>
        <w:t xml:space="preserve">La méthode ne convient pas non plus lorsque les blocs sont trop grands par rapport à la structure spatiale : le théorème central limite tire alors l’histogramme local vers la normale. Pour ces changements de support délicats, mieux vaut recourir à des simulations géostatistiques ponctuelles conditionnelles : en les agrégeant à l’échelle des blocs, on estime directement la fonction de répartition des supports volumétriques.</w:t>
      </w:r>
    </w:p>
    <w:tbl>
      <w:tblPr>
        <w:tblStyle w:val="Table"/>
        <w:tblW w:type="pct" w:w="5000"/>
        <w:tblLayout w:type="fixed"/>
        <w:tblLook w:firstRow="0" w:lastRow="0" w:firstColumn="0" w:lastColumn="0" w:noHBand="0" w:noVBand="0" w:val="0000"/>
      </w:tblPr>
      <w:tblGrid>
        <w:gridCol w:w="7920"/>
      </w:tblGrid>
      <w:tr>
        <w:tc>
          <w:tcPr/>
          <w:bookmarkStart w:id="67" w:name="fig-C11_CorrectionAfine"/>
          <w:p>
            <w:pPr>
              <w:pStyle w:val="Compact"/>
              <w:jc w:val="center"/>
            </w:pPr>
            <w:r>
              <w:drawing>
                <wp:inline>
                  <wp:extent cx="5334000" cy="4414776"/>
                  <wp:effectExtent b="0" l="0" r="0" t="0"/>
                  <wp:docPr descr="" title="" id="65" name="Picture"/>
                  <a:graphic>
                    <a:graphicData uri="http://schemas.openxmlformats.org/drawingml/2006/picture">
                      <pic:pic>
                        <pic:nvPicPr>
                          <pic:cNvPr descr="images/C11_CorrectionAfine.png" id="66" name="Picture"/>
                          <pic:cNvPicPr>
                            <a:picLocks noChangeArrowheads="1" noChangeAspect="1"/>
                          </pic:cNvPicPr>
                        </pic:nvPicPr>
                        <pic:blipFill>
                          <a:blip r:embed="rId64"/>
                          <a:stretch>
                            <a:fillRect/>
                          </a:stretch>
                        </pic:blipFill>
                        <pic:spPr bwMode="auto">
                          <a:xfrm>
                            <a:off x="0" y="0"/>
                            <a:ext cx="5334000" cy="441477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Impact de la correction affine sur la fonction de répartition.</w:t>
            </w:r>
          </w:p>
          <w:bookmarkEnd w:id="67"/>
        </w:tc>
      </w:tr>
    </w:tbl>
    <w:p>
      <w:pPr>
        <w:pStyle w:val="BodyText"/>
      </w:pPr>
      <w:r>
        <w:t xml:space="preserve">La correction affine reste malgré tout une solution simple et robuste pour adapter le KI aux cas où support d’observation et support d’estimation diffèrent.</w:t>
      </w:r>
    </w:p>
    <w:bookmarkEnd w:id="68"/>
    <w:bookmarkEnd w:id="69"/>
    <w:bookmarkStart w:id="70" w:name="X769660ac39b84ac944c97006e189d047a8fbec3"/>
    <w:p>
      <w:pPr>
        <w:pStyle w:val="Heading2"/>
      </w:pPr>
      <w:r>
        <w:t xml:space="preserve">🧮 Atelier interactif 11.3 — Changement de support affine</w:t>
      </w:r>
    </w:p>
    <w:p>
      <w:pPr>
        <w:pStyle w:val="FirstParagraph"/>
      </w:pPr>
      <w:r>
        <w:t xml:space="preserve">Cet atelier n’est disponible que dans la version web.</w:t>
      </w:r>
    </w:p>
    <w:bookmarkEnd w:id="70"/>
    <w:bookmarkStart w:id="71" w:name="krigeage-simple-dindicatrices"/>
    <w:p>
      <w:pPr>
        <w:pStyle w:val="Heading2"/>
      </w:pPr>
      <w:r>
        <w:t xml:space="preserve">5 Krigeage simple d’indicatrices</w:t>
      </w:r>
    </w:p>
    <w:p>
      <w:pPr>
        <w:pStyle w:val="FirstParagraph"/>
      </w:pPr>
      <w:r>
        <w:t xml:space="preserve">Le krigeage simple d’indicatrices suppose que la fonction de répartition marginale est connue et stationnaire. Pour un seuil</w:t>
      </w:r>
      <w:r>
        <w:t xml:space="preserve"> </w:t>
      </w:r>
      <m:oMath>
        <m:sSub>
          <m:e>
            <m:r>
              <m:t>z</m:t>
            </m:r>
          </m:e>
          <m:sub>
            <m:r>
              <m:t>c</m:t>
            </m:r>
          </m:sub>
        </m:sSub>
      </m:oMath>
      <w:r>
        <w:t xml:space="preserve">, l’espérance de l’indicatrice est alors la proportion globale :</w:t>
      </w:r>
    </w:p>
    <w:p>
      <w:pPr>
        <w:pStyle w:val="BodyText"/>
      </w:pPr>
      <m:oMathPara>
        <m:oMathParaPr>
          <m:jc m:val="center"/>
        </m:oMathParaPr>
        <m:oMath>
          <m:sSub>
            <m:e>
              <m:r>
                <m:t>F</m:t>
              </m:r>
            </m:e>
            <m:sub>
              <m:r>
                <m:t>Z</m:t>
              </m:r>
            </m:sub>
          </m:sSub>
          <m:d>
            <m:dPr>
              <m:begChr m:val="("/>
              <m:sepChr m:val=""/>
              <m:endChr m:val=")"/>
              <m:grow/>
            </m:dPr>
            <m:e>
              <m:sSub>
                <m:e>
                  <m:r>
                    <m:t>z</m:t>
                  </m:r>
                </m:e>
                <m:sub>
                  <m:r>
                    <m:t>c</m:t>
                  </m:r>
                </m:sub>
              </m:sSub>
            </m:e>
          </m:d>
          <m:r>
            <m:rPr>
              <m:sty m:val="p"/>
            </m:rPr>
            <m:t>=</m:t>
          </m:r>
          <m:r>
            <m:rPr>
              <m:sty m:val="p"/>
              <m:scr m:val="double-struck"/>
            </m:rPr>
            <m:t>P</m:t>
          </m:r>
          <m:d>
            <m:dPr>
              <m:begChr m:val="("/>
              <m:sepChr m:val=""/>
              <m:endChr m:val=")"/>
              <m:grow/>
            </m:dPr>
            <m:e>
              <m:r>
                <m:t>Z</m:t>
              </m:r>
              <m:d>
                <m:dPr>
                  <m:begChr m:val="("/>
                  <m:sepChr m:val=""/>
                  <m:endChr m:val=")"/>
                  <m:grow/>
                </m:dPr>
                <m:e>
                  <m:r>
                    <m:rPr>
                      <m:sty m:val="b"/>
                    </m:rPr>
                    <m:t>x</m:t>
                  </m:r>
                </m:e>
              </m:d>
              <m:r>
                <m:rPr>
                  <m:sty m:val="p"/>
                </m:rPr>
                <m:t>≤</m:t>
              </m:r>
              <m:sSub>
                <m:e>
                  <m:r>
                    <m:t>z</m:t>
                  </m:r>
                </m:e>
                <m:sub>
                  <m:r>
                    <m:t>c</m:t>
                  </m:r>
                </m:sub>
              </m:sSub>
            </m:e>
          </m:d>
        </m:oMath>
      </m:oMathPara>
    </w:p>
    <w:p>
      <w:pPr>
        <w:pStyle w:val="FirstParagraph"/>
      </w:pPr>
      <w:r>
        <w:t xml:space="preserve">Cette proportion joue le rôle de moyenne connue du champ d’indicatrices. L’estimateur de krigeage simple de l’indicatrice au point</w:t>
      </w:r>
      <w:r>
        <w:t xml:space="preserve"> </w:t>
      </w:r>
      <m:oMath>
        <m:r>
          <m:rPr>
            <m:sty m:val="b"/>
          </m:rPr>
          <m:t>x</m:t>
        </m:r>
      </m:oMath>
      <w:r>
        <w:t xml:space="preserve"> </w:t>
      </w:r>
      <w:r>
        <w:t xml:space="preserve">s’écrit :</w:t>
      </w:r>
    </w:p>
    <w:p>
      <w:pPr>
        <w:pStyle w:val="BodyText"/>
      </w:pPr>
      <m:oMathPara>
        <m:oMathParaPr>
          <m:jc m:val="center"/>
        </m:oMathParaPr>
        <m:oMath>
          <m:sSup>
            <m:e>
              <m:r>
                <m:t>I</m:t>
              </m:r>
            </m:e>
            <m:sup>
              <m:r>
                <m:rPr>
                  <m:sty m:val="p"/>
                </m:rPr>
                <m:t>*</m:t>
              </m:r>
            </m:sup>
          </m:sSup>
          <m:d>
            <m:dPr>
              <m:begChr m:val="("/>
              <m:sepChr m:val=""/>
              <m:endChr m:val=")"/>
              <m:grow/>
            </m:dPr>
            <m:e>
              <m:r>
                <m:rPr>
                  <m:sty m:val="b"/>
                </m:rPr>
                <m:t>x</m:t>
              </m:r>
              <m:r>
                <m:rPr>
                  <m:sty m:val="p"/>
                </m:rPr>
                <m:t>;</m:t>
              </m:r>
              <m:sSub>
                <m:e>
                  <m:r>
                    <m:t>z</m:t>
                  </m:r>
                </m:e>
                <m:sub>
                  <m:r>
                    <m:t>c</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I</m:t>
          </m:r>
          <m:d>
            <m:dPr>
              <m:begChr m:val="("/>
              <m:sepChr m:val=""/>
              <m:endChr m:val=")"/>
              <m:grow/>
            </m:dPr>
            <m:e>
              <m:sSub>
                <m:e>
                  <m:r>
                    <m:rPr>
                      <m:sty m:val="b"/>
                    </m:rPr>
                    <m:t>x</m:t>
                  </m:r>
                </m:e>
                <m:sub>
                  <m:r>
                    <m:t>i</m:t>
                  </m:r>
                </m:sub>
              </m:sSub>
              <m:r>
                <m:rPr>
                  <m:sty m:val="p"/>
                </m:rPr>
                <m:t>;</m:t>
              </m:r>
              <m:sSub>
                <m:e>
                  <m:r>
                    <m:t>z</m:t>
                  </m:r>
                </m:e>
                <m:sub>
                  <m:r>
                    <m:t>c</m:t>
                  </m:r>
                </m:sub>
              </m:sSub>
            </m:e>
          </m:d>
          <m:r>
            <m:rPr>
              <m:sty m:val="p"/>
            </m:rPr>
            <m:t>+</m:t>
          </m:r>
          <m:d>
            <m:dPr>
              <m:begChr m:val="("/>
              <m:sepChr m:val=""/>
              <m:endChr m:val=")"/>
              <m:grow/>
            </m:dPr>
            <m:e>
              <m:r>
                <m:t>1</m:t>
              </m:r>
              <m:r>
                <m:rPr>
                  <m:sty m:val="p"/>
                </m:rPr>
                <m:t>−</m:t>
              </m:r>
              <m:nary>
                <m:naryPr>
                  <m:chr m:val="∑"/>
                  <m:limLoc m:val="undOvr"/>
                  <m:subHide m:val="off"/>
                  <m:supHide m:val="off"/>
                </m:naryPr>
                <m:sub>
                  <m:r>
                    <m:t>i</m:t>
                  </m:r>
                  <m:r>
                    <m:rPr>
                      <m:sty m:val="p"/>
                    </m:rPr>
                    <m:t>=</m:t>
                  </m:r>
                  <m:r>
                    <m:t>1</m:t>
                  </m:r>
                </m:sub>
                <m:sup>
                  <m:r>
                    <m:t>n</m:t>
                  </m:r>
                </m:sup>
                <m:e>
                  <m:sSub>
                    <m:e>
                      <m:r>
                        <m:t>λ</m:t>
                      </m:r>
                    </m:e>
                    <m:sub>
                      <m:r>
                        <m:t>i</m:t>
                      </m:r>
                    </m:sub>
                  </m:sSub>
                </m:e>
              </m:nary>
            </m:e>
          </m:d>
          <m:sSub>
            <m:e>
              <m:r>
                <m:t>F</m:t>
              </m:r>
            </m:e>
            <m:sub>
              <m:r>
                <m:t>Z</m:t>
              </m:r>
            </m:sub>
          </m:sSub>
          <m:d>
            <m:dPr>
              <m:begChr m:val="("/>
              <m:sepChr m:val=""/>
              <m:endChr m:val=")"/>
              <m:grow/>
            </m:dPr>
            <m:e>
              <m:sSub>
                <m:e>
                  <m:r>
                    <m:t>z</m:t>
                  </m:r>
                </m:e>
                <m:sub>
                  <m:r>
                    <m:t>c</m:t>
                  </m:r>
                </m:sub>
              </m:sSub>
            </m:e>
          </m:d>
        </m:oMath>
      </m:oMathPara>
    </w:p>
    <w:p>
      <w:pPr>
        <w:pStyle w:val="FirstParagraph"/>
      </w:pPr>
      <w:r>
        <w:t xml:space="preserve">Les poids</w:t>
      </w:r>
      <w:r>
        <w:t xml:space="preserve"> </w:t>
      </w:r>
      <m:oMath>
        <m:sSub>
          <m:e>
            <m:r>
              <m:t>λ</m:t>
            </m:r>
          </m:e>
          <m:sub>
            <m:r>
              <m:t>i</m:t>
            </m:r>
          </m:sub>
        </m:sSub>
      </m:oMath>
      <w:r>
        <w:t xml:space="preserve"> </w:t>
      </w:r>
      <w:r>
        <w:t xml:space="preserve">se calculent comme au krigeage simple habituel, mais sur des indicatrices, avec la fonction de répartition globale comme moyenne. Cet estimateur approche l’espérance conditionnelle :</w:t>
      </w:r>
    </w:p>
    <w:p>
      <w:pPr>
        <w:pStyle w:val="BodyText"/>
      </w:pPr>
      <m:oMathPara>
        <m:oMathParaPr>
          <m:jc m:val="center"/>
        </m:oMathParaPr>
        <m:oMath>
          <m:sSup>
            <m:e>
              <m:r>
                <m:t>I</m:t>
              </m:r>
            </m:e>
            <m:sup>
              <m:r>
                <m:rPr>
                  <m:sty m:val="p"/>
                </m:rPr>
                <m:t>*</m:t>
              </m:r>
            </m:sup>
          </m:sSup>
          <m:d>
            <m:dPr>
              <m:begChr m:val="("/>
              <m:sepChr m:val=""/>
              <m:endChr m:val=")"/>
              <m:grow/>
            </m:dPr>
            <m:e>
              <m:r>
                <m:rPr>
                  <m:sty m:val="b"/>
                </m:rPr>
                <m:t>x</m:t>
              </m:r>
              <m:r>
                <m:rPr>
                  <m:sty m:val="p"/>
                </m:rPr>
                <m:t>;</m:t>
              </m:r>
              <m:sSub>
                <m:e>
                  <m:r>
                    <m:t>z</m:t>
                  </m:r>
                </m:e>
                <m:sub>
                  <m:r>
                    <m:t>c</m:t>
                  </m:r>
                </m:sub>
              </m:sSub>
            </m:e>
          </m:d>
          <m:r>
            <m:rPr>
              <m:sty m:val="p"/>
            </m:rPr>
            <m:t>≈</m:t>
          </m:r>
          <m:r>
            <m:rPr>
              <m:sty m:val="p"/>
              <m:scr m:val="double-struck"/>
            </m:rPr>
            <m:t>E</m:t>
          </m:r>
          <m:d>
            <m:dPr>
              <m:begChr m:val="["/>
              <m:sepChr m:val=""/>
              <m:endChr m:val="]"/>
              <m:grow/>
            </m:dPr>
            <m:e>
              <m:r>
                <m:t>I</m:t>
              </m:r>
              <m:d>
                <m:dPr>
                  <m:begChr m:val="("/>
                  <m:sepChr m:val=""/>
                  <m:endChr m:val=")"/>
                  <m:grow/>
                </m:dPr>
                <m:e>
                  <m:r>
                    <m:rPr>
                      <m:sty m:val="b"/>
                    </m:rPr>
                    <m:t>x</m:t>
                  </m:r>
                  <m:r>
                    <m:rPr>
                      <m:sty m:val="p"/>
                    </m:rPr>
                    <m:t>;</m:t>
                  </m:r>
                  <m:sSub>
                    <m:e>
                      <m:r>
                        <m:t>z</m:t>
                      </m:r>
                    </m:e>
                    <m:sub>
                      <m:r>
                        <m:t>c</m:t>
                      </m:r>
                    </m:sub>
                  </m:sSub>
                </m:e>
              </m:d>
              <m:r>
                <m:rPr>
                  <m:sty m:val="p"/>
                </m:rPr>
                <m:t>∣</m:t>
              </m:r>
              <m:r>
                <m:t>I</m:t>
              </m:r>
              <m:d>
                <m:dPr>
                  <m:begChr m:val="("/>
                  <m:sepChr m:val=""/>
                  <m:endChr m:val=")"/>
                  <m:grow/>
                </m:dPr>
                <m:e>
                  <m:sSub>
                    <m:e>
                      <m:r>
                        <m:rPr>
                          <m:sty m:val="b"/>
                        </m:rPr>
                        <m:t>x</m:t>
                      </m:r>
                    </m:e>
                    <m:sub>
                      <m:r>
                        <m:t>1</m:t>
                      </m:r>
                    </m:sub>
                  </m:sSub>
                  <m:r>
                    <m:rPr>
                      <m:sty m:val="p"/>
                    </m:rPr>
                    <m:t>;</m:t>
                  </m:r>
                  <m:sSub>
                    <m:e>
                      <m:r>
                        <m:t>z</m:t>
                      </m:r>
                    </m:e>
                    <m:sub>
                      <m:r>
                        <m:t>c</m:t>
                      </m:r>
                    </m:sub>
                  </m:sSub>
                </m:e>
              </m:d>
              <m:r>
                <m:rPr>
                  <m:sty m:val="p"/>
                </m:rPr>
                <m:t>,</m:t>
              </m:r>
              <m:r>
                <m:rPr>
                  <m:sty m:val="p"/>
                </m:rPr>
                <m:t>…</m:t>
              </m:r>
              <m:r>
                <m:rPr>
                  <m:sty m:val="p"/>
                </m:rPr>
                <m:t>,</m:t>
              </m:r>
              <m:r>
                <m:t>I</m:t>
              </m:r>
              <m:d>
                <m:dPr>
                  <m:begChr m:val="("/>
                  <m:sepChr m:val=""/>
                  <m:endChr m:val=")"/>
                  <m:grow/>
                </m:dPr>
                <m:e>
                  <m:sSub>
                    <m:e>
                      <m:r>
                        <m:rPr>
                          <m:sty m:val="b"/>
                        </m:rPr>
                        <m:t>x</m:t>
                      </m:r>
                    </m:e>
                    <m:sub>
                      <m:r>
                        <m:t>n</m:t>
                      </m:r>
                    </m:sub>
                  </m:sSub>
                  <m:r>
                    <m:rPr>
                      <m:sty m:val="p"/>
                    </m:rPr>
                    <m:t>;</m:t>
                  </m:r>
                  <m:sSub>
                    <m:e>
                      <m:r>
                        <m:t>z</m:t>
                      </m:r>
                    </m:e>
                    <m:sub>
                      <m:r>
                        <m:t>c</m:t>
                      </m:r>
                    </m:sub>
                  </m:sSub>
                </m:e>
              </m:d>
            </m:e>
          </m:d>
          <m:r>
            <m:rPr>
              <m:sty m:val="p"/>
            </m:rPr>
            <m:t>=</m:t>
          </m:r>
          <m:r>
            <m:rPr>
              <m:sty m:val="p"/>
              <m:scr m:val="double-struck"/>
            </m:rPr>
            <m:t>P</m:t>
          </m:r>
          <m:d>
            <m:dPr>
              <m:begChr m:val="("/>
              <m:sepChr m:val=""/>
              <m:endChr m:val=")"/>
              <m:grow/>
            </m:dPr>
            <m:e>
              <m:r>
                <m:t>Z</m:t>
              </m:r>
              <m:d>
                <m:dPr>
                  <m:begChr m:val="("/>
                  <m:sepChr m:val=""/>
                  <m:endChr m:val=")"/>
                  <m:grow/>
                </m:dPr>
                <m:e>
                  <m:r>
                    <m:rPr>
                      <m:sty m:val="b"/>
                    </m:rPr>
                    <m:t>x</m:t>
                  </m:r>
                </m:e>
              </m:d>
              <m:r>
                <m:rPr>
                  <m:sty m:val="p"/>
                </m:rPr>
                <m:t>≤</m:t>
              </m:r>
              <m:sSub>
                <m:e>
                  <m:r>
                    <m:t>z</m:t>
                  </m:r>
                </m:e>
                <m:sub>
                  <m:r>
                    <m:t>c</m:t>
                  </m:r>
                </m:sub>
              </m:sSub>
              <m:r>
                <m:rPr>
                  <m:sty m:val="p"/>
                </m:rPr>
                <m:t>∣</m:t>
              </m:r>
              <m:r>
                <m:t>Z</m:t>
              </m:r>
              <m:d>
                <m:dPr>
                  <m:begChr m:val="("/>
                  <m:sepChr m:val=""/>
                  <m:endChr m:val=")"/>
                  <m:grow/>
                </m:dPr>
                <m:e>
                  <m:sSub>
                    <m:e>
                      <m:r>
                        <m:rPr>
                          <m:sty m:val="b"/>
                        </m:rPr>
                        <m:t>x</m:t>
                      </m:r>
                    </m:e>
                    <m:sub>
                      <m:r>
                        <m:t>1</m:t>
                      </m:r>
                    </m:sub>
                  </m:sSub>
                </m:e>
              </m:d>
              <m:r>
                <m:rPr>
                  <m:sty m:val="p"/>
                </m:rPr>
                <m:t>,</m:t>
              </m:r>
              <m:r>
                <m:rPr>
                  <m:sty m:val="p"/>
                </m:rPr>
                <m:t>…</m:t>
              </m:r>
              <m:r>
                <m:rPr>
                  <m:sty m:val="p"/>
                </m:rPr>
                <m:t>,</m:t>
              </m:r>
              <m:r>
                <m:t>Z</m:t>
              </m:r>
              <m:d>
                <m:dPr>
                  <m:begChr m:val="("/>
                  <m:sepChr m:val=""/>
                  <m:endChr m:val=")"/>
                  <m:grow/>
                </m:dPr>
                <m:e>
                  <m:sSub>
                    <m:e>
                      <m:r>
                        <m:rPr>
                          <m:sty m:val="b"/>
                        </m:rPr>
                        <m:t>x</m:t>
                      </m:r>
                    </m:e>
                    <m:sub>
                      <m:r>
                        <m:t>n</m:t>
                      </m:r>
                    </m:sub>
                  </m:sSub>
                </m:e>
              </m:d>
            </m:e>
          </m:d>
        </m:oMath>
      </m:oMathPara>
    </w:p>
    <w:p>
      <w:pPr>
        <w:pStyle w:val="FirstParagraph"/>
      </w:pPr>
      <w:r>
        <w:t xml:space="preserve">Il fournit donc directement une estimation de la fonction de répartition conditionnelle locale au seuil</w:t>
      </w:r>
      <w:r>
        <w:t xml:space="preserve"> </w:t>
      </w:r>
      <m:oMath>
        <m:sSub>
          <m:e>
            <m:r>
              <m:t>z</m:t>
            </m:r>
          </m:e>
          <m:sub>
            <m:r>
              <m:t>c</m:t>
            </m:r>
          </m:sub>
        </m:sSub>
      </m:oMath>
      <w:r>
        <w:t xml:space="preserve">.</w:t>
      </w:r>
    </w:p>
    <w:p>
      <w:pPr>
        <w:pStyle w:val="BodyText"/>
      </w:pPr>
      <w:r>
        <w:t xml:space="preserve">Le krigeage simple d’indicatrices est stable. Quand l’information locale est faible ou peu corrélée, l’estimation tend d’elle-même vers la proportion globale</w:t>
      </w:r>
      <w:r>
        <w:t xml:space="preserve"> </w:t>
      </w:r>
      <m:oMath>
        <m:sSub>
          <m:e>
            <m:r>
              <m:t>F</m:t>
            </m:r>
          </m:e>
          <m:sub>
            <m:r>
              <m:t>Z</m:t>
            </m:r>
          </m:sub>
        </m:sSub>
        <m:d>
          <m:dPr>
            <m:begChr m:val="("/>
            <m:sepChr m:val=""/>
            <m:endChr m:val=")"/>
            <m:grow/>
          </m:dPr>
          <m:e>
            <m:sSub>
              <m:e>
                <m:r>
                  <m:t>z</m:t>
                </m:r>
              </m:e>
              <m:sub>
                <m:r>
                  <m:t>c</m:t>
                </m:r>
              </m:sub>
            </m:sSub>
          </m:e>
        </m:d>
      </m:oMath>
      <w:r>
        <w:t xml:space="preserve">. C’est ce qui le rend plus robuste que le krigeage ordinaire d’indicatrices sur des données éparses ou dans des voisinages peu informatifs.</w:t>
      </w:r>
    </w:p>
    <w:p>
      <w:pPr>
        <w:pStyle w:val="BodyText"/>
      </w:pPr>
      <w:r>
        <w:t xml:space="preserve">À la limite d’un effet de pépite pur, sans aucune corrélation spatiale, les poids s’annulent et l’estimation se réduit à :</w:t>
      </w:r>
    </w:p>
    <w:p>
      <w:pPr>
        <w:pStyle w:val="BodyText"/>
      </w:pPr>
      <m:oMathPara>
        <m:oMathParaPr>
          <m:jc m:val="center"/>
        </m:oMathParaPr>
        <m:oMath>
          <m:sSup>
            <m:e>
              <m:r>
                <m:t>I</m:t>
              </m:r>
            </m:e>
            <m:sup>
              <m:r>
                <m:rPr>
                  <m:sty m:val="p"/>
                </m:rPr>
                <m:t>*</m:t>
              </m:r>
            </m:sup>
          </m:sSup>
          <m:d>
            <m:dPr>
              <m:begChr m:val="("/>
              <m:sepChr m:val=""/>
              <m:endChr m:val=")"/>
              <m:grow/>
            </m:dPr>
            <m:e>
              <m:r>
                <m:rPr>
                  <m:sty m:val="b"/>
                </m:rPr>
                <m:t>x</m:t>
              </m:r>
              <m:r>
                <m:rPr>
                  <m:sty m:val="p"/>
                </m:rPr>
                <m:t>;</m:t>
              </m:r>
              <m:sSub>
                <m:e>
                  <m:r>
                    <m:t>z</m:t>
                  </m:r>
                </m:e>
                <m:sub>
                  <m:r>
                    <m:t>c</m:t>
                  </m:r>
                </m:sub>
              </m:sSub>
            </m:e>
          </m:d>
          <m:r>
            <m:rPr>
              <m:sty m:val="p"/>
            </m:rPr>
            <m:t>=</m:t>
          </m:r>
          <m:sSub>
            <m:e>
              <m:r>
                <m:t>F</m:t>
              </m:r>
            </m:e>
            <m:sub>
              <m:r>
                <m:t>Z</m:t>
              </m:r>
            </m:sub>
          </m:sSub>
          <m:d>
            <m:dPr>
              <m:begChr m:val="("/>
              <m:sepChr m:val=""/>
              <m:endChr m:val=")"/>
              <m:grow/>
            </m:dPr>
            <m:e>
              <m:sSub>
                <m:e>
                  <m:r>
                    <m:t>z</m:t>
                  </m:r>
                </m:e>
                <m:sub>
                  <m:r>
                    <m:t>c</m:t>
                  </m:r>
                </m:sub>
              </m:sSub>
            </m:e>
          </m:d>
        </m:oMath>
      </m:oMathPara>
    </w:p>
    <w:p>
      <w:pPr>
        <w:pStyle w:val="FirstParagraph"/>
      </w:pPr>
      <w:r>
        <w:t xml:space="preserve">Il n’y a alors plus d’information locale exploitable : impossible de discriminer spatialement les probabilités de dépassement, on retombe sur la proportion globale.</w:t>
      </w:r>
    </w:p>
    <w:bookmarkEnd w:id="71"/>
    <w:bookmarkStart w:id="72" w:name="applications-du-krigeage-dindicatrices"/>
    <w:p>
      <w:pPr>
        <w:pStyle w:val="Heading2"/>
      </w:pPr>
      <w:r>
        <w:t xml:space="preserve">6 Applications du krigeage d’indicatrices</w:t>
      </w:r>
    </w:p>
    <w:p>
      <w:pPr>
        <w:pStyle w:val="FirstParagraph"/>
      </w:pPr>
      <w:r>
        <w:t xml:space="preserve">Le krigeage d’indicatrices se justifie lorsque la grandeur recherchée est une fonction non linéaire de la teneur, hors de portée du krigeage ordinaire (KO) ou simple (KS), qui estiment la teneur moyenne.</w:t>
      </w:r>
    </w:p>
    <w:p>
      <w:pPr>
        <w:pStyle w:val="BodyText"/>
      </w:pPr>
      <w:r>
        <w:t xml:space="preserve">Le KO et le KS estiment la valeur moyenne</w:t>
      </w:r>
      <w:r>
        <w:t xml:space="preserve"> </w:t>
      </w:r>
      <m:oMath>
        <m:sSubSup>
          <m:e>
            <m:r>
              <m:t>Z</m:t>
            </m:r>
          </m:e>
          <m:sub>
            <m:r>
              <m:t>0</m:t>
            </m:r>
          </m:sub>
          <m:sup>
            <m:r>
              <m:rPr>
                <m:sty m:val="p"/>
              </m:rPr>
              <m:t>*</m:t>
            </m:r>
          </m:sup>
        </m:sSubSup>
      </m:oMath>
      <w:r>
        <w:t xml:space="preserve"> </w:t>
      </w:r>
      <w:r>
        <w:t xml:space="preserve">: une estimation lissée, optimale au sens de l’erreur quadratique. Or beaucoup de questions pratiques ne portent pas sur la moyenne, mais sur une fonction non linéaire de la teneur.</w:t>
      </w:r>
    </w:p>
    <w:p>
      <w:pPr>
        <w:pStyle w:val="Compact"/>
        <w:numPr>
          <w:ilvl w:val="0"/>
          <w:numId w:val="1006"/>
        </w:numPr>
      </w:pPr>
      <w:r>
        <w:rPr>
          <w:i/>
          <w:iCs/>
        </w:rPr>
        <w:t xml:space="preserve">Ce sol dépasse-t-il le seuil réglementaire de contamination?</w:t>
      </w:r>
      <w:r>
        <w:t xml:space="preserve"> </w:t>
      </w:r>
      <w:r>
        <w:t xml:space="preserve">On veut</w:t>
      </w:r>
      <w:r>
        <w:t xml:space="preserve"> </w:t>
      </w:r>
      <m:oMath>
        <m:r>
          <m:rPr>
            <m:sty m:val="p"/>
            <m:scr m:val="double-struck"/>
          </m:rPr>
          <m:t>P</m:t>
        </m:r>
        <m:d>
          <m:dPr>
            <m:begChr m:val="("/>
            <m:sepChr m:val=""/>
            <m:endChr m:val=")"/>
            <m:grow/>
          </m:dPr>
          <m:e>
            <m:r>
              <m:t>Z</m:t>
            </m:r>
            <m:d>
              <m:dPr>
                <m:begChr m:val="("/>
                <m:sepChr m:val=""/>
                <m:endChr m:val=")"/>
                <m:grow/>
              </m:dPr>
              <m:e>
                <m:sSub>
                  <m:e>
                    <m:r>
                      <m:rPr>
                        <m:sty m:val="b"/>
                      </m:rPr>
                      <m:t>x</m:t>
                    </m:r>
                  </m:e>
                  <m:sub>
                    <m:r>
                      <m:t>0</m:t>
                    </m:r>
                  </m:sub>
                </m:sSub>
              </m:e>
            </m:d>
            <m:r>
              <m:rPr>
                <m:sty m:val="p"/>
              </m:rPr>
              <m:t>&gt;</m:t>
            </m:r>
            <m:sSub>
              <m:e>
                <m:r>
                  <m:t>z</m:t>
                </m:r>
              </m:e>
              <m:sub>
                <m:r>
                  <m:t>c</m:t>
                </m:r>
              </m:sub>
            </m:sSub>
          </m:e>
        </m:d>
      </m:oMath>
      <w:r>
        <w:t xml:space="preserve">, pas</w:t>
      </w:r>
      <w:r>
        <w:t xml:space="preserve"> </w:t>
      </w:r>
      <m:oMath>
        <m:sSubSup>
          <m:e>
            <m:r>
              <m:t>Z</m:t>
            </m:r>
          </m:e>
          <m:sub>
            <m:r>
              <m:t>0</m:t>
            </m:r>
          </m:sub>
          <m:sup>
            <m:r>
              <m:rPr>
                <m:sty m:val="p"/>
              </m:rPr>
              <m:t>*</m:t>
            </m:r>
          </m:sup>
        </m:sSubSup>
      </m:oMath>
      <w:r>
        <w:t xml:space="preserve">.</w:t>
      </w:r>
    </w:p>
    <w:p>
      <w:pPr>
        <w:pStyle w:val="Compact"/>
        <w:numPr>
          <w:ilvl w:val="0"/>
          <w:numId w:val="1006"/>
        </w:numPr>
      </w:pPr>
      <w:r>
        <w:rPr>
          <w:i/>
          <w:iCs/>
        </w:rPr>
        <w:t xml:space="preserve">Quel tonnage de minerai dépasse la teneur de coupure, et à quelle teneur?</w:t>
      </w:r>
      <w:r>
        <w:t xml:space="preserve"> </w:t>
      </w:r>
      <w:r>
        <w:t xml:space="preserve">On veut le</w:t>
      </w:r>
      <w:r>
        <w:t xml:space="preserve"> </w:t>
      </w:r>
      <w:r>
        <w:rPr>
          <w:b/>
          <w:bCs/>
        </w:rPr>
        <w:t xml:space="preserve">tonnage récupérable</w:t>
      </w:r>
      <w:r>
        <w:t xml:space="preserve"> </w:t>
      </w:r>
      <m:oMath>
        <m:r>
          <m:t>T</m:t>
        </m:r>
        <m:d>
          <m:dPr>
            <m:begChr m:val="("/>
            <m:sepChr m:val=""/>
            <m:endChr m:val=")"/>
            <m:grow/>
          </m:dPr>
          <m:e>
            <m:sSub>
              <m:e>
                <m:r>
                  <m:t>z</m:t>
                </m:r>
              </m:e>
              <m:sub>
                <m:r>
                  <m:t>c</m:t>
                </m:r>
              </m:sub>
            </m:sSub>
          </m:e>
        </m:d>
        <m:r>
          <m:rPr>
            <m:sty m:val="p"/>
          </m:rPr>
          <m:t>=</m:t>
        </m:r>
        <m:r>
          <m:t>1</m:t>
        </m:r>
        <m:r>
          <m:rPr>
            <m:sty m:val="p"/>
          </m:rPr>
          <m:t>−</m:t>
        </m:r>
        <m:r>
          <m:t>F</m:t>
        </m:r>
        <m:d>
          <m:dPr>
            <m:begChr m:val="("/>
            <m:sepChr m:val=""/>
            <m:endChr m:val=")"/>
            <m:grow/>
          </m:dPr>
          <m:e>
            <m:sSub>
              <m:e>
                <m:r>
                  <m:t>z</m:t>
                </m:r>
              </m:e>
              <m:sub>
                <m:r>
                  <m:t>c</m:t>
                </m:r>
              </m:sub>
            </m:sSub>
          </m:e>
        </m:d>
      </m:oMath>
      <w:r>
        <w:t xml:space="preserve"> </w:t>
      </w:r>
      <w:r>
        <w:t xml:space="preserve">et la</w:t>
      </w:r>
      <w:r>
        <w:t xml:space="preserve"> </w:t>
      </w:r>
      <w:r>
        <w:rPr>
          <w:b/>
          <w:bCs/>
        </w:rPr>
        <w:t xml:space="preserve">quantité de métal</w:t>
      </w:r>
      <w:r>
        <w:t xml:space="preserve"> </w:t>
      </w:r>
      <m:oMath>
        <m:r>
          <m:t>Q</m:t>
        </m:r>
        <m:d>
          <m:dPr>
            <m:begChr m:val="("/>
            <m:sepChr m:val=""/>
            <m:endChr m:val=")"/>
            <m:grow/>
          </m:dPr>
          <m:e>
            <m:sSub>
              <m:e>
                <m:r>
                  <m:t>z</m:t>
                </m:r>
              </m:e>
              <m:sub>
                <m:r>
                  <m:t>c</m:t>
                </m:r>
              </m:sub>
            </m:sSub>
          </m:e>
        </m:d>
        <m:r>
          <m:rPr>
            <m:sty m:val="p"/>
          </m:rPr>
          <m:t>=</m:t>
        </m:r>
        <m:nary>
          <m:naryPr>
            <m:chr m:val="∫"/>
            <m:limLoc m:val="subSup"/>
            <m:subHide m:val="off"/>
            <m:supHide m:val="off"/>
          </m:naryPr>
          <m:sub>
            <m:sSub>
              <m:e>
                <m:r>
                  <m:t>z</m:t>
                </m:r>
              </m:e>
              <m:sub>
                <m:r>
                  <m:t>c</m:t>
                </m:r>
              </m:sub>
            </m:sSub>
          </m:sub>
          <m:sup>
            <m:r>
              <m:rPr>
                <m:sty m:val="p"/>
              </m:rPr>
              <m:t>∞</m:t>
            </m:r>
          </m:sup>
          <m:e>
            <m:r>
              <m:t>z</m:t>
            </m:r>
          </m:e>
        </m:nary>
        <m:r>
          <m:t> </m:t>
        </m:r>
        <m:r>
          <m:rPr>
            <m:sty m:val="p"/>
          </m:rPr>
          <m:t>d</m:t>
        </m:r>
        <m:r>
          <m:t>F</m:t>
        </m:r>
        <m:d>
          <m:dPr>
            <m:begChr m:val="("/>
            <m:sepChr m:val=""/>
            <m:endChr m:val=")"/>
            <m:grow/>
          </m:dPr>
          <m:e>
            <m:r>
              <m:t>z</m:t>
            </m:r>
          </m:e>
        </m:d>
      </m:oMath>
      <w:r>
        <w:t xml:space="preserve">, deux intégrales de la distribution locale au-dessus de la coupure.</w:t>
      </w:r>
    </w:p>
    <w:p>
      <w:pPr>
        <w:pStyle w:val="FirstParagraph"/>
      </w:pPr>
      <w:r>
        <w:t xml:space="preserve">Sur ces questions, le seuil de la carte du KO (ou KS) fournit une réponse biaisée. Le lissage atténue les valeurs extrêmes et déforme les proportions au-delà du seuil, d’autant plus que la distribution est asymétrique (la loi log-normale, typique des teneurs). Le KI, lui, estime directement la distribution conditionnelle locale</w:t>
      </w:r>
      <w:r>
        <w:t xml:space="preserve"> </w:t>
      </w:r>
      <m:oMath>
        <m:sSub>
          <m:e>
            <m:acc>
              <m:accPr>
                <m:chr m:val="̂"/>
              </m:accPr>
              <m:e>
                <m:r>
                  <m:t>F</m:t>
                </m:r>
              </m:e>
            </m:acc>
          </m:e>
          <m:sub>
            <m:r>
              <m:t>K</m:t>
            </m:r>
            <m:r>
              <m:t>I</m:t>
            </m:r>
          </m:sub>
        </m:sSub>
        <m:d>
          <m:dPr>
            <m:begChr m:val="("/>
            <m:sepChr m:val=""/>
            <m:endChr m:val=")"/>
            <m:grow/>
          </m:dPr>
          <m:e>
            <m:sSub>
              <m:e>
                <m:r>
                  <m:rPr>
                    <m:sty m:val="b"/>
                  </m:rPr>
                  <m:t>x</m:t>
                </m:r>
              </m:e>
              <m:sub>
                <m:r>
                  <m:t>0</m:t>
                </m:r>
              </m:sub>
            </m:sSub>
            <m:r>
              <m:rPr>
                <m:sty m:val="p"/>
              </m:rPr>
              <m:t>;</m:t>
            </m:r>
            <m:r>
              <m:t>z</m:t>
            </m:r>
          </m:e>
        </m:d>
      </m:oMath>
      <w:r>
        <w:t xml:space="preserve"> </w:t>
      </w:r>
      <w:r>
        <w:t xml:space="preserve">: sans hypothèse de loi, il fournit la probabilité de dépassement, la médiane et toute quantité dérivée de la distribution.</w:t>
      </w:r>
    </w:p>
    <w:p>
      <w:pPr>
        <w:pStyle w:val="BodyText"/>
      </w:pPr>
      <w:r>
        <w:t xml:space="preserve">L’atelier suivant illustre l’usage phare : délimiter une zone contaminée, où le KI estime la probabilité de dépassement et la quantité de sol contaminé bien mieux qu’un seuillage du KO.</w:t>
      </w:r>
    </w:p>
    <w:bookmarkEnd w:id="72"/>
    <w:bookmarkStart w:id="73" w:name="X6ff6dc755301e5e8284469091d1a4d61c216ef5"/>
    <w:p>
      <w:pPr>
        <w:pStyle w:val="Heading2"/>
      </w:pPr>
      <w:r>
        <w:t xml:space="preserve">🧮 Atelier interactif 11.4 — Site pollué : KI contre KO</w:t>
      </w:r>
    </w:p>
    <w:p>
      <w:pPr>
        <w:pStyle w:val="FirstParagraph"/>
      </w:pPr>
      <w:r>
        <w:t xml:space="preserve">Cet atelier n’est disponible que dans la version web.</w:t>
      </w:r>
    </w:p>
    <w:bookmarkEnd w:id="73"/>
    <w:bookmarkStart w:id="85" w:name="Xa760667d8da853794c4eae0c3c9e9695288d3df"/>
    <w:p>
      <w:pPr>
        <w:pStyle w:val="Heading2"/>
      </w:pPr>
      <w:r>
        <w:t xml:space="preserve">7 Krigeage avec données d’inégalité, mesures bruitées et données souples</w:t>
      </w:r>
    </w:p>
    <w:p>
      <w:pPr>
        <w:pStyle w:val="FirstParagraph"/>
      </w:pPr>
      <w:r>
        <w:t xml:space="preserve">Un avantage important du krigeage d’indicatrices est sa capacité à intégrer des informations qui ne prennent pas nécessairement la forme d’une valeur exacte de</w:t>
      </w:r>
      <w:r>
        <w:t xml:space="preserve"> </w:t>
      </w:r>
      <m:oMath>
        <m:r>
          <m:t>Z</m:t>
        </m:r>
        <m:d>
          <m:dPr>
            <m:begChr m:val="("/>
            <m:sepChr m:val=""/>
            <m:endChr m:val=")"/>
            <m:grow/>
          </m:dPr>
          <m:e>
            <m:r>
              <m:rPr>
                <m:sty m:val="b"/>
              </m:rPr>
              <m:t>x</m:t>
            </m:r>
          </m:e>
        </m:d>
      </m:oMath>
      <w:r>
        <w:t xml:space="preserve">. Selon la nature des observations, on distingue les données d’inégalité, les mesures directes entachées d’une erreur et les données souples issues d’une source d’information indirecte.</w:t>
      </w:r>
    </w:p>
    <w:p>
      <w:pPr>
        <w:pStyle w:val="BodyText"/>
      </w:pPr>
      <w:r>
        <w:t xml:space="preserve">Dans chaque cas, l’information est traitée au niveau des indicatrices associées aux différents seuils. Certaines indicatrices sont connues avec exactitude, tandis que d’autres demeurent inconnues ou sont remplacées par des probabilités comprises entre 0 et 1.</w:t>
      </w:r>
    </w:p>
    <w:bookmarkStart w:id="78" w:name="données-dinégalité"/>
    <w:p>
      <w:pPr>
        <w:pStyle w:val="Heading3"/>
      </w:pPr>
      <w:r>
        <w:t xml:space="preserve">7.1 Données d’inégalité</w:t>
      </w:r>
    </w:p>
    <w:p>
      <w:pPr>
        <w:pStyle w:val="FirstParagraph"/>
      </w:pPr>
      <w:r>
        <w:t xml:space="preserve">Une donnée d’inégalité ne fournit pas la valeur exacte de</w:t>
      </w:r>
      <w:r>
        <w:t xml:space="preserve"> </w:t>
      </w:r>
      <m:oMath>
        <m:r>
          <m:t>Z</m:t>
        </m:r>
        <m:d>
          <m:dPr>
            <m:begChr m:val="("/>
            <m:sepChr m:val=""/>
            <m:endChr m:val=")"/>
            <m:grow/>
          </m:dPr>
          <m:e>
            <m:sSub>
              <m:e>
                <m:r>
                  <m:rPr>
                    <m:sty m:val="b"/>
                  </m:rPr>
                  <m:t>x</m:t>
                </m:r>
              </m:e>
              <m:sub>
                <m:r>
                  <m:t>i</m:t>
                </m:r>
              </m:sub>
            </m:sSub>
          </m:e>
        </m:d>
      </m:oMath>
      <w:r>
        <w:t xml:space="preserve">, mais impose une borne ou un intervalle. Par exemple, un forage réalisé jusqu’à 100 m sans rencontrer un contact géologique indique que la profondeur de ce contact est supérieure à 100 m :</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&gt;</m:t>
          </m:r>
          <m:r>
            <m:t>100</m:t>
          </m:r>
          <m:r>
            <m:rPr>
              <m:nor/>
              <m:sty m:val="p"/>
            </m:rPr>
            <m:t> m</m:t>
          </m:r>
          <m:r>
            <m:rPr>
              <m:sty m:val="p"/>
            </m:rPr>
            <m:t>.</m:t>
          </m:r>
        </m:oMath>
      </m:oMathPara>
    </w:p>
    <w:p>
      <w:pPr>
        <w:pStyle w:val="FirstParagraph"/>
      </w:pPr>
      <w:r>
        <w:t xml:space="preserve">Cette information est difficile à intégrer directement dans les formulations standards du krigeage ordinaire ou du krigeage simple, qui attendent une valeur numérique à chaque point. Le krigeage d’indicatrices permet toutefois d’utiliser la partie connue pour chacun des seuils.</w:t>
      </w:r>
    </w:p>
    <w:p>
      <w:pPr>
        <w:pStyle w:val="BodyText"/>
      </w:pPr>
      <w:r>
        <w:t xml:space="preserve">De manière générale, supposons que l’on connaisse seulement l’intervalle :</w:t>
      </w:r>
    </w:p>
    <w:p>
      <w:pPr>
        <w:pStyle w:val="BodyText"/>
      </w:pPr>
      <m:oMathPara>
        <m:oMathParaPr>
          <m:jc m:val="center"/>
        </m:oMathParaPr>
        <m:oMath>
          <m:sSub>
            <m:e>
              <m:r>
                <m:t>a</m:t>
              </m:r>
            </m:e>
            <m:sub>
              <m:r>
                <m:t>i</m:t>
              </m:r>
            </m:sub>
          </m:sSub>
          <m:r>
            <m:rPr>
              <m:sty m:val="p"/>
            </m:rPr>
            <m:t>&lt;</m:t>
          </m:r>
          <m:r>
            <m:t>Z</m:t>
          </m:r>
          <m:d>
            <m:dPr>
              <m:begChr m:val="("/>
              <m:sepChr m:val=""/>
              <m:endChr m:val=")"/>
              <m:grow/>
            </m:dPr>
            <m:e>
              <m:sSub>
                <m:e>
                  <m:r>
                    <m:rPr>
                      <m:sty m:val="b"/>
                    </m:rPr>
                    <m:t>x</m:t>
                  </m:r>
                </m:e>
                <m:sub>
                  <m:r>
                    <m:t>i</m:t>
                  </m:r>
                </m:sub>
              </m:sSub>
            </m:e>
          </m:d>
          <m:r>
            <m:rPr>
              <m:sty m:val="p"/>
            </m:rPr>
            <m:t>≤</m:t>
          </m:r>
          <m:sSub>
            <m:e>
              <m:r>
                <m:t>b</m:t>
              </m:r>
            </m:e>
            <m:sub>
              <m:r>
                <m:t>i</m:t>
              </m:r>
            </m:sub>
          </m:sSub>
          <m:r>
            <m:rPr>
              <m:sty m:val="p"/>
            </m:rPr>
            <m:t>.</m:t>
          </m:r>
        </m:oMath>
      </m:oMathPara>
    </w:p>
    <w:p>
      <w:pPr>
        <w:pStyle w:val="FirstParagraph"/>
      </w:pPr>
      <w:r>
        <w:t xml:space="preserve">Pour l’indicatrice définie par</w:t>
      </w:r>
    </w:p>
    <w:p>
      <w:pPr>
        <w:pStyle w:val="BodyText"/>
      </w:pPr>
      <m:oMathPara>
        <m:oMathParaPr>
          <m:jc m:val="center"/>
        </m:oMathParaPr>
        <m:oMath>
          <m:r>
            <m:t>I</m:t>
          </m:r>
          <m:d>
            <m:dPr>
              <m:begChr m:val="("/>
              <m:sepChr m:val=""/>
              <m:endChr m:val=")"/>
              <m:grow/>
            </m:dPr>
            <m:e>
              <m:r>
                <m:rPr>
                  <m:sty m:val="b"/>
                </m:rPr>
                <m:t>x</m:t>
              </m:r>
              <m:r>
                <m:rPr>
                  <m:sty m:val="p"/>
                </m:rPr>
                <m:t>;</m:t>
              </m:r>
              <m:sSub>
                <m:e>
                  <m:r>
                    <m:t>z</m:t>
                  </m:r>
                </m:e>
                <m:sub>
                  <m:r>
                    <m:t>c</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m:t>
                    </m:r>
                    <m:r>
                      <m:t>Z</m:t>
                    </m:r>
                    <m:d>
                      <m:dPr>
                        <m:begChr m:val="("/>
                        <m:sepChr m:val=""/>
                        <m:endChr m:val=")"/>
                        <m:grow/>
                      </m:dPr>
                      <m:e>
                        <m:r>
                          <m:rPr>
                            <m:sty m:val="b"/>
                          </m:rPr>
                          <m:t>x</m:t>
                        </m:r>
                      </m:e>
                    </m:d>
                    <m:r>
                      <m:rPr>
                        <m:sty m:val="p"/>
                      </m:rPr>
                      <m:t>≤</m:t>
                    </m:r>
                    <m:sSub>
                      <m:e>
                        <m:r>
                          <m:t>z</m:t>
                        </m:r>
                      </m:e>
                      <m:sub>
                        <m:r>
                          <m:t>c</m:t>
                        </m:r>
                      </m:sub>
                    </m:sSub>
                    <m:r>
                      <m:rPr>
                        <m:sty m:val="p"/>
                      </m:rPr>
                      <m:t>,</m:t>
                    </m:r>
                  </m:e>
                </m:mr>
                <m:mr>
                  <m:e>
                    <m:r>
                      <m:t>0</m:t>
                    </m:r>
                  </m:e>
                  <m:e>
                    <m:r>
                      <m:rPr>
                        <m:nor/>
                        <m:sty m:val="p"/>
                      </m:rPr>
                      <m:t>si </m:t>
                    </m:r>
                    <m:r>
                      <m:t>Z</m:t>
                    </m:r>
                    <m:d>
                      <m:dPr>
                        <m:begChr m:val="("/>
                        <m:sepChr m:val=""/>
                        <m:endChr m:val=")"/>
                        <m:grow/>
                      </m:dPr>
                      <m:e>
                        <m:r>
                          <m:rPr>
                            <m:sty m:val="b"/>
                          </m:rPr>
                          <m:t>x</m:t>
                        </m:r>
                      </m:e>
                    </m:d>
                    <m:r>
                      <m:rPr>
                        <m:sty m:val="p"/>
                      </m:rPr>
                      <m:t>&gt;</m:t>
                    </m:r>
                    <m:sSub>
                      <m:e>
                        <m:r>
                          <m:t>z</m:t>
                        </m:r>
                      </m:e>
                      <m:sub>
                        <m:r>
                          <m:t>c</m:t>
                        </m:r>
                      </m:sub>
                    </m:sSub>
                    <m:r>
                      <m:rPr>
                        <m:sty m:val="p"/>
                      </m:rPr>
                      <m:t>,</m:t>
                    </m:r>
                  </m:e>
                </m:mr>
              </m:m>
            </m:e>
          </m:d>
        </m:oMath>
      </m:oMathPara>
    </w:p>
    <w:p>
      <w:pPr>
        <w:pStyle w:val="FirstParagraph"/>
      </w:pPr>
      <w:r>
        <w:t xml:space="preserve">le codage est alors :</w:t>
      </w:r>
    </w:p>
    <w:p>
      <w:pPr>
        <w:pStyle w:val="Compact"/>
        <w:numPr>
          <w:ilvl w:val="0"/>
          <w:numId w:val="1007"/>
        </w:numPr>
      </w:pP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0</m:t>
        </m:r>
      </m:oMath>
      <w:r>
        <w:t xml:space="preserve"> </w:t>
      </w:r>
      <w:r>
        <w:t xml:space="preserve">lorsque</w:t>
      </w:r>
      <w:r>
        <w:t xml:space="preserve"> </w:t>
      </w:r>
      <m:oMath>
        <m:sSub>
          <m:e>
            <m:r>
              <m:t>z</m:t>
            </m:r>
          </m:e>
          <m:sub>
            <m:r>
              <m:t>c</m:t>
            </m:r>
          </m:sub>
        </m:sSub>
        <m:r>
          <m:rPr>
            <m:sty m:val="p"/>
          </m:rPr>
          <m:t>≤</m:t>
        </m:r>
        <m:sSub>
          <m:e>
            <m:r>
              <m:t>a</m:t>
            </m:r>
          </m:e>
          <m:sub>
            <m:r>
              <m:t>i</m:t>
            </m:r>
          </m:sub>
        </m:sSub>
      </m:oMath>
      <w:r>
        <w:t xml:space="preserve">;</w:t>
      </w:r>
    </w:p>
    <w:p>
      <w:pPr>
        <w:pStyle w:val="Compact"/>
        <w:numPr>
          <w:ilvl w:val="0"/>
          <w:numId w:val="1007"/>
        </w:numPr>
      </w:pP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1</m:t>
        </m:r>
      </m:oMath>
      <w:r>
        <w:t xml:space="preserve"> </w:t>
      </w:r>
      <w:r>
        <w:t xml:space="preserve">lorsque</w:t>
      </w:r>
      <w:r>
        <w:t xml:space="preserve"> </w:t>
      </w:r>
      <m:oMath>
        <m:sSub>
          <m:e>
            <m:r>
              <m:t>z</m:t>
            </m:r>
          </m:e>
          <m:sub>
            <m:r>
              <m:t>c</m:t>
            </m:r>
          </m:sub>
        </m:sSub>
        <m:r>
          <m:rPr>
            <m:sty m:val="p"/>
          </m:rPr>
          <m:t>≥</m:t>
        </m:r>
        <m:sSub>
          <m:e>
            <m:r>
              <m:t>b</m:t>
            </m:r>
          </m:e>
          <m:sub>
            <m:r>
              <m:t>i</m:t>
            </m:r>
          </m:sub>
        </m:sSub>
      </m:oMath>
      <w:r>
        <w:t xml:space="preserve">;</w:t>
      </w:r>
    </w:p>
    <w:p>
      <w:pPr>
        <w:pStyle w:val="Compact"/>
        <w:numPr>
          <w:ilvl w:val="0"/>
          <w:numId w:val="1007"/>
        </w:numPr>
      </w:pPr>
      <m:oMath>
        <m:r>
          <m:t>I</m:t>
        </m:r>
        <m:d>
          <m:dPr>
            <m:begChr m:val="("/>
            <m:sepChr m:val=""/>
            <m:endChr m:val=")"/>
            <m:grow/>
          </m:dPr>
          <m:e>
            <m:sSub>
              <m:e>
                <m:r>
                  <m:rPr>
                    <m:sty m:val="b"/>
                  </m:rPr>
                  <m:t>x</m:t>
                </m:r>
              </m:e>
              <m:sub>
                <m:r>
                  <m:t>i</m:t>
                </m:r>
              </m:sub>
            </m:sSub>
            <m:r>
              <m:rPr>
                <m:sty m:val="p"/>
              </m:rPr>
              <m:t>;</m:t>
            </m:r>
            <m:sSub>
              <m:e>
                <m:r>
                  <m:t>z</m:t>
                </m:r>
              </m:e>
              <m:sub>
                <m:r>
                  <m:t>c</m:t>
                </m:r>
              </m:sub>
            </m:sSub>
          </m:e>
        </m:d>
      </m:oMath>
      <w:r>
        <w:t xml:space="preserve"> </w:t>
      </w:r>
      <w:r>
        <w:t xml:space="preserve">demeure inconnu lorsque</w:t>
      </w:r>
      <w:r>
        <w:t xml:space="preserve"> </w:t>
      </w:r>
      <m:oMath>
        <m:sSub>
          <m:e>
            <m:r>
              <m:t>a</m:t>
            </m:r>
          </m:e>
          <m:sub>
            <m:r>
              <m:t>i</m:t>
            </m:r>
          </m:sub>
        </m:sSub>
        <m:r>
          <m:rPr>
            <m:sty m:val="p"/>
          </m:rPr>
          <m:t>&lt;</m:t>
        </m:r>
        <m:sSub>
          <m:e>
            <m:r>
              <m:t>z</m:t>
            </m:r>
          </m:e>
          <m:sub>
            <m:r>
              <m:t>c</m:t>
            </m:r>
          </m:sub>
        </m:sSub>
        <m:r>
          <m:rPr>
            <m:sty m:val="p"/>
          </m:rPr>
          <m:t>&lt;</m:t>
        </m:r>
        <m:sSub>
          <m:e>
            <m:r>
              <m:t>b</m:t>
            </m:r>
          </m:e>
          <m:sub>
            <m:r>
              <m:t>i</m:t>
            </m:r>
          </m:sub>
        </m:sSub>
      </m:oMath>
      <w:r>
        <w:t xml:space="preserve">.</w:t>
      </w:r>
    </w:p>
    <w:p>
      <w:pPr>
        <w:pStyle w:val="FirstParagraph"/>
      </w:pPr>
      <w:r>
        <w:t xml:space="preserve">Ainsi, la donnée d’inégalité fournit une information exacte pour certains seuils, mais aucune information pour les seuils situés à l’intérieur de l’intervalle d’incertitude.</w:t>
      </w:r>
    </w:p>
    <w:p>
      <w:pPr>
        <w:pStyle w:val="BodyText"/>
      </w:pPr>
      <w:r>
        <w:t xml:space="preserve">Considérons, par exemple, la cartographie de la profondeur du toit d’un réservoir pétrolier. Les forages étant coûteux, les données sont rares. Certains forages peuvent être abandonnés après plusieurs centaines de mètres sans avoir atteint le toit du réservoir. Une estimation par krigeage ordinaire peut alors contredire cette information partielle en plaçant le toit à une profondeur inférieure à celle déjà forée sans rencontre, comme l’illustre la</w:t>
      </w:r>
      <w:r>
        <w:t xml:space="preserve"> </w:t>
      </w:r>
      <w:hyperlink w:anchor="fig-C11_SoftKriging">
        <w:r>
          <w:rPr>
            <w:rStyle w:val="Hyperlink"/>
          </w:rPr>
          <w:t xml:space="preserve">Figure 6</w:t>
        </w:r>
      </w:hyperlink>
      <w:r>
        <w:t xml:space="preserve">.</w:t>
      </w:r>
    </w:p>
    <w:p>
      <w:pPr>
        <w:pStyle w:val="BodyText"/>
      </w:pPr>
      <w:r>
        <w:t xml:space="preserve">Supposons que l’on sache que :</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&gt;</m:t>
          </m:r>
          <m:r>
            <m:t>500</m:t>
          </m:r>
          <m:r>
            <m:rPr>
              <m:nor/>
              <m:sty m:val="p"/>
            </m:rPr>
            <m:t> m</m:t>
          </m:r>
          <m:r>
            <m:rPr>
              <m:sty m:val="p"/>
            </m:rPr>
            <m:t>.</m:t>
          </m:r>
        </m:oMath>
      </m:oMathPara>
    </w:p>
    <w:p>
      <w:pPr>
        <w:pStyle w:val="FirstParagraph"/>
      </w:pPr>
      <w:r>
        <w:t xml:space="preserve">Pour tout seuil</w:t>
      </w:r>
      <w:r>
        <w:t xml:space="preserve"> </w:t>
      </w:r>
      <m:oMath>
        <m:sSub>
          <m:e>
            <m:r>
              <m:t>z</m:t>
            </m:r>
          </m:e>
          <m:sub>
            <m:r>
              <m:t>c</m:t>
            </m:r>
          </m:sub>
        </m:sSub>
        <m:r>
          <m:rPr>
            <m:sty m:val="p"/>
          </m:rPr>
          <m:t>≤</m:t>
        </m:r>
        <m:r>
          <m:t>500</m:t>
        </m:r>
      </m:oMath>
      <w:r>
        <w:t xml:space="preserve"> </w:t>
      </w:r>
      <w:r>
        <w:t xml:space="preserve">m, on peut coder :</w:t>
      </w:r>
    </w:p>
    <w:p>
      <w:pPr>
        <w:pStyle w:val="BodyText"/>
      </w:pPr>
      <m:oMathPara>
        <m:oMathParaPr>
          <m:jc m:val="center"/>
        </m:oMathParaPr>
        <m:oMath>
          <m:r>
            <m:t>I</m:t>
          </m:r>
          <m:d>
            <m:dPr>
              <m:begChr m:val="("/>
              <m:sepChr m:val=""/>
              <m:endChr m:val=")"/>
              <m:grow/>
            </m:dPr>
            <m:e>
              <m:sSub>
                <m:e>
                  <m:r>
                    <m:rPr>
                      <m:sty m:val="b"/>
                    </m:rPr>
                    <m:t>x</m:t>
                  </m:r>
                </m:e>
                <m:sub>
                  <m:r>
                    <m:t>i</m:t>
                  </m:r>
                </m:sub>
              </m:sSub>
              <m:r>
                <m:rPr>
                  <m:sty m:val="p"/>
                </m:rPr>
                <m:t>;</m:t>
              </m:r>
              <m:sSub>
                <m:e>
                  <m:r>
                    <m:t>z</m:t>
                  </m:r>
                </m:e>
                <m:sub>
                  <m:r>
                    <m:t>c</m:t>
                  </m:r>
                </m:sub>
              </m:sSub>
            </m:e>
          </m:d>
          <m:r>
            <m:rPr>
              <m:sty m:val="p"/>
            </m:rPr>
            <m:t>=</m:t>
          </m:r>
          <m:r>
            <m:t>0</m:t>
          </m:r>
          <m:r>
            <m:rPr>
              <m:sty m:val="p"/>
            </m:rPr>
            <m:t>,</m:t>
          </m:r>
        </m:oMath>
      </m:oMathPara>
    </w:p>
    <w:p>
      <w:pPr>
        <w:pStyle w:val="FirstParagraph"/>
      </w:pPr>
      <w:r>
        <w:t xml:space="preserve">puisque la profondeur réelle est nécessairement supérieure au seuil. Pour les seuils</w:t>
      </w:r>
      <w:r>
        <w:t xml:space="preserve"> </w:t>
      </w:r>
      <m:oMath>
        <m:sSub>
          <m:e>
            <m:r>
              <m:t>z</m:t>
            </m:r>
          </m:e>
          <m:sub>
            <m:r>
              <m:t>c</m:t>
            </m:r>
          </m:sub>
        </m:sSub>
        <m:r>
          <m:rPr>
            <m:sty m:val="p"/>
          </m:rPr>
          <m:t>&gt;</m:t>
        </m:r>
        <m:r>
          <m:t>500</m:t>
        </m:r>
      </m:oMath>
      <w:r>
        <w:t xml:space="preserve"> </w:t>
      </w:r>
      <w:r>
        <w:t xml:space="preserve">m, l’information disponible ne permet plus de déterminer l’indicatrice, qui demeure alors inconnue.</w:t>
      </w:r>
    </w:p>
    <w:p>
      <w:pPr>
        <w:pStyle w:val="BodyText"/>
      </w:pPr>
      <w:r>
        <w:t xml:space="preserve">Si quatre forages sont disponibles, dont un fournit uniquement cette inégalité, le krigeage utilise donc quatre indicatrices pour les seuils</w:t>
      </w:r>
      <w:r>
        <w:t xml:space="preserve"> </w:t>
      </w:r>
      <m:oMath>
        <m:sSub>
          <m:e>
            <m:r>
              <m:t>z</m:t>
            </m:r>
          </m:e>
          <m:sub>
            <m:r>
              <m:t>c</m:t>
            </m:r>
          </m:sub>
        </m:sSub>
        <m:r>
          <m:rPr>
            <m:sty m:val="p"/>
          </m:rPr>
          <m:t>≤</m:t>
        </m:r>
        <m:r>
          <m:t>500</m:t>
        </m:r>
      </m:oMath>
      <w:r>
        <w:t xml:space="preserve"> </w:t>
      </w:r>
      <w:r>
        <w:t xml:space="preserve">m, mais seulement les trois données exactes pour les seuils</w:t>
      </w:r>
      <w:r>
        <w:t xml:space="preserve"> </w:t>
      </w:r>
      <m:oMath>
        <m:sSub>
          <m:e>
            <m:r>
              <m:t>z</m:t>
            </m:r>
          </m:e>
          <m:sub>
            <m:r>
              <m:t>c</m:t>
            </m:r>
          </m:sub>
        </m:sSub>
        <m:r>
          <m:rPr>
            <m:sty m:val="p"/>
          </m:rPr>
          <m:t>&gt;</m:t>
        </m:r>
        <m:r>
          <m:t>500</m:t>
        </m:r>
      </m:oMath>
      <w:r>
        <w:t xml:space="preserve"> </w:t>
      </w:r>
      <w:r>
        <w:t xml:space="preserve">m. L’ensemble des données de conditionnement varie d’un seuil à l’autre.</w:t>
      </w:r>
    </w:p>
    <w:p>
      <w:pPr>
        <w:pStyle w:val="BodyText"/>
      </w:pPr>
      <w:r>
        <w:t xml:space="preserve">Dans le cadran supérieur droit de la</w:t>
      </w:r>
      <w:r>
        <w:t xml:space="preserve"> </w:t>
      </w:r>
      <w:hyperlink w:anchor="fig-C11_SoftKriging_Result">
        <w:r>
          <w:rPr>
            <w:rStyle w:val="Hyperlink"/>
          </w:rPr>
          <w:t xml:space="preserve">Figure 7</w:t>
        </w:r>
      </w:hyperlink>
      <w:r>
        <w:t xml:space="preserve">, la fonction de répartition estimée ne place plus de probabilité sous la profondeur minimale imposée au droit du forage. L’espérance reconstruite respecte donc la contrainte d’inégalité.</w:t>
      </w:r>
    </w:p>
    <w:tbl>
      <w:tblPr>
        <w:tblStyle w:val="Table"/>
        <w:tblW w:type="pct" w:w="5000"/>
        <w:tblLayout w:type="fixed"/>
        <w:tblLook w:firstRow="0" w:lastRow="0" w:firstColumn="0" w:lastColumn="0" w:noHBand="0" w:noVBand="0" w:val="0000"/>
      </w:tblPr>
      <w:tblGrid>
        <w:gridCol w:w="7920"/>
      </w:tblGrid>
      <w:tr>
        <w:tc>
          <w:tcPr/>
          <w:bookmarkStart w:id="77" w:name="fig-C11_SoftKriging"/>
          <w:p>
            <w:pPr>
              <w:pStyle w:val="Compact"/>
              <w:jc w:val="center"/>
            </w:pPr>
            <w:r>
              <w:drawing>
                <wp:inline>
                  <wp:extent cx="5334000" cy="3280775"/>
                  <wp:effectExtent b="0" l="0" r="0" t="0"/>
                  <wp:docPr descr="" title="" id="75" name="Picture"/>
                  <a:graphic>
                    <a:graphicData uri="http://schemas.openxmlformats.org/drawingml/2006/picture">
                      <pic:pic>
                        <pic:nvPicPr>
                          <pic:cNvPr descr="images/C11_SoftKriging.png" id="76" name="Picture"/>
                          <pic:cNvPicPr>
                            <a:picLocks noChangeArrowheads="1" noChangeAspect="1"/>
                          </pic:cNvPicPr>
                        </pic:nvPicPr>
                        <pic:blipFill>
                          <a:blip r:embed="rId74"/>
                          <a:stretch>
                            <a:fillRect/>
                          </a:stretch>
                        </pic:blipFill>
                        <pic:spPr bwMode="auto">
                          <a:xfrm>
                            <a:off x="0" y="0"/>
                            <a:ext cx="5334000" cy="328077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Violation d’une donnée d’inégalité par krigeage ordinaire.</w:t>
            </w:r>
          </w:p>
          <w:bookmarkEnd w:id="77"/>
        </w:tc>
      </w:tr>
    </w:tbl>
    <w:bookmarkEnd w:id="78"/>
    <w:bookmarkStart w:id="79" w:name="mesures-incertaines-ou-bruitées"/>
    <w:p>
      <w:pPr>
        <w:pStyle w:val="Heading3"/>
      </w:pPr>
      <w:r>
        <w:t xml:space="preserve">7.2 Mesures incertaines ou bruitées</w:t>
      </w:r>
    </w:p>
    <w:p>
      <w:pPr>
        <w:pStyle w:val="FirstParagraph"/>
      </w:pPr>
      <w:r>
        <w:t xml:space="preserve">Une mesure bruitée fournit une observation directe de la variable, mais cette observation n’est pas considérée comme parfaitement exacte. On peut écrire :</w:t>
      </w:r>
    </w:p>
    <w:p>
      <w:pPr>
        <w:pStyle w:val="BodyText"/>
      </w:pPr>
      <m:oMathPara>
        <m:oMathParaPr>
          <m:jc m:val="center"/>
        </m:oMathParaPr>
        <m:oMath>
          <m:sSub>
            <m:e>
              <m:r>
                <m:t>Y</m:t>
              </m:r>
            </m:e>
            <m:sub>
              <m:r>
                <m:t>i</m:t>
              </m:r>
            </m:sub>
          </m:sSub>
          <m:r>
            <m:rPr>
              <m:sty m:val="p"/>
            </m:rPr>
            <m:t>=</m:t>
          </m:r>
          <m:r>
            <m:t>Z</m:t>
          </m:r>
          <m:d>
            <m:dPr>
              <m:begChr m:val="("/>
              <m:sepChr m:val=""/>
              <m:endChr m:val=")"/>
              <m:grow/>
            </m:dPr>
            <m:e>
              <m:sSub>
                <m:e>
                  <m:r>
                    <m:rPr>
                      <m:sty m:val="b"/>
                    </m:rPr>
                    <m:t>x</m:t>
                  </m:r>
                </m:e>
                <m:sub>
                  <m:r>
                    <m:t>i</m:t>
                  </m:r>
                </m:sub>
              </m:sSub>
            </m:e>
          </m:d>
          <m:r>
            <m:rPr>
              <m:sty m:val="p"/>
            </m:rPr>
            <m:t>+</m:t>
          </m:r>
          <m:sSub>
            <m:e>
              <m:r>
                <m:t>ε</m:t>
              </m:r>
            </m:e>
            <m:sub>
              <m:r>
                <m:t>i</m:t>
              </m:r>
            </m:sub>
          </m:sSub>
          <m:r>
            <m:rPr>
              <m:sty m:val="p"/>
            </m:rPr>
            <m:t>,</m:t>
          </m:r>
        </m:oMath>
      </m:oMathPara>
    </w:p>
    <w:p>
      <w:pPr>
        <w:pStyle w:val="FirstParagraph"/>
      </w:pPr>
      <w:r>
        <w:t xml:space="preserve">où</w:t>
      </w:r>
      <w:r>
        <w:t xml:space="preserve"> </w:t>
      </w:r>
      <m:oMath>
        <m:sSub>
          <m:e>
            <m:r>
              <m:t>Y</m:t>
            </m:r>
          </m:e>
          <m:sub>
            <m:r>
              <m:t>i</m:t>
            </m:r>
          </m:sub>
        </m:sSub>
      </m:oMath>
      <w:r>
        <w:t xml:space="preserve"> </w:t>
      </w:r>
      <w:r>
        <w:t xml:space="preserve">est la valeur mesurée et</w:t>
      </w:r>
      <w:r>
        <w:t xml:space="preserve"> </w:t>
      </w:r>
      <m:oMath>
        <m:sSub>
          <m:e>
            <m:r>
              <m:t>ε</m:t>
            </m:r>
          </m:e>
          <m:sub>
            <m:r>
              <m:t>i</m:t>
            </m:r>
          </m:sub>
        </m:sSub>
      </m:oMath>
      <w:r>
        <w:t xml:space="preserve"> </w:t>
      </w:r>
      <w:r>
        <w:t xml:space="preserve">représente l’erreur de mesure.</w:t>
      </w:r>
    </w:p>
    <w:p>
      <w:pPr>
        <w:pStyle w:val="BodyText"/>
      </w:pPr>
      <w:r>
        <w:t xml:space="preserve">Plutôt que de coder l’indicatrice uniquement à partir de la valeur observée</w:t>
      </w:r>
      <w:r>
        <w:t xml:space="preserve"> </w:t>
      </w:r>
      <m:oMath>
        <m:sSub>
          <m:e>
            <m:r>
              <m:t>Y</m:t>
            </m:r>
          </m:e>
          <m:sub>
            <m:r>
              <m:t>i</m:t>
            </m:r>
          </m:sub>
        </m:sSub>
      </m:oMath>
      <w:r>
        <w:t xml:space="preserve">, on décrit la valeur réelle par une distribution conditionnelle locale :</w:t>
      </w:r>
    </w:p>
    <w:p>
      <w:pPr>
        <w:pStyle w:val="BodyText"/>
      </w:pPr>
      <m:oMathPara>
        <m:oMathParaPr>
          <m:jc m:val="center"/>
        </m:oMathParaPr>
        <m:oMath>
          <m:sSub>
            <m:e>
              <m:r>
                <m:t>G</m:t>
              </m:r>
            </m:e>
            <m:sub>
              <m:r>
                <m:t>i</m:t>
              </m:r>
            </m:sub>
          </m:sSub>
          <m:d>
            <m:dPr>
              <m:begChr m:val="("/>
              <m:sepChr m:val=""/>
              <m:endChr m:val=")"/>
              <m:grow/>
            </m:dPr>
            <m:e>
              <m:r>
                <m:t>z</m:t>
              </m:r>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i</m:t>
                      </m:r>
                    </m:sub>
                  </m:sSub>
                </m:e>
              </m:d>
              <m:r>
                <m:rPr>
                  <m:sty m:val="p"/>
                </m:rPr>
                <m:t>≤</m:t>
              </m:r>
              <m:r>
                <m:t>z</m:t>
              </m:r>
              <m:r>
                <m:rPr>
                  <m:sty m:val="p"/>
                </m:rPr>
                <m:t>∣</m:t>
              </m:r>
              <m:sSub>
                <m:e>
                  <m:r>
                    <m:t>Y</m:t>
                  </m:r>
                </m:e>
                <m:sub>
                  <m:r>
                    <m:t>i</m:t>
                  </m:r>
                </m:sub>
              </m:sSub>
              <m:r>
                <m:rPr>
                  <m:sty m:val="p"/>
                </m:rPr>
                <m:t>=</m:t>
              </m:r>
              <m:sSub>
                <m:e>
                  <m:r>
                    <m:t>y</m:t>
                  </m:r>
                </m:e>
                <m:sub>
                  <m:r>
                    <m:t>i</m:t>
                  </m:r>
                </m:sub>
              </m:sSub>
            </m:e>
          </m:d>
          <m:r>
            <m:rPr>
              <m:sty m:val="p"/>
            </m:rPr>
            <m:t>.</m:t>
          </m:r>
        </m:oMath>
      </m:oMathPara>
    </w:p>
    <w:p>
      <w:pPr>
        <w:pStyle w:val="FirstParagraph"/>
      </w:pPr>
      <w:r>
        <w:t xml:space="preserve">Pour chaque seuil</w:t>
      </w:r>
      <w:r>
        <w:t xml:space="preserve"> </w:t>
      </w:r>
      <m:oMath>
        <m:sSub>
          <m:e>
            <m:r>
              <m:t>z</m:t>
            </m:r>
          </m:e>
          <m:sub>
            <m:r>
              <m:t>c</m:t>
            </m:r>
          </m:sub>
        </m:sSub>
      </m:oMath>
      <w:r>
        <w:t xml:space="preserve">, la valeur d’indicatrice associée à la mesure incertaine devient alors une probabilité :</w:t>
      </w:r>
    </w:p>
    <w:p>
      <w:pPr>
        <w:pStyle w:val="BodyText"/>
      </w:pPr>
      <m:oMathPara>
        <m:oMathParaPr>
          <m:jc m:val="center"/>
        </m:oMathParaPr>
        <m:oMath>
          <m:sSub>
            <m:e>
              <m:r>
                <m:t>q</m:t>
              </m:r>
            </m:e>
            <m:sub>
              <m:r>
                <m:t>i</m:t>
              </m:r>
            </m:sub>
          </m:sSub>
          <m:d>
            <m:dPr>
              <m:begChr m:val="("/>
              <m:sepChr m:val=""/>
              <m:endChr m:val=")"/>
              <m:grow/>
            </m:dPr>
            <m:e>
              <m:sSub>
                <m:e>
                  <m:r>
                    <m:t>z</m:t>
                  </m:r>
                </m:e>
                <m:sub>
                  <m:r>
                    <m:t>c</m:t>
                  </m:r>
                </m:sub>
              </m:sSub>
            </m:e>
          </m:d>
          <m:r>
            <m:rPr>
              <m:sty m:val="p"/>
            </m:rPr>
            <m:t>=</m:t>
          </m:r>
          <m:r>
            <m:rPr>
              <m:sty m:val="p"/>
              <m:scr m:val="double-struck"/>
            </m:rPr>
            <m:t>E</m:t>
          </m:r>
          <m:d>
            <m:dPr>
              <m:begChr m:val="["/>
              <m:sepChr m:val=""/>
              <m:endChr m:val="]"/>
              <m:grow/>
            </m:dPr>
            <m:e>
              <m:r>
                <m:t>I</m:t>
              </m:r>
              <m:d>
                <m:dPr>
                  <m:begChr m:val="("/>
                  <m:sepChr m:val=""/>
                  <m:endChr m:val=")"/>
                  <m:grow/>
                </m:dPr>
                <m:e>
                  <m:sSub>
                    <m:e>
                      <m:r>
                        <m:rPr>
                          <m:sty m:val="b"/>
                        </m:rPr>
                        <m:t>x</m:t>
                      </m:r>
                    </m:e>
                    <m:sub>
                      <m:r>
                        <m:t>i</m:t>
                      </m:r>
                    </m:sub>
                  </m:sSub>
                  <m:r>
                    <m:rPr>
                      <m:sty m:val="p"/>
                    </m:rPr>
                    <m:t>;</m:t>
                  </m:r>
                  <m:sSub>
                    <m:e>
                      <m:r>
                        <m:t>z</m:t>
                      </m:r>
                    </m:e>
                    <m:sub>
                      <m:r>
                        <m:t>c</m:t>
                      </m:r>
                    </m:sub>
                  </m:sSub>
                </m:e>
              </m:d>
              <m:r>
                <m:rPr>
                  <m:sty m:val="p"/>
                </m:rPr>
                <m:t>∣</m:t>
              </m:r>
              <m:sSub>
                <m:e>
                  <m:r>
                    <m:t>Y</m:t>
                  </m:r>
                </m:e>
                <m:sub>
                  <m:r>
                    <m:t>i</m:t>
                  </m:r>
                </m:sub>
              </m:sSub>
              <m:r>
                <m:rPr>
                  <m:sty m:val="p"/>
                </m:rPr>
                <m:t>=</m:t>
              </m:r>
              <m:sSub>
                <m:e>
                  <m:r>
                    <m:t>y</m:t>
                  </m:r>
                </m:e>
                <m:sub>
                  <m:r>
                    <m:t>i</m:t>
                  </m:r>
                </m:sub>
              </m:sSub>
            </m:e>
          </m:d>
          <m:r>
            <m:rPr>
              <m:sty m:val="p"/>
            </m:rPr>
            <m:t>=</m:t>
          </m:r>
          <m:sSub>
            <m:e>
              <m:r>
                <m:t>G</m:t>
              </m:r>
            </m:e>
            <m:sub>
              <m:r>
                <m:t>i</m:t>
              </m:r>
            </m:sub>
          </m:sSub>
          <m:d>
            <m:dPr>
              <m:begChr m:val="("/>
              <m:sepChr m:val=""/>
              <m:endChr m:val=")"/>
              <m:grow/>
            </m:dPr>
            <m:e>
              <m:sSub>
                <m:e>
                  <m:r>
                    <m:t>z</m:t>
                  </m:r>
                </m:e>
                <m:sub>
                  <m:r>
                    <m:t>c</m:t>
                  </m:r>
                </m:sub>
              </m:sSub>
            </m:e>
          </m:d>
          <m:r>
            <m:rPr>
              <m:sty m:val="p"/>
            </m:rPr>
            <m:t>.</m:t>
          </m:r>
        </m:oMath>
      </m:oMathPara>
    </w:p>
    <w:p>
      <w:pPr>
        <w:pStyle w:val="FirstParagraph"/>
      </w:pPr>
      <w:r>
        <w:t xml:space="preserve">Contrairement à une indicatrice dure, qui vaut nécessairement 0 ou 1, cette indicatrice probabiliste peut prendre toute valeur dans l’intervalle</w:t>
      </w:r>
      <w:r>
        <w:t xml:space="preserve"> </w:t>
      </w:r>
      <m:oMath>
        <m:d>
          <m:dPr>
            <m:begChr m:val="["/>
            <m:sepChr m:val=""/>
            <m:endChr m:val="]"/>
            <m:grow/>
          </m:dPr>
          <m:e>
            <m:r>
              <m:t>0</m:t>
            </m:r>
            <m:r>
              <m:rPr>
                <m:sty m:val="p"/>
              </m:rPr>
              <m:t>,</m:t>
            </m:r>
            <m:r>
              <m:t>1</m:t>
            </m:r>
          </m:e>
        </m:d>
      </m:oMath>
      <w:r>
        <w:t xml:space="preserve">.</w:t>
      </w:r>
    </w:p>
    <w:p>
      <w:pPr>
        <w:pStyle w:val="BodyText"/>
      </w:pPr>
      <w:r>
        <w:t xml:space="preserve">Par exemple, supposons que l’incertitude de mesure soit représentée par le modèle local :</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m:t>
          </m:r>
          <m:sSub>
            <m:e>
              <m:r>
                <m:t>Y</m:t>
              </m:r>
            </m:e>
            <m:sub>
              <m:r>
                <m:t>i</m:t>
              </m:r>
            </m:sub>
          </m:sSub>
          <m:r>
            <m:rPr>
              <m:sty m:val="p"/>
            </m:rPr>
            <m:t>=</m:t>
          </m:r>
          <m:sSub>
            <m:e>
              <m:r>
                <m:t>y</m:t>
              </m:r>
            </m:e>
            <m:sub>
              <m:r>
                <m:t>i</m:t>
              </m:r>
            </m:sub>
          </m:sSub>
          <m:r>
            <m:rPr>
              <m:sty m:val="p"/>
            </m:rPr>
            <m:t>∼</m:t>
          </m:r>
          <m:r>
            <m:rPr>
              <m:sty m:val="p"/>
              <m:scr m:val="script"/>
            </m:rPr>
            <m:t>N</m:t>
          </m:r>
          <m:d>
            <m:dPr>
              <m:begChr m:val="("/>
              <m:sepChr m:val=""/>
              <m:endChr m:val=")"/>
              <m:grow/>
            </m:dPr>
            <m:e>
              <m:sSub>
                <m:e>
                  <m:r>
                    <m:t>y</m:t>
                  </m:r>
                </m:e>
                <m:sub>
                  <m:r>
                    <m:t>i</m:t>
                  </m:r>
                </m:sub>
              </m:sSub>
              <m:r>
                <m:rPr>
                  <m:sty m:val="p"/>
                </m:rPr>
                <m:t>,</m:t>
              </m:r>
              <m:sSubSup>
                <m:e>
                  <m:r>
                    <m:t>τ</m:t>
                  </m:r>
                </m:e>
                <m:sub>
                  <m:r>
                    <m:t>i</m:t>
                  </m:r>
                </m:sub>
                <m:sup>
                  <m:r>
                    <m:t>2</m:t>
                  </m:r>
                </m:sup>
              </m:sSubSup>
            </m:e>
          </m:d>
          <m:r>
            <m:rPr>
              <m:sty m:val="p"/>
            </m:rPr>
            <m:t>,</m:t>
          </m:r>
        </m:oMath>
      </m:oMathPara>
    </w:p>
    <w:p>
      <w:pPr>
        <w:pStyle w:val="FirstParagraph"/>
      </w:pPr>
      <w:r>
        <w:t xml:space="preserve">où</w:t>
      </w:r>
      <w:r>
        <w:t xml:space="preserve"> </w:t>
      </w:r>
      <m:oMath>
        <m:sSub>
          <m:e>
            <m:r>
              <m:t>τ</m:t>
            </m:r>
          </m:e>
          <m:sub>
            <m:r>
              <m:t>i</m:t>
            </m:r>
          </m:sub>
        </m:sSub>
      </m:oMath>
      <w:r>
        <w:t xml:space="preserve"> </w:t>
      </w:r>
      <w:r>
        <w:t xml:space="preserve">est l’écart-type associé à l’erreur de mesure. La probabilité d’indicatrice est alors :</w:t>
      </w:r>
    </w:p>
    <w:p>
      <w:pPr>
        <w:pStyle w:val="BodyText"/>
      </w:pPr>
      <m:oMathPara>
        <m:oMathParaPr>
          <m:jc m:val="center"/>
        </m:oMathParaPr>
        <m:oMath>
          <m:sSub>
            <m:e>
              <m:r>
                <m:t>q</m:t>
              </m:r>
            </m:e>
            <m:sub>
              <m:r>
                <m:t>i</m:t>
              </m:r>
            </m:sub>
          </m:sSub>
          <m:d>
            <m:dPr>
              <m:begChr m:val="("/>
              <m:sepChr m:val=""/>
              <m:endChr m:val=")"/>
              <m:grow/>
            </m:dPr>
            <m:e>
              <m:sSub>
                <m:e>
                  <m:r>
                    <m:t>z</m:t>
                  </m:r>
                </m:e>
                <m:sub>
                  <m:r>
                    <m:t>c</m:t>
                  </m:r>
                </m:sub>
              </m:sSub>
            </m:e>
          </m:d>
          <m:r>
            <m:rPr>
              <m:sty m:val="p"/>
            </m:rPr>
            <m:t>=</m:t>
          </m:r>
          <m:r>
            <m:t>Φ</m:t>
          </m:r>
          <m:d>
            <m:dPr>
              <m:begChr m:val="("/>
              <m:sepChr m:val=""/>
              <m:endChr m:val=")"/>
              <m:grow/>
            </m:dPr>
            <m:e>
              <m:f>
                <m:fPr>
                  <m:type m:val="bar"/>
                </m:fPr>
                <m:num>
                  <m:sSub>
                    <m:e>
                      <m:r>
                        <m:t>z</m:t>
                      </m:r>
                    </m:e>
                    <m:sub>
                      <m:r>
                        <m:t>c</m:t>
                      </m:r>
                    </m:sub>
                  </m:sSub>
                  <m:r>
                    <m:rPr>
                      <m:sty m:val="p"/>
                    </m:rPr>
                    <m:t>−</m:t>
                  </m:r>
                  <m:sSub>
                    <m:e>
                      <m:r>
                        <m:t>y</m:t>
                      </m:r>
                    </m:e>
                    <m:sub>
                      <m:r>
                        <m:t>i</m:t>
                      </m:r>
                    </m:sub>
                  </m:sSub>
                </m:num>
                <m:den>
                  <m:sSub>
                    <m:e>
                      <m:r>
                        <m:t>τ</m:t>
                      </m:r>
                    </m:e>
                    <m:sub>
                      <m:r>
                        <m:t>i</m:t>
                      </m:r>
                    </m:sub>
                  </m:sSub>
                </m:den>
              </m:f>
            </m:e>
          </m:d>
          <m:r>
            <m:rPr>
              <m:sty m:val="p"/>
            </m:rPr>
            <m:t>,</m:t>
          </m:r>
        </m:oMath>
      </m:oMathPara>
    </w:p>
    <w:p>
      <w:pPr>
        <w:pStyle w:val="FirstParagraph"/>
      </w:pPr>
      <w:r>
        <w:t xml:space="preserve">où</w:t>
      </w:r>
      <w:r>
        <w:t xml:space="preserve"> </w:t>
      </w:r>
      <m:oMath>
        <m:r>
          <m:t>Φ</m:t>
        </m:r>
      </m:oMath>
      <w:r>
        <w:t xml:space="preserve"> </w:t>
      </w:r>
      <w:r>
        <w:t xml:space="preserve">désigne la fonction de répartition de la loi normale centrée réduite.</w:t>
      </w:r>
    </w:p>
    <w:p>
      <w:pPr>
        <w:pStyle w:val="BodyText"/>
      </w:pPr>
      <w:r>
        <w:t xml:space="preserve">Lorsque</w:t>
      </w:r>
      <w:r>
        <w:t xml:space="preserve"> </w:t>
      </w:r>
      <m:oMath>
        <m:sSub>
          <m:e>
            <m:r>
              <m:t>τ</m:t>
            </m:r>
          </m:e>
          <m:sub>
            <m:r>
              <m:t>i</m:t>
            </m:r>
          </m:sub>
        </m:sSub>
      </m:oMath>
      <w:r>
        <w:t xml:space="preserve"> </w:t>
      </w:r>
      <w:r>
        <w:t xml:space="preserve">est faible, la fonction</w:t>
      </w:r>
      <w:r>
        <w:t xml:space="preserve"> </w:t>
      </w:r>
      <m:oMath>
        <m:sSub>
          <m:e>
            <m:r>
              <m:t>q</m:t>
            </m:r>
          </m:e>
          <m:sub>
            <m:r>
              <m:t>i</m:t>
            </m:r>
          </m:sub>
        </m:sSub>
        <m:d>
          <m:dPr>
            <m:begChr m:val="("/>
            <m:sepChr m:val=""/>
            <m:endChr m:val=")"/>
            <m:grow/>
          </m:dPr>
          <m:e>
            <m:sSub>
              <m:e>
                <m:r>
                  <m:t>z</m:t>
                </m:r>
              </m:e>
              <m:sub>
                <m:r>
                  <m:t>c</m:t>
                </m:r>
              </m:sub>
            </m:sSub>
          </m:e>
        </m:d>
      </m:oMath>
      <w:r>
        <w:t xml:space="preserve"> </w:t>
      </w:r>
      <w:r>
        <w:t xml:space="preserve">se rapproche de l’indicatrice en escalier d’une donnée exacte. Lorsque</w:t>
      </w:r>
      <w:r>
        <w:t xml:space="preserve"> </w:t>
      </w:r>
      <m:oMath>
        <m:sSub>
          <m:e>
            <m:r>
              <m:t>τ</m:t>
            </m:r>
          </m:e>
          <m:sub>
            <m:r>
              <m:t>i</m:t>
            </m:r>
          </m:sub>
        </m:sSub>
      </m:oMath>
      <w:r>
        <w:t xml:space="preserve"> </w:t>
      </w:r>
      <w:r>
        <w:t xml:space="preserve">augmente, la transition de 0 à 1 devient plus progressive, ce qui traduit une incertitude accrue quant à la valeur réelle.</w:t>
      </w:r>
    </w:p>
    <w:p>
      <w:pPr>
        <w:pStyle w:val="BodyText"/>
      </w:pPr>
      <w:r>
        <w:t xml:space="preserve">Une mesure bruitée est donc une observation directe de</w:t>
      </w:r>
      <w:r>
        <w:t xml:space="preserve"> </w:t>
      </w:r>
      <m:oMath>
        <m:r>
          <m:t>Z</m:t>
        </m:r>
      </m:oMath>
      <w:r>
        <w:t xml:space="preserve">, mais son codage tient compte d’un modèle explicite de l’erreur de mesure.</w:t>
      </w:r>
    </w:p>
    <w:bookmarkEnd w:id="79"/>
    <w:bookmarkStart w:id="84" w:name="données-souples"/>
    <w:p>
      <w:pPr>
        <w:pStyle w:val="Heading3"/>
      </w:pPr>
      <w:r>
        <w:t xml:space="preserve">7.3 Données souples</w:t>
      </w:r>
    </w:p>
    <w:p>
      <w:pPr>
        <w:pStyle w:val="FirstParagraph"/>
      </w:pPr>
      <w:r>
        <w:t xml:space="preserve">Les données souples proviennent généralement d’une source indirecte, comme un levé sismique, une mesure géophysique, une interprétation géologique, une estimation issue d’un autre modèle ou un jugement d’expert. Elles n’observent pas directement</w:t>
      </w:r>
      <w:r>
        <w:t xml:space="preserve"> </w:t>
      </w:r>
      <m:oMath>
        <m:r>
          <m:t>Z</m:t>
        </m:r>
        <m:d>
          <m:dPr>
            <m:begChr m:val="("/>
            <m:sepChr m:val=""/>
            <m:endChr m:val=")"/>
            <m:grow/>
          </m:dPr>
          <m:e>
            <m:sSub>
              <m:e>
                <m:r>
                  <m:rPr>
                    <m:sty m:val="b"/>
                  </m:rPr>
                  <m:t>x</m:t>
                </m:r>
              </m:e>
              <m:sub>
                <m:r>
                  <m:t>i</m:t>
                </m:r>
              </m:sub>
            </m:sSub>
          </m:e>
        </m:d>
      </m:oMath>
      <w:r>
        <w:t xml:space="preserve">, mais fournissent une information probabiliste sur sa valeur.</w:t>
      </w:r>
    </w:p>
    <w:p>
      <w:pPr>
        <w:pStyle w:val="BodyText"/>
      </w:pPr>
      <w:r>
        <w:t xml:space="preserve">Dans l’exemple du réservoir pétrolier, les données sismiques peuvent fournir une estimation approximative de la profondeur du toit. À partir d’une calibration entre les données sismiques et les profondeurs observées dans les forages, on construit une fonction de répartition locale :</w:t>
      </w:r>
    </w:p>
    <w:p>
      <w:pPr>
        <w:pStyle w:val="BodyText"/>
      </w:pPr>
      <m:oMathPara>
        <m:oMathParaPr>
          <m:jc m:val="center"/>
        </m:oMathParaPr>
        <m:oMath>
          <m:sSub>
            <m:e>
              <m:r>
                <m:t>G</m:t>
              </m:r>
            </m:e>
            <m:sub>
              <m:r>
                <m:t>i</m:t>
              </m:r>
            </m:sub>
          </m:sSub>
          <m:d>
            <m:dPr>
              <m:begChr m:val="("/>
              <m:sepChr m:val=""/>
              <m:endChr m:val=")"/>
              <m:grow/>
            </m:dPr>
            <m:e>
              <m:r>
                <m:t>z</m:t>
              </m:r>
              <m:r>
                <m:rPr>
                  <m:sty m:val="p"/>
                </m:rPr>
                <m:t>∣</m:t>
              </m:r>
              <m:sSub>
                <m:e>
                  <m:r>
                    <m:t>S</m:t>
                  </m:r>
                </m:e>
                <m:sub>
                  <m:r>
                    <m:t>i</m:t>
                  </m:r>
                </m:sub>
              </m:sSub>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i</m:t>
                      </m:r>
                    </m:sub>
                  </m:sSub>
                </m:e>
              </m:d>
              <m:r>
                <m:rPr>
                  <m:sty m:val="p"/>
                </m:rPr>
                <m:t>≤</m:t>
              </m:r>
              <m:r>
                <m:t>z</m:t>
              </m:r>
              <m:r>
                <m:rPr>
                  <m:sty m:val="p"/>
                </m:rPr>
                <m:t>∣</m:t>
              </m:r>
              <m:sSub>
                <m:e>
                  <m:r>
                    <m:t>S</m:t>
                  </m:r>
                </m:e>
                <m:sub>
                  <m:r>
                    <m:t>i</m:t>
                  </m:r>
                </m:sub>
              </m:sSub>
            </m:e>
          </m:d>
          <m:r>
            <m:rPr>
              <m:sty m:val="p"/>
            </m:rPr>
            <m:t>,</m:t>
          </m:r>
        </m:oMath>
      </m:oMathPara>
    </w:p>
    <w:p>
      <w:pPr>
        <w:pStyle w:val="FirstParagraph"/>
      </w:pPr>
      <w:r>
        <w:t xml:space="preserve">où</w:t>
      </w:r>
      <w:r>
        <w:t xml:space="preserve"> </w:t>
      </w:r>
      <m:oMath>
        <m:sSub>
          <m:e>
            <m:r>
              <m:t>S</m:t>
            </m:r>
          </m:e>
          <m:sub>
            <m:r>
              <m:t>i</m:t>
            </m:r>
          </m:sub>
        </m:sSub>
      </m:oMath>
      <w:r>
        <w:t xml:space="preserve"> </w:t>
      </w:r>
      <w:r>
        <w:t xml:space="preserve">représente l’information sismique disponible au point</w:t>
      </w:r>
      <w:r>
        <w:t xml:space="preserve"> </w:t>
      </w:r>
      <m:oMath>
        <m:sSub>
          <m:e>
            <m:r>
              <m:rPr>
                <m:sty m:val="b"/>
              </m:rPr>
              <m:t>x</m:t>
            </m:r>
          </m:e>
          <m:sub>
            <m:r>
              <m:t>i</m:t>
            </m:r>
          </m:sub>
        </m:sSub>
      </m:oMath>
      <w:r>
        <w:t xml:space="preserve">.</w:t>
      </w:r>
    </w:p>
    <w:p>
      <w:pPr>
        <w:pStyle w:val="BodyText"/>
      </w:pPr>
      <w:r>
        <w:t xml:space="preserve">Pour chaque seuil</w:t>
      </w:r>
      <w:r>
        <w:t xml:space="preserve"> </w:t>
      </w:r>
      <m:oMath>
        <m:sSub>
          <m:e>
            <m:r>
              <m:t>z</m:t>
            </m:r>
          </m:e>
          <m:sub>
            <m:r>
              <m:t>c</m:t>
            </m:r>
          </m:sub>
        </m:sSub>
      </m:oMath>
      <w:r>
        <w:t xml:space="preserve">, la donnée souple fournit alors la probabilité :</w:t>
      </w:r>
    </w:p>
    <w:p>
      <w:pPr>
        <w:pStyle w:val="BodyText"/>
      </w:pPr>
      <m:oMathPara>
        <m:oMathParaPr>
          <m:jc m:val="center"/>
        </m:oMathParaPr>
        <m:oMath>
          <m:sSub>
            <m:e>
              <m:r>
                <m:t>q</m:t>
              </m:r>
            </m:e>
            <m:sub>
              <m:r>
                <m:t>i</m:t>
              </m:r>
            </m:sub>
          </m:sSub>
          <m:d>
            <m:dPr>
              <m:begChr m:val="("/>
              <m:sepChr m:val=""/>
              <m:endChr m:val=")"/>
              <m:grow/>
            </m:dPr>
            <m:e>
              <m:sSub>
                <m:e>
                  <m:r>
                    <m:t>z</m:t>
                  </m:r>
                </m:e>
                <m:sub>
                  <m:r>
                    <m:t>c</m:t>
                  </m:r>
                </m:sub>
              </m:sSub>
            </m:e>
          </m:d>
          <m:r>
            <m:rPr>
              <m:sty m:val="p"/>
            </m:rPr>
            <m:t>=</m:t>
          </m:r>
          <m:sSub>
            <m:e>
              <m:r>
                <m:t>G</m:t>
              </m:r>
            </m:e>
            <m:sub>
              <m:r>
                <m:t>i</m:t>
              </m:r>
            </m:sub>
          </m:sSub>
          <m:d>
            <m:dPr>
              <m:begChr m:val="("/>
              <m:sepChr m:val=""/>
              <m:endChr m:val=")"/>
              <m:grow/>
            </m:dPr>
            <m:e>
              <m:sSub>
                <m:e>
                  <m:r>
                    <m:t>z</m:t>
                  </m:r>
                </m:e>
                <m:sub>
                  <m:r>
                    <m:t>c</m:t>
                  </m:r>
                </m:sub>
              </m:sSub>
              <m:r>
                <m:rPr>
                  <m:sty m:val="p"/>
                </m:rPr>
                <m:t>∣</m:t>
              </m:r>
              <m:sSub>
                <m:e>
                  <m:r>
                    <m:t>S</m:t>
                  </m:r>
                </m:e>
                <m:sub>
                  <m:r>
                    <m:t>i</m:t>
                  </m:r>
                </m:sub>
              </m:sSub>
            </m:e>
          </m:d>
          <m:r>
            <m:rPr>
              <m:sty m:val="p"/>
            </m:rPr>
            <m:t>.</m:t>
          </m:r>
        </m:oMath>
      </m:oMathPara>
    </w:p>
    <w:p>
      <w:pPr>
        <w:pStyle w:val="FirstParagraph"/>
      </w:pPr>
      <w:r>
        <w:t xml:space="preserve">Les données souples et les mesures bruitées conduisent donc toutes deux à des indicatrices probabilistes. La distinction porte sur l’origine de l’incertitude : dans le premier cas, l’information provient d’une variable secondaire ou d’une interprétation indirecte; dans le second, on dispose d’une mesure directe de</w:t>
      </w:r>
      <w:r>
        <w:t xml:space="preserve"> </w:t>
      </w:r>
      <m:oMath>
        <m:r>
          <m:t>Z</m:t>
        </m:r>
      </m:oMath>
      <w:r>
        <w:t xml:space="preserve"> </w:t>
      </w:r>
      <w:r>
        <w:t xml:space="preserve">entachée d’une erreur.</w:t>
      </w:r>
    </w:p>
    <w:p>
      <w:pPr>
        <w:pStyle w:val="BodyText"/>
      </w:pPr>
      <w:r>
        <w:t xml:space="preserve">Ces probabilités ne doivent pas être traitées comme des observations dures. Elles constituent des informations locales dont la combinaison avec les indicatrices exactes doit tenir compte de leur fiabilité et de leur relation avec la variable étudiée.</w:t>
      </w:r>
    </w:p>
    <w:p>
      <w:pPr>
        <w:pStyle w:val="BodyText"/>
      </w:pPr>
      <w:r>
        <w:t xml:space="preserve">La</w:t>
      </w:r>
      <w:r>
        <w:t xml:space="preserve"> </w:t>
      </w:r>
      <w:hyperlink w:anchor="fig-C11_SoftKriging_Result">
        <w:r>
          <w:rPr>
            <w:rStyle w:val="Hyperlink"/>
          </w:rPr>
          <w:t xml:space="preserve">Figure 7</w:t>
        </w:r>
      </w:hyperlink>
      <w:r>
        <w:t xml:space="preserve"> </w:t>
      </w:r>
      <w:r>
        <w:t xml:space="preserve">illustre les différents traitements. Le cadran supérieur droit montre l’intégration de la donnée d’inégalité. Les deux cadrans inférieurs présentent l’utilisation d’une donnée souple : à gauche, la fonction de répartition locale déduite du levé géophysique; à droite, son effet sur l’espérance conditionnelle reconstruite par krigeage d’indicatrices.</w:t>
      </w:r>
    </w:p>
    <w:tbl>
      <w:tblPr>
        <w:tblStyle w:val="Table"/>
        <w:tblW w:type="pct" w:w="5000"/>
        <w:tblLayout w:type="fixed"/>
        <w:tblLook w:firstRow="0" w:lastRow="0" w:firstColumn="0" w:lastColumn="0" w:noHBand="0" w:noVBand="0" w:val="0000"/>
      </w:tblPr>
      <w:tblGrid>
        <w:gridCol w:w="7920"/>
      </w:tblGrid>
      <w:tr>
        <w:tc>
          <w:tcPr/>
          <w:bookmarkStart w:id="83" w:name="fig-C11_SoftKriging_Result"/>
          <w:p>
            <w:pPr>
              <w:pStyle w:val="Compact"/>
              <w:jc w:val="center"/>
            </w:pPr>
            <w:r>
              <w:drawing>
                <wp:inline>
                  <wp:extent cx="5334000" cy="3956436"/>
                  <wp:effectExtent b="0" l="0" r="0" t="0"/>
                  <wp:docPr descr="" title="" id="81" name="Picture"/>
                  <a:graphic>
                    <a:graphicData uri="http://schemas.openxmlformats.org/drawingml/2006/picture">
                      <pic:pic>
                        <pic:nvPicPr>
                          <pic:cNvPr descr="images/C11_SoftKriging_Result.png" id="82" name="Picture"/>
                          <pic:cNvPicPr>
                            <a:picLocks noChangeArrowheads="1" noChangeAspect="1"/>
                          </pic:cNvPicPr>
                        </pic:nvPicPr>
                        <pic:blipFill>
                          <a:blip r:embed="rId80"/>
                          <a:stretch>
                            <a:fillRect/>
                          </a:stretch>
                        </pic:blipFill>
                        <pic:spPr bwMode="auto">
                          <a:xfrm>
                            <a:off x="0" y="0"/>
                            <a:ext cx="5334000" cy="3956436"/>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Résultats du krigeage d’indicatrices avec une donnée d’inégalité et des données souples.</w:t>
            </w:r>
          </w:p>
          <w:bookmarkEnd w:id="83"/>
        </w:tc>
      </w:tr>
    </w:tbl>
    <w:p>
      <w:pPr>
        <w:pStyle w:val="BodyText"/>
      </w:pPr>
      <w:r>
        <w:t xml:space="preserve">En résumé, une donnée d’inégalité détermine exactement certaines indicatrices et laisse les autres inconnues. Une mesure bruitée produit des probabilités d’indicatrices à partir d’un modèle d’erreur. Une donnée souple produit également des probabilités d’indicatrices, mais à partir d’une information indirecte ou secondaire.</w:t>
      </w:r>
    </w:p>
    <w:bookmarkEnd w:id="84"/>
    <w:bookmarkEnd w:id="85"/>
    <w:bookmarkStart w:id="86" w:name="X23a815464d232601ecd3ccb31e50a56b69a7215"/>
    <w:p>
      <w:pPr>
        <w:pStyle w:val="Heading2"/>
      </w:pPr>
      <w:r>
        <w:t xml:space="preserve">🧮 Atelier interactif 11.5 — Donnée d’inégalité : toit d’un réservoir</w:t>
      </w:r>
    </w:p>
    <w:p>
      <w:pPr>
        <w:pStyle w:val="FirstParagraph"/>
      </w:pPr>
      <w:r>
        <w:t xml:space="preserve">Cet atelier n’est disponible que dans la version web.</w:t>
      </w:r>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64" Target="media/rId64.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Krigeage d’indicatrices</dc:title>
  <dc:creator/>
  <dc:language>fr</dc:language>
  <cp:keywords/>
  <dcterms:created xsi:type="dcterms:W3CDTF">2026-08-01T02:18:06Z</dcterms:created>
  <dcterms:modified xsi:type="dcterms:W3CDTF">2026-08-01T02:18:06Z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 krigeage d’indicatrices (KI), une méthode géostatistique non linéaire qui estime directement la fonction de répartition locale de la variable à chaque emplacement non échantillonné. Le KI convient aux phénomènes non gaussiens, fortement asymétriques ou dont la continuité spatiale varie selon les classes de valeurs. La méthode est fort utilse pour estimer des probabilités de dépassement d’un seuil, il sert notamment en géologie minière, en hydrogéologie et en génie de l’environnement. Des ateliers interactifs permettent de manipuler le codage, la construction de la fonction de répartition, la correction des relations d’ordre et le changement de support.</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