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30.png" ContentType="image/png"/>
  <Override PartName="/word/media/rId35.png" ContentType="image/png"/>
  <Override PartName="/word/media/rId67.png" ContentType="image/png"/>
  <Override PartName="/word/media/rId61.png" ContentType="image/png"/>
  <Override PartName="/word/media/rId95.png" ContentType="image/png"/>
  <Override PartName="/word/media/rId41.png" ContentType="image/png"/>
  <Override PartName="/word/media/rId87.png" ContentType="image/png"/>
  <Override PartName="/word/media/rId48.png" ContentType="image/png"/>
  <Override PartName="/word/media/rId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Variance de blocs, de dispersion et d’estimation</w:t>
      </w:r>
    </w:p>
    <w:p>
      <w:pPr>
        <w:pStyle w:val="AbstractTitle"/>
      </w:pPr>
      <w:r>
        <w:t xml:space="preserve">Résumé</w:t>
      </w:r>
    </w:p>
    <w:p>
      <w:pPr>
        <w:pStyle w:val="Abstract"/>
      </w:pPr>
      <w:r>
        <w:t xml:space="preserve">Ce chapitre présente la variance de bloc, la variance de dispersion et la variance d’estimation. Il vise à montrer comment la variabilité des teneurs évolue lorsque l’analyse porte non plus uniquement sur des échantillons ponctuels, mais également sur des blocs, des panneaux ou des volumes de plus grande taille. À partir du variogramme, cette variabilité peut être reliée à la continuité spatiale du gisement et quantifiée au moyen de différents calculs, parfois réalisés à l’aide d’abaques. Ces notions sont ensuite mobilisées pour examiner des problèmes plus pratiques, notamment l’homogénéisation du minerai, la variabilité du matériau envoyé au concentrateur et l’effet de la configuration de l’échantillonnage.</w:t>
      </w:r>
    </w:p>
    <w:sdt>
      <w:sdtPr>
        <w:docPartObj>
          <w:docPartGallery w:val="Table of Contents"/>
          <w:docPartUnique/>
        </w:docPartObj>
      </w:sdtPr>
      <w:sdtContent>
        <w:p>
          <w:pPr>
            <w:pStyle w:val="TOCHeading"/>
          </w:pPr>
          <w:r>
            <w:t xml:space="preserve">Table des matieres</w:t>
          </w:r>
        </w:p>
        <w:p>
          <w:r>
            <w:fldChar w:fldCharType="begin" w:dirty="true"/>
            <w:instrText xml:space="preserve">TOC \o "1-4" \h \z \u</w:instrText>
            <w:fldChar w:fldCharType="separate"/>
            <w:fldChar w:fldCharType="end"/>
          </w:r>
        </w:p>
      </w:sdtContent>
    </w:sdt>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danyl\AppData\Local\Programs\Quarto\share\formats\docx\important.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Objectifs d’apprentissage</w:t>
            </w:r>
          </w:p>
        </w:tc>
      </w:tr>
      <w:tr>
        <w:trPr>
          <w:cantSplit/>
        </w:trPr>
        <w:tc>
          <w:tcPr>
            <w:tcMar>
              <w:top w:w="108" w:type="dxa"/>
              <w:bottom w:w="108" w:type="dxa"/>
            </w:tcMar>
          </w:tcPr>
          <w:p>
            <w:pPr>
              <w:pStyle w:val="BodyText"/>
            </w:pPr>
            <w:pPr>
              <w:spacing w:before="16"/>
            </w:pPr>
            <w:r>
              <w:t xml:space="preserve">À la fin de ce chapitre, vous serez en mesure de :</w:t>
            </w:r>
          </w:p>
          <w:p>
            <w:pPr>
              <w:numPr>
                <w:ilvl w:val="0"/>
                <w:numId w:val="1001"/>
              </w:numPr>
            </w:pPr>
            <w:r>
              <w:t xml:space="preserve">Comprendre les notions de variance de bloc et de variance de dispersion et décrire le lien avec le variogramme et la continuité spatiale qu’il exprime;</w:t>
            </w:r>
          </w:p>
          <w:p>
            <w:pPr>
              <w:numPr>
                <w:ilvl w:val="0"/>
                <w:numId w:val="1001"/>
              </w:numPr>
            </w:pPr>
            <w:r>
              <w:t xml:space="preserve">Calculer les variances de bloc et variances de dispersion avec les abaques ;</w:t>
            </w:r>
          </w:p>
          <w:p>
            <w:pPr>
              <w:numPr>
                <w:ilvl w:val="0"/>
                <w:numId w:val="1001"/>
              </w:numPr>
            </w:pPr>
            <w:r>
              <w:t xml:space="preserve">Effectuer la sélection de la meilleure alternative pour homogénéiser le minerai ;</w:t>
            </w:r>
          </w:p>
          <w:p>
            <w:pPr>
              <w:numPr>
                <w:ilvl w:val="0"/>
                <w:numId w:val="1001"/>
              </w:numPr>
            </w:pPr>
            <w:r>
              <w:t xml:space="preserve">Recommander un sens de déplacement d’une pelle dans une mine pour minimiser la variabilité au concentrateur ;</w:t>
            </w:r>
          </w:p>
          <w:p>
            <w:pPr>
              <w:numPr>
                <w:ilvl w:val="0"/>
                <w:numId w:val="1001"/>
              </w:numPr>
            </w:pPr>
            <w:r>
              <w:t xml:space="preserve">Prévoir l’impact sur la variabilité au concentrateur d’exploiter simultanément différentes portions du gisement ;</w:t>
            </w:r>
          </w:p>
          <w:p>
            <w:pPr>
              <w:numPr>
                <w:ilvl w:val="0"/>
                <w:numId w:val="1001"/>
              </w:numPr>
            </w:pPr>
            <w:r>
              <w:t xml:space="preserve">Comprendre la notion de variance d’estimation;</w:t>
            </w:r>
          </w:p>
          <w:p>
            <w:pPr>
              <w:numPr>
                <w:ilvl w:val="0"/>
                <w:numId w:val="1001"/>
              </w:numPr>
            </w:pPr>
            <w:r>
              <w:t xml:space="preserve">Calculer des variances d’estimation pour une configuration d’estimation et le modèle de variogramme;</w:t>
            </w:r>
          </w:p>
          <w:p>
            <w:pPr>
              <w:numPr>
                <w:ilvl w:val="0"/>
                <w:numId w:val="1001"/>
              </w:numPr>
            </w:pPr>
            <w:r>
              <w:t xml:space="preserve">Identifier le lien entre patron d’échantillonnage et l’anisotropie du variogramme.</w:t>
            </w:r>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C:\Users\danyl\AppData\Local\Programs\Quarto\share\formats\docx\note.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Références</w:t>
            </w:r>
          </w:p>
        </w:tc>
      </w:tr>
      <w:tr>
        <w:trPr>
          <w:cantSplit/>
        </w:trPr>
        <w:tc>
          <w:tcPr>
            <w:tcMar>
              <w:top w:w="108" w:type="dxa"/>
              <w:bottom w:w="108" w:type="dxa"/>
            </w:tcMar>
          </w:tcPr>
          <w:p>
            <w:pPr>
              <w:pStyle w:val="BodyText"/>
            </w:pPr>
            <w:pPr>
              <w:spacing w:before="16"/>
            </w:pPr>
            <w:r>
              <w:t xml:space="preserve">Ce chapitre s’appuie principalement sur les ouvrages suivants :</w:t>
            </w:r>
          </w:p>
          <w:p>
            <w:pPr>
              <w:pStyle w:val="BodyText"/>
            </w:pPr>
            <w:r>
              <w:t xml:space="preserve">Chilès, J., &amp; Delfiner, P. (2012).</w:t>
            </w:r>
            <w:r>
              <w:t xml:space="preserve"> </w:t>
            </w:r>
            <w:r>
              <w:rPr>
                <w:i/>
                <w:iCs/>
              </w:rPr>
              <w:t xml:space="preserve">Geostatistics: Modeling Spatial Uncertainty</w:t>
            </w:r>
            <w:r>
              <w:t xml:space="preserve">. John Wiley &amp; Sons.</w:t>
            </w:r>
          </w:p>
          <w:p>
            <w:pPr>
              <w:pStyle w:val="BodyText"/>
            </w:pPr>
            <w:pPr>
              <w:spacing w:after="16"/>
            </w:pPr>
            <w:r>
              <w:t xml:space="preserve">Journel, A. G., &amp; Huijbregts, C. J. (1978).</w:t>
            </w:r>
            <w:r>
              <w:t xml:space="preserve"> </w:t>
            </w:r>
            <w:r>
              <w:rPr>
                <w:i/>
                <w:iCs/>
              </w:rPr>
              <w:t xml:space="preserve">Mining Geostatistics</w:t>
            </w:r>
            <w:r>
              <w:t xml:space="preserve">. Academic Press.</w:t>
            </w:r>
          </w:p>
          <w:p/>
        </w:tc>
      </w:tr>
    </w:tbl>
    <w:bookmarkStart w:id="26" w:name="définitions"/>
    <w:p>
      <w:pPr>
        <w:pStyle w:val="Heading2"/>
      </w:pPr>
      <w:r>
        <w:t xml:space="preserve">1 Définitions</w:t>
      </w:r>
    </w:p>
    <w:p>
      <w:pPr>
        <w:pStyle w:val="FirstParagraph"/>
      </w:pPr>
      <w:r>
        <w:t xml:space="preserve">Le variogramme quantifie la variabilité spatiale d’une variable régionalisée. À partir de cet outil, trois types de variances peuvent être calculés. Elles jouent un rôle important dans la compréhension et la gestion de l’hétérogénéité d’un gisement.</w:t>
      </w:r>
    </w:p>
    <w:p>
      <w:pPr>
        <w:numPr>
          <w:ilvl w:val="0"/>
          <w:numId w:val="1002"/>
        </w:numPr>
      </w:pPr>
      <w:r>
        <w:rPr>
          <w:b/>
          <w:bCs/>
        </w:rPr>
        <w:t xml:space="preserve">Variance de bloc</w:t>
      </w:r>
      <w:r>
        <w:t xml:space="preserve"> (</w:t>
      </w:r>
      <m:oMath>
        <m:sSubSup>
          <m:e>
            <m:r>
              <m:t>σ</m:t>
            </m:r>
          </m:e>
          <m:sub>
            <m:r>
              <m:t>V</m:t>
            </m:r>
          </m:sub>
          <m:sup>
            <m:r>
              <m:t>2</m:t>
            </m:r>
          </m:sup>
        </m:sSubSup>
      </m:oMath>
      <w:r>
        <w:t xml:space="preserve">) : mesure la variabilité des teneurs moyennes de blocs de volume</w:t>
      </w:r>
      <w:r>
        <w:t xml:space="preserve"> </w:t>
      </w:r>
      <m:oMath>
        <m:r>
          <m:t>V</m:t>
        </m:r>
      </m:oMath>
      <w:r>
        <w:t xml:space="preserve"> </w:t>
      </w:r>
      <w:r>
        <w:t xml:space="preserve">dans un domaine théoriquement infini. Elle permet de quantifier l’effet de support, c’est-à-dire la diminution de la variabilité lorsque l’on passe d’un échantillon ponctuel à un volume plus grand.</w:t>
      </w:r>
    </w:p>
    <w:p>
      <w:pPr>
        <w:numPr>
          <w:ilvl w:val="0"/>
          <w:numId w:val="1002"/>
        </w:numPr>
      </w:pPr>
      <w:r>
        <w:rPr>
          <w:b/>
          <w:bCs/>
        </w:rPr>
        <w:t xml:space="preserve">Variance de dispersion</w:t>
      </w:r>
      <w:r>
        <w:t xml:space="preserve"> (</w:t>
      </w:r>
      <m:oMath>
        <m:sSup>
          <m:e>
            <m:r>
              <m:t>D</m:t>
            </m:r>
          </m:e>
          <m:sup>
            <m:r>
              <m:t>2</m:t>
            </m:r>
          </m:sup>
        </m:sSup>
        <m:d>
          <m:dPr>
            <m:begChr m:val="("/>
            <m:sepChr m:val=""/>
            <m:endChr m:val=")"/>
            <m:grow/>
          </m:dPr>
          <m:e>
            <m:r>
              <m:t>v</m:t>
            </m:r>
            <m:r>
              <m:rPr>
                <m:sty m:val="p"/>
              </m:rPr>
              <m:t>∣</m:t>
            </m:r>
            <m:r>
              <m:t>V</m:t>
            </m:r>
          </m:e>
        </m:d>
      </m:oMath>
      <w:r>
        <w:t xml:space="preserve">) : représente la variabilité des petits blocs</w:t>
      </w:r>
      <w:r>
        <w:t xml:space="preserve"> </w:t>
      </w:r>
      <m:oMath>
        <m:r>
          <m:t>v</m:t>
        </m:r>
      </m:oMath>
      <w:r>
        <w:t xml:space="preserve"> </w:t>
      </w:r>
      <w:r>
        <w:t xml:space="preserve">à l’intérieur d’un volume fini</w:t>
      </w:r>
      <w:r>
        <w:t xml:space="preserve"> </w:t>
      </w:r>
      <m:oMath>
        <m:r>
          <m:t>V</m:t>
        </m:r>
      </m:oMath>
      <w:r>
        <w:t xml:space="preserve">. Elle met en évidence l’hétérogénéité interne d’un ensemble, par exemple un panneau, un tas ou une pile de minerai.</w:t>
      </w:r>
    </w:p>
    <w:p>
      <w:pPr>
        <w:numPr>
          <w:ilvl w:val="0"/>
          <w:numId w:val="1002"/>
        </w:numPr>
      </w:pPr>
      <w:r>
        <w:rPr>
          <w:b/>
          <w:bCs/>
        </w:rPr>
        <w:t xml:space="preserve">Variance d’estimation</w:t>
      </w:r>
      <w:r>
        <w:t xml:space="preserve"> (</w:t>
      </w:r>
      <m:oMath>
        <m:sSubSup>
          <m:e>
            <m:r>
              <m:t>σ</m:t>
            </m:r>
          </m:e>
          <m:sub>
            <m:r>
              <m:t>e</m:t>
            </m:r>
          </m:sub>
          <m:sup>
            <m:r>
              <m:t>2</m:t>
            </m:r>
          </m:sup>
        </m:sSubSup>
      </m:oMath>
      <w:r>
        <w:t xml:space="preserve">) : exprime l’incertitude associée à l’estimation de la teneur moyenne d’un bloc. Elle dépend notamment de l’espacement et de la configuration des données, du volume estimé et du modèle de variogramme utilisé.</w:t>
      </w:r>
    </w:p>
    <w:bookmarkEnd w:id="26"/>
    <w:bookmarkStart w:id="46" w:name="variances-de-blocs"/>
    <w:p>
      <w:pPr>
        <w:pStyle w:val="Heading2"/>
      </w:pPr>
      <w:r>
        <w:t xml:space="preserve">2 Variances de blocs</w:t>
      </w:r>
    </w:p>
    <w:p>
      <w:pPr>
        <w:pStyle w:val="FirstParagraph"/>
      </w:pPr>
      <w:r>
        <w:t xml:space="preserve">Jusqu’à présent, le variogramme a été considéré sur un support quasi ponctuel, correspondant au volume d’une carotte ou d’un composite. Ce support n’est pas réellement ponctuel, mais il peut être approximé comme tel lorsqu’il est très petit par rapport aux dimensions des blocs et aux échelles de continuité du gisement.</w:t>
      </w:r>
    </w:p>
    <w:p>
      <w:pPr>
        <w:pStyle w:val="BodyText"/>
      </w:pPr>
      <w:r>
        <w:t xml:space="preserve">Le support d’exploitation est toutefois beaucoup plus grand. Dans une mine, les décisions portent généralement sur des blocs de dimensions significatives, par exemple</w:t>
      </w:r>
      <w:r>
        <w:t xml:space="preserve"> </w:t>
      </w:r>
      <m:oMath>
        <m:r>
          <m:t>5</m:t>
        </m:r>
        <m:r>
          <m:t> </m:t>
        </m:r>
        <m:r>
          <m:rPr>
            <m:nor/>
            <m:sty m:val="p"/>
          </m:rPr>
          <m:t>m</m:t>
        </m:r>
        <m:r>
          <m:rPr>
            <m:sty m:val="p"/>
          </m:rPr>
          <m:t>×</m:t>
        </m:r>
        <m:r>
          <m:t>5</m:t>
        </m:r>
        <m:r>
          <m:t> </m:t>
        </m:r>
        <m:r>
          <m:rPr>
            <m:nor/>
            <m:sty m:val="p"/>
          </m:rPr>
          <m:t>m</m:t>
        </m:r>
        <m:r>
          <m:rPr>
            <m:sty m:val="p"/>
          </m:rPr>
          <m:t>×</m:t>
        </m:r>
        <m:r>
          <m:t>5</m:t>
        </m:r>
        <m:r>
          <m:t> </m:t>
        </m:r>
        <m:r>
          <m:rPr>
            <m:nor/>
            <m:sty m:val="p"/>
          </m:rPr>
          <m:t>m</m:t>
        </m:r>
      </m:oMath>
      <w:r>
        <w:t xml:space="preserve">. Il faut donc passer du support des données au support des blocs : c’est le</w:t>
      </w:r>
      <w:r>
        <w:t xml:space="preserve"> </w:t>
      </w:r>
      <w:r>
        <w:rPr>
          <w:b/>
          <w:bCs/>
        </w:rPr>
        <w:t xml:space="preserve">changement de support</w:t>
      </w:r>
      <w:r>
        <w:t xml:space="preserve">.</w:t>
      </w:r>
    </w:p>
    <w:p>
      <w:pPr>
        <w:pStyle w:val="BodyText"/>
      </w:pPr>
      <w:r>
        <w:t xml:space="preserve">La question est alors la suivante : comment utiliser le variogramme établi à partir des données pour quantifier la variabilité des teneurs moyennes des blocs?</w:t>
      </w:r>
    </w:p>
    <w:p>
      <w:pPr>
        <w:pStyle w:val="BodyText"/>
      </w:pPr>
      <w:r>
        <w:t xml:space="preserve">Deux notions complémentaires interviennent :</w:t>
      </w:r>
    </w:p>
    <w:p>
      <w:pPr>
        <w:numPr>
          <w:ilvl w:val="0"/>
          <w:numId w:val="1003"/>
        </w:numPr>
      </w:pPr>
      <w:r>
        <w:rPr>
          <w:b/>
          <w:bCs/>
        </w:rPr>
        <w:t xml:space="preserve">Variance de bloc</w:t>
      </w:r>
      <w:r>
        <w:t xml:space="preserve"> </w:t>
      </w:r>
      <w:r>
        <w:t xml:space="preserve">: décrit la variabilité des teneurs moyennes de blocs de support</w:t>
      </w:r>
      <w:r>
        <w:t xml:space="preserve"> </w:t>
      </w:r>
      <m:oMath>
        <m:r>
          <m:t>v</m:t>
        </m:r>
      </m:oMath>
      <w:r>
        <w:t xml:space="preserve"> </w:t>
      </w:r>
      <w:r>
        <w:t xml:space="preserve">dans un domaine stationnaire théoriquement infini. Elle correspond à</w:t>
      </w:r>
      <w:r>
        <w:t xml:space="preserve"> </w:t>
      </w:r>
      <m:oMath>
        <m:sSup>
          <m:e>
            <m:r>
              <m:t>D</m:t>
            </m:r>
          </m:e>
          <m:sup>
            <m:r>
              <m:t>2</m:t>
            </m:r>
          </m:sup>
        </m:sSup>
        <m:d>
          <m:dPr>
            <m:begChr m:val="("/>
            <m:sepChr m:val=""/>
            <m:endChr m:val=")"/>
            <m:grow/>
          </m:dPr>
          <m:e>
            <m:r>
              <m:t>v</m:t>
            </m:r>
            <m:r>
              <m:rPr>
                <m:sty m:val="p"/>
              </m:rPr>
              <m:t>∣</m:t>
            </m:r>
            <m:r>
              <m:rPr>
                <m:sty m:val="p"/>
              </m:rPr>
              <m:t>∞</m:t>
            </m:r>
          </m:e>
        </m:d>
      </m:oMath>
      <w:r>
        <w:t xml:space="preserve"> </w:t>
      </w:r>
      <w:r>
        <w:t xml:space="preserve">et n’est définie au sens strict que lorsque la variance globale est finie, donc lorsque le variogramme possède un palier.</w:t>
      </w:r>
    </w:p>
    <w:p>
      <w:pPr>
        <w:numPr>
          <w:ilvl w:val="0"/>
          <w:numId w:val="1003"/>
        </w:numPr>
      </w:pPr>
      <w:r>
        <w:rPr>
          <w:b/>
          <w:bCs/>
        </w:rPr>
        <w:t xml:space="preserve">Variance de dispersion</w:t>
      </w:r>
      <w:r>
        <w:t xml:space="preserve"> </w:t>
      </w:r>
      <w:r>
        <w:t xml:space="preserve">: décrit la variabilité des petites unités de support</w:t>
      </w:r>
      <w:r>
        <w:t xml:space="preserve"> </w:t>
      </w:r>
      <m:oMath>
        <m:r>
          <m:t>v</m:t>
        </m:r>
      </m:oMath>
      <w:r>
        <w:t xml:space="preserve"> </w:t>
      </w:r>
      <w:r>
        <w:t xml:space="preserve">à l’intérieur d’un volume fini</w:t>
      </w:r>
      <w:r>
        <w:t xml:space="preserve"> </w:t>
      </w:r>
      <m:oMath>
        <m:r>
          <m:t>V</m:t>
        </m:r>
      </m:oMath>
      <w:r>
        <w:t xml:space="preserve">. Elle correspond à</w:t>
      </w:r>
      <w:r>
        <w:t xml:space="preserve"> </w:t>
      </w:r>
      <m:oMath>
        <m:sSup>
          <m:e>
            <m:r>
              <m:t>D</m:t>
            </m:r>
          </m:e>
          <m:sup>
            <m:r>
              <m:t>2</m:t>
            </m:r>
          </m:sup>
        </m:sSup>
        <m:d>
          <m:dPr>
            <m:begChr m:val="("/>
            <m:sepChr m:val=""/>
            <m:endChr m:val=")"/>
            <m:grow/>
          </m:dPr>
          <m:e>
            <m:r>
              <m:t>v</m:t>
            </m:r>
            <m:r>
              <m:rPr>
                <m:sty m:val="p"/>
              </m:rPr>
              <m:t>∣</m:t>
            </m:r>
            <m:r>
              <m:t>V</m:t>
            </m:r>
          </m:e>
        </m:d>
      </m:oMath>
      <w:r>
        <w:t xml:space="preserve"> </w:t>
      </w:r>
      <w:r>
        <w:t xml:space="preserve">et peut être calculée même lorsque le variogramme ne possède pas de palier.</w:t>
      </w:r>
    </w:p>
    <w:p>
      <w:pPr>
        <w:pStyle w:val="FirstParagraph"/>
      </w:pPr>
      <w:r>
        <w:t xml:space="preserve">Ces notions interviennent notamment dans :</w:t>
      </w:r>
    </w:p>
    <w:p>
      <w:pPr>
        <w:pStyle w:val="Compact"/>
        <w:numPr>
          <w:ilvl w:val="0"/>
          <w:numId w:val="1004"/>
        </w:numPr>
      </w:pPr>
      <w:r>
        <w:t xml:space="preserve">l’évaluation des réserves récupérables;</w:t>
      </w:r>
    </w:p>
    <w:p>
      <w:pPr>
        <w:pStyle w:val="Compact"/>
        <w:numPr>
          <w:ilvl w:val="0"/>
          <w:numId w:val="1004"/>
        </w:numPr>
      </w:pPr>
      <w:r>
        <w:t xml:space="preserve">l’analyse des piles d’homogénéisation;</w:t>
      </w:r>
    </w:p>
    <w:p>
      <w:pPr>
        <w:pStyle w:val="Compact"/>
        <w:numPr>
          <w:ilvl w:val="0"/>
          <w:numId w:val="1004"/>
        </w:numPr>
      </w:pPr>
      <w:r>
        <w:t xml:space="preserve">l’étude de la variabilité de la production;</w:t>
      </w:r>
    </w:p>
    <w:p>
      <w:pPr>
        <w:pStyle w:val="Compact"/>
        <w:numPr>
          <w:ilvl w:val="0"/>
          <w:numId w:val="1004"/>
        </w:numPr>
      </w:pPr>
      <w:r>
        <w:t xml:space="preserve">le calcul des variances d’estimation.</w:t>
      </w:r>
    </w:p>
    <w:bookmarkStart w:id="27" w:name="définition-de-la-teneur-dun-bloc"/>
    <w:p>
      <w:pPr>
        <w:pStyle w:val="Heading3"/>
      </w:pPr>
      <w:r>
        <w:t xml:space="preserve">Définition de la teneur d’un bloc</w:t>
      </w:r>
    </w:p>
    <w:p>
      <w:pPr>
        <w:pStyle w:val="FirstParagraph"/>
      </w:pPr>
      <w:r>
        <w:t xml:space="preserve">Soit</w:t>
      </w:r>
      <w:r>
        <w:t xml:space="preserve"> </w:t>
      </w:r>
      <m:oMath>
        <m:r>
          <m:t>Z</m:t>
        </m:r>
        <m:d>
          <m:dPr>
            <m:begChr m:val="("/>
            <m:sepChr m:val=""/>
            <m:endChr m:val=")"/>
            <m:grow/>
          </m:dPr>
          <m:e>
            <m:r>
              <m:rPr>
                <m:sty m:val="b"/>
              </m:rPr>
              <m:t>x</m:t>
            </m:r>
          </m:e>
        </m:d>
      </m:oMath>
      <w:r>
        <w:t xml:space="preserve"> </w:t>
      </w:r>
      <w:r>
        <w:t xml:space="preserve">une fonction aléatoire définie au support ponctuel. Considérons un support</w:t>
      </w:r>
      <w:r>
        <w:t xml:space="preserve"> </w:t>
      </w:r>
      <m:oMath>
        <m:r>
          <m:t>v</m:t>
        </m:r>
      </m:oMath>
      <w:r>
        <w:t xml:space="preserve"> </w:t>
      </w:r>
      <w:r>
        <w:t xml:space="preserve">centré à la position</w:t>
      </w:r>
      <w:r>
        <w:t xml:space="preserve"> </w:t>
      </w:r>
      <m:oMath>
        <m:r>
          <m:rPr>
            <m:sty m:val="b"/>
          </m:rPr>
          <m:t>x</m:t>
        </m:r>
      </m:oMath>
      <w:r>
        <w:t xml:space="preserve">, noté</w:t>
      </w:r>
      <w:r>
        <w:t xml:space="preserve"> </w:t>
      </w:r>
      <m:oMath>
        <m:sSub>
          <m:e>
            <m:r>
              <m:t>v</m:t>
            </m:r>
          </m:e>
          <m:sub>
            <m:r>
              <m:rPr>
                <m:sty m:val="b"/>
              </m:rPr>
              <m:t>x</m:t>
            </m:r>
          </m:sub>
        </m:sSub>
      </m:oMath>
      <w:r>
        <w:t xml:space="preserve">.</w:t>
      </w:r>
    </w:p>
    <w:p>
      <w:pPr>
        <w:pStyle w:val="BodyText"/>
      </w:pPr>
      <w:r>
        <w:t xml:space="preserve">La teneur moyenne du bloc est :</w:t>
      </w:r>
    </w:p>
    <w:p>
      <w:pPr>
        <w:pStyle w:val="BodyText"/>
      </w:pPr>
      <m:oMathPara>
        <m:oMathParaPr>
          <m:jc m:val="center"/>
        </m:oMathParaPr>
        <m:oMath>
          <m:sSub>
            <m:e>
              <m:r>
                <m:t>Z</m:t>
              </m:r>
            </m:e>
            <m:sub>
              <m:r>
                <m:t>v</m:t>
              </m:r>
            </m:sub>
          </m:sSub>
          <m:d>
            <m:dPr>
              <m:begChr m:val="("/>
              <m:sepChr m:val=""/>
              <m:endChr m:val=")"/>
              <m:grow/>
            </m:dPr>
            <m:e>
              <m:r>
                <m:rPr>
                  <m:sty m:val="b"/>
                </m:rPr>
                <m:t>x</m:t>
              </m:r>
            </m:e>
          </m:d>
          <m:r>
            <m:rPr>
              <m:sty m:val="p"/>
            </m:rPr>
            <m:t>=</m:t>
          </m:r>
          <m:f>
            <m:fPr>
              <m:type m:val="bar"/>
            </m:fPr>
            <m:num>
              <m:r>
                <m:t>1</m:t>
              </m:r>
            </m:num>
            <m:den>
              <m:d>
                <m:dPr>
                  <m:begChr m:val="|"/>
                  <m:sepChr m:val=""/>
                  <m:endChr m:val="|"/>
                  <m:grow/>
                </m:dPr>
                <m:e>
                  <m:r>
                    <m:t>v</m:t>
                  </m:r>
                </m:e>
              </m:d>
            </m:den>
          </m:f>
          <m:nary>
            <m:naryPr>
              <m:chr m:val="∫"/>
              <m:limLoc m:val="subSup"/>
              <m:subHide m:val="off"/>
              <m:supHide m:val="on"/>
            </m:naryPr>
            <m:sub>
              <m:sSub>
                <m:e>
                  <m:r>
                    <m:t>v</m:t>
                  </m:r>
                </m:e>
                <m:sub>
                  <m:r>
                    <m:rPr>
                      <m:sty m:val="b"/>
                    </m:rPr>
                    <m:t>x</m:t>
                  </m:r>
                </m:sub>
              </m:sSub>
            </m:sub>
            <m:sup>
              <m:r>
                <m:t>​</m:t>
              </m:r>
            </m:sup>
            <m:e>
              <m:r>
                <m:t>Z</m:t>
              </m:r>
            </m:e>
          </m:nary>
          <m:d>
            <m:dPr>
              <m:begChr m:val="("/>
              <m:sepChr m:val=""/>
              <m:endChr m:val=")"/>
              <m:grow/>
            </m:dPr>
            <m:e>
              <m:r>
                <m:rPr>
                  <m:sty m:val="b"/>
                </m:rPr>
                <m:t>u</m:t>
              </m:r>
            </m:e>
          </m:d>
          <m:r>
            <m:t> </m:t>
          </m:r>
          <m:r>
            <m:t>d</m:t>
          </m:r>
          <m:r>
            <m:rPr>
              <m:sty m:val="b"/>
            </m:rPr>
            <m:t>u</m:t>
          </m:r>
          <m:r>
            <m:rPr>
              <m:sty m:val="p"/>
            </m:rPr>
            <m:t>,</m:t>
          </m:r>
        </m:oMath>
      </m:oMathPara>
    </w:p>
    <w:p>
      <w:pPr>
        <w:pStyle w:val="FirstParagraph"/>
      </w:pPr>
      <w:r>
        <w:t xml:space="preserve">où</w:t>
      </w:r>
      <w:r>
        <w:t xml:space="preserve"> </w:t>
      </w:r>
      <m:oMath>
        <m:d>
          <m:dPr>
            <m:begChr m:val="|"/>
            <m:sepChr m:val=""/>
            <m:endChr m:val="|"/>
            <m:grow/>
          </m:dPr>
          <m:e>
            <m:r>
              <m:t>v</m:t>
            </m:r>
          </m:e>
        </m:d>
      </m:oMath>
      <w:r>
        <w:t xml:space="preserve"> </w:t>
      </w:r>
      <w:r>
        <w:t xml:space="preserve">représente le volume, l’aire ou la longueur du support, selon la dimension du problème.</w:t>
      </w:r>
    </w:p>
    <w:p>
      <w:pPr>
        <w:pStyle w:val="BodyText"/>
      </w:pPr>
      <w:r>
        <w:t xml:space="preserve">Cette relation indique que la teneur du bloc est la moyenne des valeurs ponctuelles qui le composent.</w:t>
      </w:r>
    </w:p>
    <w:p>
      <w:pPr>
        <w:pStyle w:val="BodyText"/>
      </w:pPr>
      <w:r>
        <w:t xml:space="preserve">Sous stationnarité d’ordre 2, l’espérance est conservée lors du changement de support :</w:t>
      </w:r>
    </w:p>
    <w:p>
      <w:pPr>
        <w:pStyle w:val="BodyText"/>
      </w:pPr>
      <m:oMathPara>
        <m:oMathParaPr>
          <m:jc m:val="center"/>
        </m:oMathParaPr>
        <m:oMath>
          <m:r>
            <m:rPr>
              <m:sty m:val="p"/>
              <m:scr m:val="double-struck"/>
            </m:rPr>
            <m:t>E</m:t>
          </m:r>
          <m:d>
            <m:dPr>
              <m:begChr m:val="["/>
              <m:sepChr m:val=""/>
              <m:endChr m:val="]"/>
              <m:grow/>
            </m:dPr>
            <m:e>
              <m:sSub>
                <m:e>
                  <m:r>
                    <m:t>Z</m:t>
                  </m:r>
                </m:e>
                <m:sub>
                  <m:r>
                    <m:t>v</m:t>
                  </m:r>
                </m:sub>
              </m:sSub>
              <m:d>
                <m:dPr>
                  <m:begChr m:val="("/>
                  <m:sepChr m:val=""/>
                  <m:endChr m:val=")"/>
                  <m:grow/>
                </m:dPr>
                <m:e>
                  <m:r>
                    <m:rPr>
                      <m:sty m:val="b"/>
                    </m:rPr>
                    <m:t>x</m:t>
                  </m:r>
                </m:e>
              </m:d>
            </m:e>
          </m:d>
          <m:r>
            <m:rPr>
              <m:sty m:val="p"/>
            </m:rPr>
            <m:t>=</m:t>
          </m:r>
          <m:r>
            <m:t>m</m:t>
          </m:r>
          <m:r>
            <m:rPr>
              <m:sty m:val="p"/>
            </m:rPr>
            <m:t>.</m:t>
          </m:r>
        </m:oMath>
      </m:oMathPara>
    </w:p>
    <w:bookmarkEnd w:id="27"/>
    <w:bookmarkStart w:id="28" w:name="variance-de-bloc"/>
    <w:p>
      <w:pPr>
        <w:pStyle w:val="Heading3"/>
      </w:pPr>
      <w:r>
        <w:t xml:space="preserve">Variance de bloc</w:t>
      </w:r>
    </w:p>
    <w:p>
      <w:pPr>
        <w:pStyle w:val="FirstParagraph"/>
      </w:pPr>
      <w:r>
        <w:t xml:space="preserve">La variance de bloc est la variance des teneurs moyennes de blocs de support</w:t>
      </w:r>
      <w:r>
        <w:t xml:space="preserve"> </w:t>
      </w:r>
      <m:oMath>
        <m:r>
          <m:t>v</m:t>
        </m:r>
      </m:oMath>
      <w:r>
        <w:t xml:space="preserve"> </w:t>
      </w:r>
      <w:r>
        <w:t xml:space="preserve">dans un domaine théoriquement infini :</w:t>
      </w:r>
    </w:p>
    <w:p>
      <w:pPr>
        <w:pStyle w:val="BodyText"/>
      </w:pPr>
      <m:oMathPara>
        <m:oMathParaPr>
          <m:jc m:val="center"/>
        </m:oMathParaPr>
        <m:oMath>
          <m:sSubSup>
            <m:e>
              <m:r>
                <m:t>σ</m:t>
              </m:r>
            </m:e>
            <m:sub>
              <m:r>
                <m:t>v</m:t>
              </m:r>
            </m:sub>
            <m:sup>
              <m:r>
                <m:t>2</m:t>
              </m:r>
            </m:sup>
          </m:sSubSup>
          <m:r>
            <m:rPr>
              <m:sty m:val="p"/>
            </m:rPr>
            <m:t>=</m:t>
          </m:r>
          <m:sSup>
            <m:e>
              <m:r>
                <m:t>D</m:t>
              </m:r>
            </m:e>
            <m:sup>
              <m:r>
                <m:t>2</m:t>
              </m:r>
            </m:sup>
          </m:sSup>
          <m:d>
            <m:dPr>
              <m:begChr m:val="("/>
              <m:sepChr m:val=""/>
              <m:endChr m:val=")"/>
              <m:grow/>
            </m:dPr>
            <m:e>
              <m:r>
                <m:t>v</m:t>
              </m:r>
              <m:r>
                <m:rPr>
                  <m:sty m:val="p"/>
                </m:rPr>
                <m:t>∣</m:t>
              </m:r>
              <m:r>
                <m:rPr>
                  <m:sty m:val="p"/>
                </m:rPr>
                <m:t>∞</m:t>
              </m:r>
            </m:e>
          </m:d>
          <m:r>
            <m:rPr>
              <m:sty m:val="p"/>
            </m:rPr>
            <m:t>=</m:t>
          </m:r>
          <m:r>
            <m:rPr>
              <m:sty m:val="p"/>
            </m:rPr>
            <m:t>Var</m:t>
          </m:r>
          <m:d>
            <m:dPr>
              <m:begChr m:val="["/>
              <m:sepChr m:val=""/>
              <m:endChr m:val="]"/>
              <m:grow/>
            </m:dPr>
            <m:e>
              <m:sSub>
                <m:e>
                  <m:r>
                    <m:t>Z</m:t>
                  </m:r>
                </m:e>
                <m:sub>
                  <m:r>
                    <m:t>v</m:t>
                  </m:r>
                </m:sub>
              </m:sSub>
              <m:d>
                <m:dPr>
                  <m:begChr m:val="("/>
                  <m:sepChr m:val=""/>
                  <m:endChr m:val=")"/>
                  <m:grow/>
                </m:dPr>
                <m:e>
                  <m:r>
                    <m:rPr>
                      <m:sty m:val="b"/>
                    </m:rPr>
                    <m:t>x</m:t>
                  </m:r>
                </m:e>
              </m:d>
            </m:e>
          </m:d>
          <m:r>
            <m:rPr>
              <m:sty m:val="p"/>
            </m:rPr>
            <m:t>.</m:t>
          </m:r>
        </m:oMath>
      </m:oMathPara>
    </w:p>
    <w:p>
      <w:pPr>
        <w:pStyle w:val="FirstParagraph"/>
      </w:pPr>
      <w:r>
        <w:t xml:space="preserve">En remplaçant</w:t>
      </w:r>
      <w:r>
        <w:t xml:space="preserve"> </w:t>
      </w:r>
      <m:oMath>
        <m:sSub>
          <m:e>
            <m:r>
              <m:t>Z</m:t>
            </m:r>
          </m:e>
          <m:sub>
            <m:r>
              <m:t>v</m:t>
            </m:r>
          </m:sub>
        </m:sSub>
        <m:d>
          <m:dPr>
            <m:begChr m:val="("/>
            <m:sepChr m:val=""/>
            <m:endChr m:val=")"/>
            <m:grow/>
          </m:dPr>
          <m:e>
            <m:r>
              <m:rPr>
                <m:sty m:val="b"/>
              </m:rPr>
              <m:t>x</m:t>
            </m:r>
          </m:e>
        </m:d>
      </m:oMath>
      <w:r>
        <w:t xml:space="preserve"> </w:t>
      </w:r>
      <w:r>
        <w:t xml:space="preserve">par sa définition, on obtient :</w:t>
      </w:r>
    </w:p>
    <w:p>
      <w:pPr>
        <w:pStyle w:val="BodyText"/>
      </w:pPr>
      <m:oMathPara>
        <m:oMathParaPr>
          <m:jc m:val="center"/>
        </m:oMathParaPr>
        <m:oMath>
          <m:sSubSup>
            <m:e>
              <m:r>
                <m:t>σ</m:t>
              </m:r>
            </m:e>
            <m:sub>
              <m:r>
                <m:t>v</m:t>
              </m:r>
            </m:sub>
            <m:sup>
              <m:r>
                <m:t>2</m:t>
              </m:r>
            </m:sup>
          </m:sSubSup>
          <m:r>
            <m:rPr>
              <m:sty m:val="p"/>
            </m:rPr>
            <m:t>=</m:t>
          </m:r>
          <m:r>
            <m:rPr>
              <m:sty m:val="p"/>
            </m:rPr>
            <m:t>Var</m:t>
          </m:r>
          <m:d>
            <m:dPr>
              <m:begChr m:val="["/>
              <m:sepChr m:val=""/>
              <m:endChr m:val="]"/>
              <m:grow/>
            </m:dPr>
            <m:e>
              <m:f>
                <m:fPr>
                  <m:type m:val="bar"/>
                </m:fPr>
                <m:num>
                  <m:r>
                    <m:t>1</m:t>
                  </m:r>
                </m:num>
                <m:den>
                  <m:d>
                    <m:dPr>
                      <m:begChr m:val="|"/>
                      <m:sepChr m:val=""/>
                      <m:endChr m:val="|"/>
                      <m:grow/>
                    </m:dPr>
                    <m:e>
                      <m:r>
                        <m:t>v</m:t>
                      </m:r>
                    </m:e>
                  </m:d>
                </m:den>
              </m:f>
              <m:nary>
                <m:naryPr>
                  <m:chr m:val="∫"/>
                  <m:limLoc m:val="subSup"/>
                  <m:subHide m:val="off"/>
                  <m:supHide m:val="on"/>
                </m:naryPr>
                <m:sub>
                  <m:sSub>
                    <m:e>
                      <m:r>
                        <m:t>v</m:t>
                      </m:r>
                    </m:e>
                    <m:sub>
                      <m:r>
                        <m:rPr>
                          <m:sty m:val="b"/>
                        </m:rPr>
                        <m:t>x</m:t>
                      </m:r>
                    </m:sub>
                  </m:sSub>
                </m:sub>
                <m:sup>
                  <m:r>
                    <m:t>​</m:t>
                  </m:r>
                </m:sup>
                <m:e>
                  <m:r>
                    <m:t>Z</m:t>
                  </m:r>
                </m:e>
              </m:nary>
              <m:d>
                <m:dPr>
                  <m:begChr m:val="("/>
                  <m:sepChr m:val=""/>
                  <m:endChr m:val=")"/>
                  <m:grow/>
                </m:dPr>
                <m:e>
                  <m:r>
                    <m:rPr>
                      <m:sty m:val="b"/>
                    </m:rPr>
                    <m:t>u</m:t>
                  </m:r>
                </m:e>
              </m:d>
              <m:r>
                <m:t> </m:t>
              </m:r>
              <m:r>
                <m:t>d</m:t>
              </m:r>
              <m:r>
                <m:rPr>
                  <m:sty m:val="b"/>
                </m:rPr>
                <m:t>u</m:t>
              </m:r>
            </m:e>
          </m:d>
          <m:r>
            <m:rPr>
              <m:sty m:val="p"/>
            </m:rPr>
            <m:t>.</m:t>
          </m:r>
        </m:oMath>
      </m:oMathPara>
    </w:p>
    <w:p>
      <w:pPr>
        <w:pStyle w:val="FirstParagraph"/>
      </w:pPr>
      <w:r>
        <w:t xml:space="preserve">Sous stationnarité d’ordre 2 :</w:t>
      </w:r>
    </w:p>
    <w:p>
      <w:pPr>
        <w:pStyle w:val="BodyText"/>
      </w:pPr>
      <m:oMathPara>
        <m:oMathParaPr>
          <m:jc m:val="center"/>
        </m:oMathParaPr>
        <m:oMath>
          <m:sSubSup>
            <m:e>
              <m:r>
                <m:t>σ</m:t>
              </m:r>
            </m:e>
            <m:sub>
              <m:r>
                <m:t>v</m:t>
              </m:r>
            </m:sub>
            <m:sup>
              <m:r>
                <m:t>2</m:t>
              </m:r>
            </m:sup>
          </m:sSubSup>
          <m:r>
            <m:rPr>
              <m:sty m:val="p"/>
            </m:rPr>
            <m:t>=</m:t>
          </m:r>
          <m:f>
            <m:fPr>
              <m:type m:val="bar"/>
            </m:fPr>
            <m:num>
              <m:r>
                <m:t>1</m:t>
              </m:r>
            </m:num>
            <m:den>
              <m:sSup>
                <m:e>
                  <m:d>
                    <m:dPr>
                      <m:begChr m:val="|"/>
                      <m:sepChr m:val=""/>
                      <m:endChr m:val="|"/>
                      <m:grow/>
                    </m:dPr>
                    <m:e>
                      <m:r>
                        <m:t>v</m:t>
                      </m:r>
                    </m:e>
                  </m:d>
                </m:e>
                <m:sup>
                  <m:r>
                    <m:t>2</m:t>
                  </m:r>
                </m:sup>
              </m:sSup>
            </m:den>
          </m:f>
          <m:nary>
            <m:naryPr>
              <m:chr m:val="∬"/>
              <m:limLoc m:val="subSup"/>
              <m:subHide m:val="off"/>
              <m:supHide m:val="on"/>
            </m:naryPr>
            <m:sub>
              <m:sSub>
                <m:e>
                  <m:r>
                    <m:t>v</m:t>
                  </m:r>
                </m:e>
                <m:sub>
                  <m:r>
                    <m:rPr>
                      <m:sty m:val="b"/>
                    </m:rPr>
                    <m:t>x</m:t>
                  </m:r>
                </m:sub>
              </m:sSub>
              <m:r>
                <m:rPr>
                  <m:sty m:val="p"/>
                </m:rPr>
                <m:t>×</m:t>
              </m:r>
              <m:sSub>
                <m:e>
                  <m:r>
                    <m:t>v</m:t>
                  </m:r>
                </m:e>
                <m:sub>
                  <m:r>
                    <m:rPr>
                      <m:sty m:val="b"/>
                    </m:rPr>
                    <m:t>x</m:t>
                  </m:r>
                </m:sub>
              </m:sSub>
            </m:sub>
            <m:sup>
              <m:r>
                <m:t>​</m:t>
              </m:r>
            </m:sup>
            <m:e>
              <m:r>
                <m:t>C</m:t>
              </m:r>
            </m:e>
          </m:nary>
          <m:d>
            <m:dPr>
              <m:begChr m:val="("/>
              <m:sepChr m:val=""/>
              <m:endChr m:val=")"/>
              <m:grow/>
            </m:dPr>
            <m:e>
              <m:r>
                <m:rPr>
                  <m:sty m:val="b"/>
                </m:rPr>
                <m:t>u</m:t>
              </m:r>
              <m:r>
                <m:rPr>
                  <m:sty m:val="p"/>
                </m:rPr>
                <m:t>−</m:t>
              </m:r>
              <m:r>
                <m:rPr>
                  <m:sty m:val="b"/>
                </m:rPr>
                <m:t>u</m:t>
              </m:r>
              <m:r>
                <m:rPr>
                  <m:sty m:val="p"/>
                </m:rPr>
                <m:t>′</m:t>
              </m:r>
            </m:e>
          </m:d>
          <m:r>
            <m:t> </m:t>
          </m:r>
          <m:r>
            <m:t>d</m:t>
          </m:r>
          <m:r>
            <m:rPr>
              <m:sty m:val="b"/>
            </m:rPr>
            <m:t>u</m:t>
          </m:r>
          <m:r>
            <m:t> </m:t>
          </m:r>
          <m:r>
            <m:t>d</m:t>
          </m:r>
          <m:r>
            <m:rPr>
              <m:sty m:val="b"/>
            </m:rPr>
            <m:t>u</m:t>
          </m:r>
          <m:r>
            <m:rPr>
              <m:sty m:val="p"/>
            </m:rPr>
            <m:t>′</m:t>
          </m:r>
          <m:r>
            <m:rPr>
              <m:sty m:val="p"/>
            </m:rPr>
            <m:t>.</m:t>
          </m:r>
        </m:oMath>
      </m:oMathPara>
    </w:p>
    <w:p>
      <w:pPr>
        <w:pStyle w:val="FirstParagraph"/>
      </w:pPr>
      <w:r>
        <w:t xml:space="preserve">La variance d’un bloc est donc la covariance moyenne entre toutes les paires de points appartenant au bloc.</w:t>
      </w:r>
    </w:p>
    <w:bookmarkEnd w:id="28"/>
    <w:bookmarkStart w:id="29" w:name="covariance-et-variogramme-moyens"/>
    <w:p>
      <w:pPr>
        <w:pStyle w:val="Heading3"/>
      </w:pPr>
      <w:r>
        <w:t xml:space="preserve">Covariance et variogramme moyens</w:t>
      </w:r>
    </w:p>
    <w:p>
      <w:pPr>
        <w:pStyle w:val="FirstParagraph"/>
      </w:pPr>
      <w:r>
        <w:t xml:space="preserve">Pour deux supports</w:t>
      </w:r>
      <w:r>
        <w:t xml:space="preserve"> </w:t>
      </w:r>
      <m:oMath>
        <m:r>
          <m:t>A</m:t>
        </m:r>
      </m:oMath>
      <w:r>
        <w:t xml:space="preserve"> </w:t>
      </w:r>
      <w:r>
        <w:t xml:space="preserve">et</w:t>
      </w:r>
      <w:r>
        <w:t xml:space="preserve"> </w:t>
      </w:r>
      <m:oMath>
        <m:r>
          <m:t>B</m:t>
        </m:r>
      </m:oMath>
      <w:r>
        <w:t xml:space="preserve">, la covariance moyenne est définie par :</w:t>
      </w:r>
    </w:p>
    <w:p>
      <w:pPr>
        <w:pStyle w:val="BodyText"/>
      </w:pPr>
      <m:oMathPara>
        <m:oMathParaPr>
          <m:jc m:val="center"/>
        </m:oMathParaPr>
        <m:oMath>
          <m:bar>
            <m:barPr>
              <m:pos m:val="top"/>
            </m:barPr>
            <m:e>
              <m:r>
                <m:t>C</m:t>
              </m:r>
            </m:e>
          </m:bar>
          <m:d>
            <m:dPr>
              <m:begChr m:val="("/>
              <m:sepChr m:val=""/>
              <m:endChr m:val=")"/>
              <m:grow/>
            </m:dPr>
            <m:e>
              <m:r>
                <m:t>A</m:t>
              </m:r>
              <m:r>
                <m:rPr>
                  <m:sty m:val="p"/>
                </m:rPr>
                <m:t>,</m:t>
              </m:r>
              <m:r>
                <m:t>B</m:t>
              </m:r>
            </m:e>
          </m:d>
          <m:r>
            <m:rPr>
              <m:sty m:val="p"/>
            </m:rPr>
            <m:t>=</m:t>
          </m:r>
          <m:f>
            <m:fPr>
              <m:type m:val="bar"/>
            </m:fPr>
            <m:num>
              <m:r>
                <m:t>1</m:t>
              </m:r>
            </m:num>
            <m:den>
              <m:d>
                <m:dPr>
                  <m:begChr m:val="|"/>
                  <m:sepChr m:val=""/>
                  <m:endChr m:val="|"/>
                  <m:grow/>
                </m:dPr>
                <m:e>
                  <m:r>
                    <m:t>A</m:t>
                  </m:r>
                </m:e>
              </m:d>
              <m:r>
                <m:t> </m:t>
              </m:r>
              <m:d>
                <m:dPr>
                  <m:begChr m:val="|"/>
                  <m:sepChr m:val=""/>
                  <m:endChr m:val="|"/>
                  <m:grow/>
                </m:dPr>
                <m:e>
                  <m:r>
                    <m:t>B</m:t>
                  </m:r>
                </m:e>
              </m:d>
            </m:den>
          </m:f>
          <m:nary>
            <m:naryPr>
              <m:chr m:val="∬"/>
              <m:limLoc m:val="subSup"/>
              <m:subHide m:val="off"/>
              <m:supHide m:val="on"/>
            </m:naryPr>
            <m:sub>
              <m:r>
                <m:t>A</m:t>
              </m:r>
              <m:r>
                <m:rPr>
                  <m:sty m:val="p"/>
                </m:rPr>
                <m:t>×</m:t>
              </m:r>
              <m:r>
                <m:t>B</m:t>
              </m:r>
            </m:sub>
            <m:sup>
              <m:r>
                <m:t>​</m:t>
              </m:r>
            </m:sup>
            <m:e>
              <m:r>
                <m:t>C</m:t>
              </m:r>
            </m:e>
          </m:nary>
          <m:d>
            <m:dPr>
              <m:begChr m:val="("/>
              <m:sepChr m:val=""/>
              <m:endChr m:val=")"/>
              <m:grow/>
            </m:dPr>
            <m:e>
              <m:r>
                <m:rPr>
                  <m:sty m:val="b"/>
                </m:rPr>
                <m:t>x</m:t>
              </m:r>
              <m:r>
                <m:rPr>
                  <m:sty m:val="p"/>
                </m:rPr>
                <m:t>−</m:t>
              </m:r>
              <m:r>
                <m:rPr>
                  <m:sty m:val="b"/>
                </m:rPr>
                <m:t>y</m:t>
              </m:r>
            </m:e>
          </m:d>
          <m:r>
            <m:t> </m:t>
          </m:r>
          <m:r>
            <m:t>d</m:t>
          </m:r>
          <m:r>
            <m:rPr>
              <m:sty m:val="b"/>
            </m:rPr>
            <m:t>x</m:t>
          </m:r>
          <m:r>
            <m:t> </m:t>
          </m:r>
          <m:r>
            <m:t>d</m:t>
          </m:r>
          <m:r>
            <m:rPr>
              <m:sty m:val="b"/>
            </m:rPr>
            <m:t>y</m:t>
          </m:r>
          <m:r>
            <m:rPr>
              <m:sty m:val="p"/>
            </m:rPr>
            <m:t>.</m:t>
          </m:r>
        </m:oMath>
      </m:oMathPara>
    </w:p>
    <w:p>
      <w:pPr>
        <w:pStyle w:val="FirstParagraph"/>
      </w:pPr>
      <w:r>
        <w:t xml:space="preserve">De manière analogue, le variogramme moyen est :</w:t>
      </w:r>
    </w:p>
    <w:p>
      <w:pPr>
        <w:pStyle w:val="BodyText"/>
      </w:pPr>
      <m:oMathPara>
        <m:oMathParaPr>
          <m:jc m:val="center"/>
        </m:oMathParaPr>
        <m:oMath>
          <m:bar>
            <m:barPr>
              <m:pos m:val="top"/>
            </m:barPr>
            <m:e>
              <m:r>
                <m:t>γ</m:t>
              </m:r>
            </m:e>
          </m:bar>
          <m:d>
            <m:dPr>
              <m:begChr m:val="("/>
              <m:sepChr m:val=""/>
              <m:endChr m:val=")"/>
              <m:grow/>
            </m:dPr>
            <m:e>
              <m:r>
                <m:t>A</m:t>
              </m:r>
              <m:r>
                <m:rPr>
                  <m:sty m:val="p"/>
                </m:rPr>
                <m:t>,</m:t>
              </m:r>
              <m:r>
                <m:t>B</m:t>
              </m:r>
            </m:e>
          </m:d>
          <m:r>
            <m:rPr>
              <m:sty m:val="p"/>
            </m:rPr>
            <m:t>=</m:t>
          </m:r>
          <m:f>
            <m:fPr>
              <m:type m:val="bar"/>
            </m:fPr>
            <m:num>
              <m:r>
                <m:t>1</m:t>
              </m:r>
            </m:num>
            <m:den>
              <m:d>
                <m:dPr>
                  <m:begChr m:val="|"/>
                  <m:sepChr m:val=""/>
                  <m:endChr m:val="|"/>
                  <m:grow/>
                </m:dPr>
                <m:e>
                  <m:r>
                    <m:t>A</m:t>
                  </m:r>
                </m:e>
              </m:d>
              <m:r>
                <m:t> </m:t>
              </m:r>
              <m:d>
                <m:dPr>
                  <m:begChr m:val="|"/>
                  <m:sepChr m:val=""/>
                  <m:endChr m:val="|"/>
                  <m:grow/>
                </m:dPr>
                <m:e>
                  <m:r>
                    <m:t>B</m:t>
                  </m:r>
                </m:e>
              </m:d>
            </m:den>
          </m:f>
          <m:nary>
            <m:naryPr>
              <m:chr m:val="∬"/>
              <m:limLoc m:val="subSup"/>
              <m:subHide m:val="off"/>
              <m:supHide m:val="on"/>
            </m:naryPr>
            <m:sub>
              <m:r>
                <m:t>A</m:t>
              </m:r>
              <m:r>
                <m:rPr>
                  <m:sty m:val="p"/>
                </m:rPr>
                <m:t>×</m:t>
              </m:r>
              <m:r>
                <m:t>B</m:t>
              </m:r>
            </m:sub>
            <m:sup>
              <m:r>
                <m:t>​</m:t>
              </m:r>
            </m:sup>
            <m:e>
              <m:r>
                <m:t>γ</m:t>
              </m:r>
            </m:e>
          </m:nary>
          <m:d>
            <m:dPr>
              <m:begChr m:val="("/>
              <m:sepChr m:val=""/>
              <m:endChr m:val=")"/>
              <m:grow/>
            </m:dPr>
            <m:e>
              <m:r>
                <m:rPr>
                  <m:sty m:val="b"/>
                </m:rPr>
                <m:t>x</m:t>
              </m:r>
              <m:r>
                <m:rPr>
                  <m:sty m:val="p"/>
                </m:rPr>
                <m:t>−</m:t>
              </m:r>
              <m:r>
                <m:rPr>
                  <m:sty m:val="b"/>
                </m:rPr>
                <m:t>y</m:t>
              </m:r>
            </m:e>
          </m:d>
          <m:r>
            <m:t> </m:t>
          </m:r>
          <m:r>
            <m:t>d</m:t>
          </m:r>
          <m:r>
            <m:rPr>
              <m:sty m:val="b"/>
            </m:rPr>
            <m:t>x</m:t>
          </m:r>
          <m:r>
            <m:t> </m:t>
          </m:r>
          <m:r>
            <m:t>d</m:t>
          </m:r>
          <m:r>
            <m:rPr>
              <m:sty m:val="b"/>
            </m:rPr>
            <m:t>y</m:t>
          </m:r>
          <m:r>
            <m:rPr>
              <m:sty m:val="p"/>
            </m:rPr>
            <m:t>.</m:t>
          </m:r>
        </m:oMath>
      </m:oMathPara>
    </w:p>
    <w:p>
      <w:pPr>
        <w:pStyle w:val="FirstParagraph"/>
      </w:pPr>
      <w:r>
        <w:t xml:space="preserve">La variance de bloc s’écrit donc simplement :</w:t>
      </w:r>
    </w:p>
    <w:p>
      <w:pPr>
        <w:pStyle w:val="BodyText"/>
      </w:pPr>
      <m:oMathPara>
        <m:oMathParaPr>
          <m:jc m:val="center"/>
        </m:oMathParaPr>
        <m:oMath>
          <m:sSubSup>
            <m:e>
              <m:r>
                <m:t>σ</m:t>
              </m:r>
            </m:e>
            <m:sub>
              <m:r>
                <m:t>v</m:t>
              </m:r>
            </m:sub>
            <m:sup>
              <m:r>
                <m:t>2</m:t>
              </m:r>
            </m:sup>
          </m:sSubSup>
          <m:r>
            <m:rPr>
              <m:sty m:val="p"/>
            </m:rPr>
            <m:t>=</m:t>
          </m:r>
          <m:bar>
            <m:barPr>
              <m:pos m:val="top"/>
            </m:barPr>
            <m:e>
              <m:r>
                <m:t>C</m:t>
              </m:r>
            </m:e>
          </m:bar>
          <m:d>
            <m:dPr>
              <m:begChr m:val="("/>
              <m:sepChr m:val=""/>
              <m:endChr m:val=")"/>
              <m:grow/>
            </m:dPr>
            <m:e>
              <m:r>
                <m:t>v</m:t>
              </m:r>
              <m:r>
                <m:rPr>
                  <m:sty m:val="p"/>
                </m:rPr>
                <m:t>,</m:t>
              </m:r>
              <m:r>
                <m:t>v</m:t>
              </m:r>
            </m:e>
          </m:d>
          <m:r>
            <m:rPr>
              <m:sty m:val="p"/>
            </m:rPr>
            <m:t>.</m:t>
          </m:r>
        </m:oMath>
      </m:oMathPara>
    </w:p>
    <w:p>
      <w:pPr>
        <w:pStyle w:val="FirstParagraph"/>
      </w:pPr>
      <w:r>
        <w:t xml:space="preserve">Lorsque le variogramme possède un palier</w:t>
      </w:r>
      <w:r>
        <w:t xml:space="preserve"> </w:t>
      </w:r>
      <m:oMath>
        <m:r>
          <m:t>C</m:t>
        </m:r>
        <m:d>
          <m:dPr>
            <m:begChr m:val="("/>
            <m:sepChr m:val=""/>
            <m:endChr m:val=")"/>
            <m:grow/>
          </m:dPr>
          <m:e>
            <m:r>
              <m:rPr>
                <m:sty m:val="b"/>
              </m:rPr>
              <m:t>0</m:t>
            </m:r>
          </m:e>
        </m:d>
        <m:r>
          <m:rPr>
            <m:sty m:val="p"/>
          </m:rPr>
          <m:t>=</m:t>
        </m:r>
        <m:sSup>
          <m:e>
            <m:r>
              <m:t>σ</m:t>
            </m:r>
          </m:e>
          <m:sup>
            <m:r>
              <m:t>2</m:t>
            </m:r>
          </m:sup>
        </m:sSup>
      </m:oMath>
      <w:r>
        <w:t xml:space="preserve">, la variance de bloc peut aussi être calculée à partir du variogramme ponctuel :</w:t>
      </w:r>
    </w:p>
    <w:p>
      <w:pPr>
        <w:pStyle w:val="BodyText"/>
      </w:pPr>
      <m:oMathPara>
        <m:oMathParaPr>
          <m:jc m:val="center"/>
        </m:oMathParaPr>
        <m:oMath>
          <m:sSubSup>
            <m:e>
              <m:r>
                <m:t>σ</m:t>
              </m:r>
            </m:e>
            <m:sub>
              <m:r>
                <m:t>v</m:t>
              </m:r>
            </m:sub>
            <m:sup>
              <m:r>
                <m:t>2</m:t>
              </m:r>
            </m:sup>
          </m:sSubSup>
          <m:r>
            <m:rPr>
              <m:sty m:val="p"/>
            </m:rPr>
            <m:t>=</m:t>
          </m:r>
          <m:sSup>
            <m:e>
              <m:r>
                <m:t>σ</m:t>
              </m:r>
            </m:e>
            <m:sup>
              <m:r>
                <m:t>2</m:t>
              </m:r>
            </m:sup>
          </m:sSup>
          <m:r>
            <m:rPr>
              <m:sty m:val="p"/>
            </m:rPr>
            <m:t>−</m:t>
          </m:r>
          <m:bar>
            <m:barPr>
              <m:pos m:val="top"/>
            </m:barPr>
            <m:e>
              <m:r>
                <m:t>γ</m:t>
              </m:r>
            </m:e>
          </m:bar>
          <m:d>
            <m:dPr>
              <m:begChr m:val="("/>
              <m:sepChr m:val=""/>
              <m:endChr m:val=")"/>
              <m:grow/>
            </m:dPr>
            <m:e>
              <m:r>
                <m:t>v</m:t>
              </m:r>
              <m:r>
                <m:rPr>
                  <m:sty m:val="p"/>
                </m:rPr>
                <m:t>,</m:t>
              </m:r>
              <m:r>
                <m:t>v</m:t>
              </m:r>
            </m:e>
          </m:d>
          <m:r>
            <m:rPr>
              <m:sty m:val="p"/>
            </m:rPr>
            <m:t>.</m:t>
          </m:r>
        </m:oMath>
      </m:oMathPara>
    </w:p>
    <w:p>
      <w:pPr>
        <w:pStyle w:val="FirstParagraph"/>
      </w:pPr>
      <w:r>
        <w:t xml:space="preserve">Autrement dit :</w:t>
      </w:r>
    </w:p>
    <w:p>
      <w:pPr>
        <w:pStyle w:val="BodyText"/>
      </w:pPr>
      <m:oMathPara>
        <m:oMathParaPr>
          <m:jc m:val="center"/>
        </m:oMathParaPr>
        <m:oMath>
          <m:sSubSup>
            <m:e>
              <m:r>
                <m:t>σ</m:t>
              </m:r>
            </m:e>
            <m:sub>
              <m:r>
                <m:t>v</m:t>
              </m:r>
            </m:sub>
            <m:sup>
              <m:r>
                <m:t>2</m:t>
              </m:r>
            </m:sup>
          </m:sSubSup>
          <m:r>
            <m:rPr>
              <m:sty m:val="p"/>
            </m:rPr>
            <m:t>=</m:t>
          </m:r>
          <m:sSup>
            <m:e>
              <m:r>
                <m:t>σ</m:t>
              </m:r>
            </m:e>
            <m:sup>
              <m:r>
                <m:t>2</m:t>
              </m:r>
            </m:sup>
          </m:sSup>
          <m:r>
            <m:rPr>
              <m:sty m:val="p"/>
            </m:rPr>
            <m:t>−</m:t>
          </m:r>
          <m:f>
            <m:fPr>
              <m:type m:val="bar"/>
            </m:fPr>
            <m:num>
              <m:r>
                <m:t>1</m:t>
              </m:r>
            </m:num>
            <m:den>
              <m:sSup>
                <m:e>
                  <m:d>
                    <m:dPr>
                      <m:begChr m:val="|"/>
                      <m:sepChr m:val=""/>
                      <m:endChr m:val="|"/>
                      <m:grow/>
                    </m:dPr>
                    <m:e>
                      <m:r>
                        <m:t>v</m:t>
                      </m:r>
                    </m:e>
                  </m:d>
                </m:e>
                <m:sup>
                  <m:r>
                    <m:t>2</m:t>
                  </m:r>
                </m:sup>
              </m:sSup>
            </m:den>
          </m:f>
          <m:nary>
            <m:naryPr>
              <m:chr m:val="∬"/>
              <m:limLoc m:val="subSup"/>
              <m:subHide m:val="off"/>
              <m:supHide m:val="on"/>
            </m:naryPr>
            <m:sub>
              <m:r>
                <m:t>v</m:t>
              </m:r>
              <m:r>
                <m:rPr>
                  <m:sty m:val="p"/>
                </m:rPr>
                <m:t>×</m:t>
              </m:r>
              <m:r>
                <m:t>v</m:t>
              </m:r>
            </m:sub>
            <m:sup>
              <m:r>
                <m:t>​</m:t>
              </m:r>
            </m:sup>
            <m:e>
              <m:r>
                <m:t>γ</m:t>
              </m:r>
            </m:e>
          </m:nary>
          <m:d>
            <m:dPr>
              <m:begChr m:val="("/>
              <m:sepChr m:val=""/>
              <m:endChr m:val=")"/>
              <m:grow/>
            </m:dPr>
            <m:e>
              <m:r>
                <m:rPr>
                  <m:sty m:val="b"/>
                </m:rPr>
                <m:t>u</m:t>
              </m:r>
              <m:r>
                <m:rPr>
                  <m:sty m:val="p"/>
                </m:rPr>
                <m:t>−</m:t>
              </m:r>
              <m:r>
                <m:rPr>
                  <m:sty m:val="b"/>
                </m:rPr>
                <m:t>u</m:t>
              </m:r>
              <m:r>
                <m:rPr>
                  <m:sty m:val="p"/>
                </m:rPr>
                <m:t>′</m:t>
              </m:r>
            </m:e>
          </m:d>
          <m:r>
            <m:t> </m:t>
          </m:r>
          <m:r>
            <m:t>d</m:t>
          </m:r>
          <m:r>
            <m:rPr>
              <m:sty m:val="b"/>
            </m:rPr>
            <m:t>u</m:t>
          </m:r>
          <m:r>
            <m:t> </m:t>
          </m:r>
          <m:r>
            <m:t>d</m:t>
          </m:r>
          <m:r>
            <m:rPr>
              <m:sty m:val="b"/>
            </m:rPr>
            <m:t>u</m:t>
          </m:r>
          <m:r>
            <m:rPr>
              <m:sty m:val="p"/>
            </m:rPr>
            <m:t>′</m:t>
          </m:r>
          <m:r>
            <m:rPr>
              <m:sty m:val="p"/>
            </m:rPr>
            <m:t>.</m:t>
          </m:r>
        </m:oMath>
      </m:oMathPara>
    </w:p>
    <w:p>
      <w:pPr>
        <w:pStyle w:val="FirstParagraph"/>
      </w:pPr>
      <w:r>
        <w:t xml:space="preserve">Le terme</w:t>
      </w:r>
      <w:r>
        <w:t xml:space="preserve"> </w:t>
      </w:r>
      <m:oMath>
        <m:bar>
          <m:barPr>
            <m:pos m:val="top"/>
          </m:barPr>
          <m:e>
            <m:r>
              <m:t>γ</m:t>
            </m:r>
          </m:e>
        </m:bar>
        <m:d>
          <m:dPr>
            <m:begChr m:val="("/>
            <m:sepChr m:val=""/>
            <m:endChr m:val=")"/>
            <m:grow/>
          </m:dPr>
          <m:e>
            <m:r>
              <m:t>v</m:t>
            </m:r>
            <m:r>
              <m:rPr>
                <m:sty m:val="p"/>
              </m:rPr>
              <m:t>,</m:t>
            </m:r>
            <m:r>
              <m:t>v</m:t>
            </m:r>
          </m:e>
        </m:d>
      </m:oMath>
      <w:r>
        <w:t xml:space="preserve"> </w:t>
      </w:r>
      <w:r>
        <w:t xml:space="preserve">représente la variabilité moyenne à l’intérieur du bloc. Cette variabilité est moyennée lors du passage du support ponctuel au support de bloc; elle est donc retranchée de la variance ponctuelle.</w:t>
      </w:r>
    </w:p>
    <w:p>
      <w:pPr>
        <w:pStyle w:val="BodyText"/>
      </w:pPr>
      <w:r>
        <w:t xml:space="preserve">La variance de bloc dépend :</w:t>
      </w:r>
    </w:p>
    <w:p>
      <w:pPr>
        <w:pStyle w:val="Compact"/>
        <w:numPr>
          <w:ilvl w:val="0"/>
          <w:numId w:val="1005"/>
        </w:numPr>
      </w:pPr>
      <w:r>
        <w:t xml:space="preserve">de la taille du support;</w:t>
      </w:r>
    </w:p>
    <w:p>
      <w:pPr>
        <w:pStyle w:val="Compact"/>
        <w:numPr>
          <w:ilvl w:val="0"/>
          <w:numId w:val="1005"/>
        </w:numPr>
      </w:pPr>
      <w:r>
        <w:t xml:space="preserve">de sa forme;</w:t>
      </w:r>
    </w:p>
    <w:p>
      <w:pPr>
        <w:pStyle w:val="Compact"/>
        <w:numPr>
          <w:ilvl w:val="0"/>
          <w:numId w:val="1005"/>
        </w:numPr>
      </w:pPr>
      <w:r>
        <w:t xml:space="preserve">de son orientation;</w:t>
      </w:r>
    </w:p>
    <w:p>
      <w:pPr>
        <w:pStyle w:val="Compact"/>
        <w:numPr>
          <w:ilvl w:val="0"/>
          <w:numId w:val="1005"/>
        </w:numPr>
      </w:pPr>
      <w:r>
        <w:t xml:space="preserve">du modèle de variogramme;</w:t>
      </w:r>
    </w:p>
    <w:p>
      <w:pPr>
        <w:pStyle w:val="Compact"/>
        <w:numPr>
          <w:ilvl w:val="0"/>
          <w:numId w:val="1005"/>
        </w:numPr>
      </w:pPr>
      <w:r>
        <w:t xml:space="preserve">de l’anisotropie.</w:t>
      </w:r>
    </w:p>
    <w:p>
      <w:pPr>
        <w:pStyle w:val="FirstParagraph"/>
      </w:pPr>
      <w:r>
        <w:t xml:space="preserve">Deux blocs de même volume peuvent ainsi présenter des variances différentes s’ils n’ont pas la même géométrie ou la même orientation par rapport aux directions de continuité.</w:t>
      </w:r>
    </w:p>
    <w:bookmarkEnd w:id="29"/>
    <w:bookmarkStart w:id="34" w:name="exemple-1-modèle-sphérique"/>
    <w:p>
      <w:pPr>
        <w:pStyle w:val="Heading3"/>
      </w:pPr>
      <w:r>
        <w:t xml:space="preserve">Exemple 1 — Modèle sphérique</w:t>
      </w:r>
    </w:p>
    <w:p>
      <w:pPr>
        <w:pStyle w:val="FirstParagraph"/>
      </w:pPr>
      <w:r>
        <w:t xml:space="preserve">La</w:t>
      </w:r>
      <w:r>
        <w:t xml:space="preserve"> </w:t>
      </w:r>
      <w:hyperlink w:anchor="fig-C8_Bloc">
        <w:r>
          <w:rPr>
            <w:rStyle w:val="Hyperlink"/>
          </w:rPr>
          <w:t xml:space="preserve">Figure 1</w:t>
        </w:r>
      </w:hyperlink>
      <w:r>
        <w:t xml:space="preserve"> </w:t>
      </w:r>
      <w:r>
        <w:t xml:space="preserve">compare la variance de bloc mesurée sur un grand champ simulé à la variance calculée à partir du variogramme ponctuel.</w:t>
      </w:r>
    </w:p>
    <w:p>
      <w:pPr>
        <w:pStyle w:val="BodyText"/>
      </w:pPr>
      <w:r>
        <w:t xml:space="preserve">Le modèle utilisé est sphérique et isotrope, avec une portée de 15 pixels, un palier total unitaire et aucun effet de pépite.</w:t>
      </w:r>
    </w:p>
    <w:p>
      <w:pPr>
        <w:pStyle w:val="BodyText"/>
      </w:pPr>
      <w:r>
        <w:t xml:space="preserve">Les deux courbes sont très proches. Les écarts résiduels proviennent de la taille finie du champ simulé et de l’approximation numérique des intégrales.</w:t>
      </w:r>
    </w:p>
    <w:tbl>
      <w:tblPr>
        <w:tblStyle w:val="Table"/>
        <w:tblW w:type="pct" w:w="5000"/>
        <w:tblLayout w:type="fixed"/>
        <w:tblLook w:firstRow="0" w:lastRow="0" w:firstColumn="0" w:lastColumn="0" w:noHBand="0" w:noVBand="0" w:val="0000"/>
      </w:tblPr>
      <w:tblGrid>
        <w:gridCol w:w="7920"/>
      </w:tblGrid>
      <w:tr>
        <w:tc>
          <w:tcPr/>
          <w:bookmarkStart w:id="33" w:name="fig-C8_Bloc"/>
          <w:p>
            <w:pPr>
              <w:pStyle w:val="Compact"/>
              <w:jc w:val="center"/>
            </w:pPr>
            <w:r>
              <w:drawing>
                <wp:inline>
                  <wp:extent cx="5334000" cy="2237853"/>
                  <wp:effectExtent b="0" l="0" r="0" t="0"/>
                  <wp:docPr descr="" title="" id="31" name="Picture"/>
                  <a:graphic>
                    <a:graphicData uri="http://schemas.openxmlformats.org/drawingml/2006/picture">
                      <pic:pic>
                        <pic:nvPicPr>
                          <pic:cNvPr descr="images/C8_Bloc.PNG" id="32" name="Picture"/>
                          <pic:cNvPicPr>
                            <a:picLocks noChangeArrowheads="1" noChangeAspect="1"/>
                          </pic:cNvPicPr>
                        </pic:nvPicPr>
                        <pic:blipFill>
                          <a:blip r:embed="rId30"/>
                          <a:stretch>
                            <a:fillRect/>
                          </a:stretch>
                        </pic:blipFill>
                        <pic:spPr bwMode="auto">
                          <a:xfrm>
                            <a:off x="0" y="0"/>
                            <a:ext cx="5334000" cy="2237853"/>
                          </a:xfrm>
                          <a:prstGeom prst="rect">
                            <a:avLst/>
                          </a:prstGeom>
                          <a:noFill/>
                          <a:ln w="9525">
                            <a:noFill/>
                            <a:headEnd/>
                            <a:tailEnd/>
                          </a:ln>
                        </pic:spPr>
                      </pic:pic>
                    </a:graphicData>
                  </a:graphic>
                </wp:inline>
              </w:drawing>
            </w:r>
          </w:p>
          <w:p>
            <w:pPr>
              <w:jc w:val="center"/>
            </w:pPr>
            <w:pPr>
              <w:jc w:val="left"/>
              <w:spacing w:before="200"/>
              <w:pStyle w:val="ImageCaption"/>
            </w:pPr>
            <w:r>
              <w:t xml:space="preserve">Figure 1: Évolution de la variance de bloc pour un modèle sphérique isotrope de palier unitaire.</w:t>
            </w:r>
          </w:p>
          <w:bookmarkEnd w:id="33"/>
        </w:tc>
      </w:tr>
    </w:tbl>
    <w:bookmarkEnd w:id="34"/>
    <w:bookmarkStart w:id="39" w:name="X2538217eb8216b172bbcd1a2d7b38f4f8ffec59"/>
    <w:p>
      <w:pPr>
        <w:pStyle w:val="Heading3"/>
      </w:pPr>
      <w:r>
        <w:t xml:space="preserve">Exemple 2 — Modèle exponentiel avec effet de pépite</w:t>
      </w:r>
    </w:p>
    <w:p>
      <w:pPr>
        <w:pStyle w:val="FirstParagraph"/>
      </w:pPr>
      <w:r>
        <w:t xml:space="preserve">La</w:t>
      </w:r>
      <w:r>
        <w:t xml:space="preserve"> </w:t>
      </w:r>
      <w:hyperlink w:anchor="fig-C8_BlocBruit">
        <w:r>
          <w:rPr>
            <w:rStyle w:val="Hyperlink"/>
          </w:rPr>
          <w:t xml:space="preserve">Figure 2</w:t>
        </w:r>
      </w:hyperlink>
      <w:r>
        <w:t xml:space="preserve"> </w:t>
      </w:r>
      <w:r>
        <w:t xml:space="preserve">présente le même exercice pour un modèle exponentiel isotrope comprenant :</w:t>
      </w:r>
    </w:p>
    <w:p>
      <w:pPr>
        <w:pStyle w:val="Compact"/>
        <w:numPr>
          <w:ilvl w:val="0"/>
          <w:numId w:val="1006"/>
        </w:numPr>
      </w:pPr>
      <w:r>
        <w:t xml:space="preserve">une portée effective de 50 pixels;</w:t>
      </w:r>
    </w:p>
    <w:p>
      <w:pPr>
        <w:pStyle w:val="Compact"/>
        <w:numPr>
          <w:ilvl w:val="0"/>
          <w:numId w:val="1006"/>
        </w:numPr>
      </w:pPr>
      <w:r>
        <w:t xml:space="preserve">un palier structuré</w:t>
      </w:r>
      <w:r>
        <w:t xml:space="preserve"> </w:t>
      </w:r>
      <m:oMath>
        <m:sSub>
          <m:e>
            <m:r>
              <m:t>C</m:t>
            </m:r>
          </m:e>
          <m:sub>
            <m:r>
              <m:t>1</m:t>
            </m:r>
          </m:sub>
        </m:sSub>
        <m:r>
          <m:rPr>
            <m:sty m:val="p"/>
          </m:rPr>
          <m:t>=</m:t>
        </m:r>
        <m:r>
          <m:t>1</m:t>
        </m:r>
      </m:oMath>
      <w:r>
        <w:t xml:space="preserve">;</w:t>
      </w:r>
    </w:p>
    <w:p>
      <w:pPr>
        <w:pStyle w:val="Compact"/>
        <w:numPr>
          <w:ilvl w:val="0"/>
          <w:numId w:val="1006"/>
        </w:numPr>
      </w:pPr>
      <w:r>
        <w:t xml:space="preserve">un effet de pépite</w:t>
      </w:r>
      <w:r>
        <w:t xml:space="preserve"> </w:t>
      </w:r>
      <m:oMath>
        <m:sSub>
          <m:e>
            <m:r>
              <m:t>C</m:t>
            </m:r>
          </m:e>
          <m:sub>
            <m:r>
              <m:t>0</m:t>
            </m:r>
          </m:sub>
        </m:sSub>
        <m:r>
          <m:rPr>
            <m:sty m:val="p"/>
          </m:rPr>
          <m:t>=</m:t>
        </m:r>
        <m:r>
          <m:t>0</m:t>
        </m:r>
        <m:r>
          <m:rPr>
            <m:sty m:val="p"/>
          </m:rPr>
          <m:t>,</m:t>
        </m:r>
        <m:r>
          <m:t>5</m:t>
        </m:r>
      </m:oMath>
      <w:r>
        <w:t xml:space="preserve">;</w:t>
      </w:r>
    </w:p>
    <w:p>
      <w:pPr>
        <w:pStyle w:val="Compact"/>
        <w:numPr>
          <w:ilvl w:val="0"/>
          <w:numId w:val="1006"/>
        </w:numPr>
      </w:pPr>
      <w:r>
        <w:t xml:space="preserve">une variance ponctuelle totale</w:t>
      </w:r>
      <w:r>
        <w:t xml:space="preserve"> </w:t>
      </w:r>
      <m:oMath>
        <m:r>
          <m:t>C</m:t>
        </m:r>
        <m:d>
          <m:dPr>
            <m:begChr m:val="("/>
            <m:sepChr m:val=""/>
            <m:endChr m:val=")"/>
            <m:grow/>
          </m:dPr>
          <m:e>
            <m:r>
              <m:rPr>
                <m:sty m:val="b"/>
              </m:rPr>
              <m:t>0</m:t>
            </m:r>
          </m:e>
        </m:d>
        <m:r>
          <m:rPr>
            <m:sty m:val="p"/>
          </m:rPr>
          <m:t>=</m:t>
        </m:r>
        <m:r>
          <m:t>1</m:t>
        </m:r>
        <m:r>
          <m:rPr>
            <m:sty m:val="p"/>
          </m:rPr>
          <m:t>,</m:t>
        </m:r>
        <m:r>
          <m:t>5</m:t>
        </m:r>
      </m:oMath>
      <w:r>
        <w:t xml:space="preserve">.</w:t>
      </w:r>
    </w:p>
    <w:p>
      <w:pPr>
        <w:pStyle w:val="FirstParagraph"/>
      </w:pPr>
      <w:r>
        <w:t xml:space="preserve">La variance diminue rapidement lorsque le support augmente. La composante de pépite est particulièrement atténuée par le moyennage, puisqu’elle représente une variabilité sans continuité entre des positions distinctes.</w:t>
      </w:r>
    </w:p>
    <w:p>
      <w:pPr>
        <w:pStyle w:val="BodyText"/>
      </w:pPr>
      <w:r>
        <w:t xml:space="preserve">Dans une simulation discrète, la contribution résiduelle de la pépite dépend du nombre d’éléments indépendants moyennés dans chaque bloc et de la discrétisation utilisée.</w:t>
      </w:r>
    </w:p>
    <w:tbl>
      <w:tblPr>
        <w:tblStyle w:val="Table"/>
        <w:tblW w:type="pct" w:w="5000"/>
        <w:tblLayout w:type="fixed"/>
        <w:tblLook w:firstRow="0" w:lastRow="0" w:firstColumn="0" w:lastColumn="0" w:noHBand="0" w:noVBand="0" w:val="0000"/>
      </w:tblPr>
      <w:tblGrid>
        <w:gridCol w:w="7920"/>
      </w:tblGrid>
      <w:tr>
        <w:tc>
          <w:tcPr/>
          <w:bookmarkStart w:id="38" w:name="fig-C8_BlocBruit"/>
          <w:p>
            <w:pPr>
              <w:pStyle w:val="Compact"/>
              <w:jc w:val="center"/>
            </w:pPr>
            <w:r>
              <w:drawing>
                <wp:inline>
                  <wp:extent cx="5334000" cy="2278341"/>
                  <wp:effectExtent b="0" l="0" r="0" t="0"/>
                  <wp:docPr descr="" title="" id="36" name="Picture"/>
                  <a:graphic>
                    <a:graphicData uri="http://schemas.openxmlformats.org/drawingml/2006/picture">
                      <pic:pic>
                        <pic:nvPicPr>
                          <pic:cNvPr descr="images/C8_BlocBruit.PNG" id="37" name="Picture"/>
                          <pic:cNvPicPr>
                            <a:picLocks noChangeArrowheads="1" noChangeAspect="1"/>
                          </pic:cNvPicPr>
                        </pic:nvPicPr>
                        <pic:blipFill>
                          <a:blip r:embed="rId35"/>
                          <a:stretch>
                            <a:fillRect/>
                          </a:stretch>
                        </pic:blipFill>
                        <pic:spPr bwMode="auto">
                          <a:xfrm>
                            <a:off x="0" y="0"/>
                            <a:ext cx="5334000" cy="227834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Évolution de la variance de bloc pour un modèle exponentiel isotrope avec effet de pépite.</w:t>
            </w:r>
          </w:p>
          <w:bookmarkEnd w:id="38"/>
        </w:tc>
      </w:tr>
    </w:tbl>
    <w:bookmarkEnd w:id="39"/>
    <w:bookmarkStart w:id="40" w:name="propriétés"/>
    <w:p>
      <w:pPr>
        <w:pStyle w:val="Heading3"/>
      </w:pPr>
      <w:r>
        <w:t xml:space="preserve">Propriétés</w:t>
      </w:r>
    </w:p>
    <w:p>
      <w:pPr>
        <w:pStyle w:val="FirstParagraph"/>
      </w:pPr>
      <w:r>
        <w:t xml:space="preserve">Lorsque le support du bloc tend vers le support ponctuel :</w:t>
      </w:r>
    </w:p>
    <w:p>
      <w:pPr>
        <w:pStyle w:val="BodyText"/>
      </w:pPr>
      <m:oMathPara>
        <m:oMathParaPr>
          <m:jc m:val="center"/>
        </m:oMathParaPr>
        <m:oMath>
          <m:limLow>
            <m:e>
              <m:r>
                <m:rPr>
                  <m:sty m:val="p"/>
                </m:rPr>
                <m:t>lim</m:t>
              </m:r>
            </m:e>
            <m:lim>
              <m:d>
                <m:dPr>
                  <m:begChr m:val="|"/>
                  <m:sepChr m:val=""/>
                  <m:endChr m:val="|"/>
                  <m:grow/>
                </m:dPr>
                <m:e>
                  <m:r>
                    <m:t>v</m:t>
                  </m:r>
                </m:e>
              </m:d>
              <m:r>
                <m:rPr>
                  <m:sty m:val="p"/>
                </m:rPr>
                <m:t>→</m:t>
              </m:r>
              <m:r>
                <m:t>0</m:t>
              </m:r>
            </m:lim>
          </m:limLow>
          <m:sSubSup>
            <m:e>
              <m:r>
                <m:t>σ</m:t>
              </m:r>
            </m:e>
            <m:sub>
              <m:r>
                <m:t>v</m:t>
              </m:r>
            </m:sub>
            <m:sup>
              <m:r>
                <m:t>2</m:t>
              </m:r>
            </m:sup>
          </m:sSubSup>
          <m:r>
            <m:rPr>
              <m:sty m:val="p"/>
            </m:rPr>
            <m:t>=</m:t>
          </m:r>
          <m:sSup>
            <m:e>
              <m:r>
                <m:t>σ</m:t>
              </m:r>
            </m:e>
            <m:sup>
              <m:r>
                <m:t>2</m:t>
              </m:r>
            </m:sup>
          </m:sSup>
          <m:r>
            <m:rPr>
              <m:sty m:val="p"/>
            </m:rPr>
            <m:t>.</m:t>
          </m:r>
        </m:oMath>
      </m:oMathPara>
    </w:p>
    <w:p>
      <w:pPr>
        <w:pStyle w:val="FirstParagraph"/>
      </w:pPr>
      <w:r>
        <w:t xml:space="preserve">La variance de bloc tend alors vers la variance ponctuelle.</w:t>
      </w:r>
    </w:p>
    <w:p>
      <w:pPr>
        <w:pStyle w:val="BodyText"/>
      </w:pPr>
      <w:r>
        <w:t xml:space="preserve">Lorsque la taille du bloc augmente, la variance diminue. Si la covariance décroît suffisamment avec la distance et si le domaine moyenné devient très grand :</w:t>
      </w:r>
    </w:p>
    <w:p>
      <w:pPr>
        <w:pStyle w:val="BodyText"/>
      </w:pPr>
      <m:oMathPara>
        <m:oMathParaPr>
          <m:jc m:val="center"/>
        </m:oMathParaPr>
        <m:oMath>
          <m:limLow>
            <m:e>
              <m:r>
                <m:rPr>
                  <m:sty m:val="p"/>
                </m:rPr>
                <m:t>lim</m:t>
              </m:r>
            </m:e>
            <m:lim>
              <m:d>
                <m:dPr>
                  <m:begChr m:val="|"/>
                  <m:sepChr m:val=""/>
                  <m:endChr m:val="|"/>
                  <m:grow/>
                </m:dPr>
                <m:e>
                  <m:r>
                    <m:t>v</m:t>
                  </m:r>
                </m:e>
              </m:d>
              <m:r>
                <m:rPr>
                  <m:sty m:val="p"/>
                </m:rPr>
                <m:t>→</m:t>
              </m:r>
              <m:r>
                <m:rPr>
                  <m:sty m:val="p"/>
                </m:rPr>
                <m:t>∞</m:t>
              </m:r>
            </m:lim>
          </m:limLow>
          <m:sSubSup>
            <m:e>
              <m:r>
                <m:t>σ</m:t>
              </m:r>
            </m:e>
            <m:sub>
              <m:r>
                <m:t>v</m:t>
              </m:r>
            </m:sub>
            <m:sup>
              <m:r>
                <m:t>2</m:t>
              </m:r>
            </m:sup>
          </m:sSubSup>
          <m:r>
            <m:rPr>
              <m:sty m:val="p"/>
            </m:rPr>
            <m:t>=</m:t>
          </m:r>
          <m:r>
            <m:t>0</m:t>
          </m:r>
          <m:r>
            <m:rPr>
              <m:sty m:val="p"/>
            </m:rPr>
            <m:t>.</m:t>
          </m:r>
        </m:oMath>
      </m:oMathPara>
    </w:p>
    <w:p>
      <w:pPr>
        <w:pStyle w:val="FirstParagraph"/>
      </w:pPr>
      <w:r>
        <w:t xml:space="preserve">Ces limites ne découlent pas simplement du fait que le variogramme est croissant. Elles supposent une fonction aléatoire stationnaire de variance finie et une dépendance spatiale qui s’atténue à grande distance.</w:t>
      </w:r>
    </w:p>
    <w:p>
      <w:pPr>
        <w:pStyle w:val="BodyText"/>
      </w:pPr>
      <w:r>
        <w:t xml:space="preserve">L’augmentation du support agit donc comme un lissage spatial : les valeurs fortes et faibles sont moyennées, ce qui réduit la variabilité entre les blocs.</w:t>
      </w:r>
    </w:p>
    <w:bookmarkEnd w:id="40"/>
    <w:bookmarkStart w:id="45" w:name="variogramme-de-blocs"/>
    <w:p>
      <w:pPr>
        <w:pStyle w:val="Heading3"/>
      </w:pPr>
      <w:r>
        <w:t xml:space="preserve">Variogramme de blocs</w:t>
      </w:r>
    </w:p>
    <w:p>
      <w:pPr>
        <w:pStyle w:val="FirstParagraph"/>
      </w:pPr>
      <w:r>
        <w:t xml:space="preserve">Considérons deux blocs identiques de support</w:t>
      </w:r>
      <w:r>
        <w:t xml:space="preserve"> </w:t>
      </w:r>
      <m:oMath>
        <m:r>
          <m:t>v</m:t>
        </m:r>
      </m:oMath>
      <w:r>
        <w:t xml:space="preserve">, centrés aux positions</w:t>
      </w:r>
      <w:r>
        <w:t xml:space="preserve"> </w:t>
      </w:r>
      <m:oMath>
        <m:r>
          <m:rPr>
            <m:sty m:val="b"/>
          </m:rPr>
          <m:t>x</m:t>
        </m:r>
      </m:oMath>
      <w:r>
        <w:t xml:space="preserve"> </w:t>
      </w:r>
      <w:r>
        <w:t xml:space="preserve">et</w:t>
      </w:r>
      <w:r>
        <w:t xml:space="preserve"> </w:t>
      </w:r>
      <m:oMath>
        <m:r>
          <m:rPr>
            <m:sty m:val="b"/>
          </m:rPr>
          <m:t>x</m:t>
        </m:r>
        <m:r>
          <m:rPr>
            <m:sty m:val="p"/>
          </m:rPr>
          <m:t>+</m:t>
        </m:r>
        <m:r>
          <m:rPr>
            <m:sty m:val="b"/>
          </m:rPr>
          <m:t>h</m:t>
        </m:r>
      </m:oMath>
      <w:r>
        <w:t xml:space="preserve">.</w:t>
      </w:r>
    </w:p>
    <w:p>
      <w:pPr>
        <w:pStyle w:val="BodyText"/>
      </w:pPr>
      <w:r>
        <w:t xml:space="preserve">Le variogramme de blocs est défini par :</w:t>
      </w:r>
    </w:p>
    <w:p>
      <w:pPr>
        <w:pStyle w:val="BodyText"/>
      </w:pPr>
      <m:oMathPara>
        <m:oMathParaPr>
          <m:jc m:val="center"/>
        </m:oMathParaPr>
        <m:oMath>
          <m:sSub>
            <m:e>
              <m:r>
                <m:t>γ</m:t>
              </m:r>
            </m:e>
            <m:sub>
              <m:r>
                <m:t>v</m:t>
              </m:r>
            </m:sub>
          </m:sSub>
          <m:d>
            <m:dPr>
              <m:begChr m:val="("/>
              <m:sepChr m:val=""/>
              <m:endChr m:val=")"/>
              <m:grow/>
            </m:dPr>
            <m:e>
              <m:r>
                <m:rPr>
                  <m:sty m:val="b"/>
                </m:rPr>
                <m:t>h</m:t>
              </m:r>
            </m:e>
          </m:d>
          <m:r>
            <m:rPr>
              <m:sty m:val="p"/>
            </m:rPr>
            <m:t>=</m:t>
          </m:r>
          <m:f>
            <m:fPr>
              <m:type m:val="bar"/>
            </m:fPr>
            <m:num>
              <m:r>
                <m:t>1</m:t>
              </m:r>
            </m:num>
            <m:den>
              <m:r>
                <m:t>2</m:t>
              </m:r>
            </m:den>
          </m:f>
          <m:r>
            <m:rPr>
              <m:sty m:val="p"/>
            </m:rPr>
            <m:t>Var</m:t>
          </m:r>
          <m:d>
            <m:dPr>
              <m:begChr m:val="["/>
              <m:sepChr m:val=""/>
              <m:endChr m:val="]"/>
              <m:grow/>
            </m:dPr>
            <m:e>
              <m:sSub>
                <m:e>
                  <m:r>
                    <m:t>Z</m:t>
                  </m:r>
                </m:e>
                <m:sub>
                  <m:r>
                    <m:t>v</m:t>
                  </m:r>
                </m:sub>
              </m:sSub>
              <m:d>
                <m:dPr>
                  <m:begChr m:val="("/>
                  <m:sepChr m:val=""/>
                  <m:endChr m:val=")"/>
                  <m:grow/>
                </m:dPr>
                <m:e>
                  <m:r>
                    <m:rPr>
                      <m:sty m:val="b"/>
                    </m:rPr>
                    <m:t>x</m:t>
                  </m:r>
                  <m:r>
                    <m:rPr>
                      <m:sty m:val="p"/>
                    </m:rPr>
                    <m:t>+</m:t>
                  </m:r>
                  <m:r>
                    <m:rPr>
                      <m:sty m:val="b"/>
                    </m:rPr>
                    <m:t>h</m:t>
                  </m:r>
                </m:e>
              </m:d>
              <m:r>
                <m:rPr>
                  <m:sty m:val="p"/>
                </m:rPr>
                <m:t>−</m:t>
              </m:r>
              <m:sSub>
                <m:e>
                  <m:r>
                    <m:t>Z</m:t>
                  </m:r>
                </m:e>
                <m:sub>
                  <m:r>
                    <m:t>v</m:t>
                  </m:r>
                </m:sub>
              </m:sSub>
              <m:d>
                <m:dPr>
                  <m:begChr m:val="("/>
                  <m:sepChr m:val=""/>
                  <m:endChr m:val=")"/>
                  <m:grow/>
                </m:dPr>
                <m:e>
                  <m:r>
                    <m:rPr>
                      <m:sty m:val="b"/>
                    </m:rPr>
                    <m:t>x</m:t>
                  </m:r>
                </m:e>
              </m:d>
            </m:e>
          </m:d>
          <m:r>
            <m:rPr>
              <m:sty m:val="p"/>
            </m:rPr>
            <m:t>.</m:t>
          </m:r>
        </m:oMath>
      </m:oMathPara>
    </w:p>
    <w:p>
      <w:pPr>
        <w:pStyle w:val="FirstParagraph"/>
      </w:pPr>
      <w:r>
        <w:t xml:space="preserve">Il mesure la variabilité entre les teneurs moyennes de deux blocs, plutôt qu’entre deux valeurs ponctuelles.</w:t>
      </w:r>
    </w:p>
    <w:p>
      <w:pPr>
        <w:pStyle w:val="BodyText"/>
      </w:pPr>
      <w:r>
        <w:t xml:space="preserve">La covariance entre les deux blocs est :</w:t>
      </w:r>
    </w:p>
    <w:p>
      <w:pPr>
        <w:pStyle w:val="BodyText"/>
      </w:pPr>
      <m:oMathPara>
        <m:oMathParaPr>
          <m:jc m:val="center"/>
        </m:oMathParaPr>
        <m:oMath>
          <m:sSub>
            <m:e>
              <m:r>
                <m:t>C</m:t>
              </m:r>
            </m:e>
            <m:sub>
              <m:r>
                <m:t>v</m:t>
              </m:r>
            </m:sub>
          </m:sSub>
          <m:d>
            <m:dPr>
              <m:begChr m:val="("/>
              <m:sepChr m:val=""/>
              <m:endChr m:val=")"/>
              <m:grow/>
            </m:dPr>
            <m:e>
              <m:r>
                <m:rPr>
                  <m:sty m:val="b"/>
                </m:rPr>
                <m:t>h</m:t>
              </m:r>
            </m:e>
          </m:d>
          <m:r>
            <m:rPr>
              <m:sty m:val="p"/>
            </m:rPr>
            <m:t>=</m:t>
          </m:r>
          <m:f>
            <m:fPr>
              <m:type m:val="bar"/>
            </m:fPr>
            <m:num>
              <m:r>
                <m:t>1</m:t>
              </m:r>
            </m:num>
            <m:den>
              <m:sSup>
                <m:e>
                  <m:d>
                    <m:dPr>
                      <m:begChr m:val="|"/>
                      <m:sepChr m:val=""/>
                      <m:endChr m:val="|"/>
                      <m:grow/>
                    </m:dPr>
                    <m:e>
                      <m:r>
                        <m:t>v</m:t>
                      </m:r>
                    </m:e>
                  </m:d>
                </m:e>
                <m:sup>
                  <m:r>
                    <m:t>2</m:t>
                  </m:r>
                </m:sup>
              </m:sSup>
            </m:den>
          </m:f>
          <m:nary>
            <m:naryPr>
              <m:chr m:val="∬"/>
              <m:limLoc m:val="subSup"/>
              <m:subHide m:val="off"/>
              <m:supHide m:val="on"/>
            </m:naryPr>
            <m:sub>
              <m:r>
                <m:t>v</m:t>
              </m:r>
              <m:r>
                <m:rPr>
                  <m:sty m:val="p"/>
                </m:rPr>
                <m:t>×</m:t>
              </m:r>
              <m:r>
                <m:t>v</m:t>
              </m:r>
            </m:sub>
            <m:sup>
              <m:r>
                <m:t>​</m:t>
              </m:r>
            </m:sup>
            <m:e>
              <m:r>
                <m:t>C</m:t>
              </m:r>
            </m:e>
          </m:nary>
          <m:d>
            <m:dPr>
              <m:begChr m:val="("/>
              <m:sepChr m:val=""/>
              <m:endChr m:val=")"/>
              <m:grow/>
            </m:dPr>
            <m:e>
              <m:r>
                <m:rPr>
                  <m:sty m:val="b"/>
                </m:rPr>
                <m:t>h</m:t>
              </m:r>
              <m:r>
                <m:rPr>
                  <m:sty m:val="p"/>
                </m:rPr>
                <m:t>+</m:t>
              </m:r>
              <m:r>
                <m:rPr>
                  <m:sty m:val="b"/>
                </m:rPr>
                <m:t>u</m:t>
              </m:r>
              <m:r>
                <m:rPr>
                  <m:sty m:val="p"/>
                </m:rPr>
                <m:t>′</m:t>
              </m:r>
              <m:r>
                <m:rPr>
                  <m:sty m:val="p"/>
                </m:rPr>
                <m:t>−</m:t>
              </m:r>
              <m:r>
                <m:rPr>
                  <m:sty m:val="b"/>
                </m:rPr>
                <m:t>u</m:t>
              </m:r>
            </m:e>
          </m:d>
          <m:r>
            <m:t> </m:t>
          </m:r>
          <m:r>
            <m:t>d</m:t>
          </m:r>
          <m:r>
            <m:rPr>
              <m:sty m:val="b"/>
            </m:rPr>
            <m:t>u</m:t>
          </m:r>
          <m:r>
            <m:t> </m:t>
          </m:r>
          <m:r>
            <m:t>d</m:t>
          </m:r>
          <m:r>
            <m:rPr>
              <m:sty m:val="b"/>
            </m:rPr>
            <m:t>u</m:t>
          </m:r>
          <m:r>
            <m:rPr>
              <m:sty m:val="p"/>
            </m:rPr>
            <m:t>′</m:t>
          </m:r>
          <m:r>
            <m:rPr>
              <m:sty m:val="p"/>
            </m:rPr>
            <m:t>.</m:t>
          </m:r>
        </m:oMath>
      </m:oMathPara>
    </w:p>
    <w:p>
      <w:pPr>
        <w:pStyle w:val="FirstParagraph"/>
      </w:pPr>
      <w:r>
        <w:t xml:space="preserve">Sous stationnarité d’ordre 2 :</w:t>
      </w:r>
    </w:p>
    <w:p>
      <w:pPr>
        <w:pStyle w:val="BodyText"/>
      </w:pPr>
      <m:oMathPara>
        <m:oMathParaPr>
          <m:jc m:val="center"/>
        </m:oMathParaPr>
        <m:oMath>
          <m:sSub>
            <m:e>
              <m:r>
                <m:t>γ</m:t>
              </m:r>
            </m:e>
            <m:sub>
              <m:r>
                <m:t>v</m:t>
              </m:r>
            </m:sub>
          </m:sSub>
          <m:d>
            <m:dPr>
              <m:begChr m:val="("/>
              <m:sepChr m:val=""/>
              <m:endChr m:val=")"/>
              <m:grow/>
            </m:dPr>
            <m:e>
              <m:r>
                <m:rPr>
                  <m:sty m:val="b"/>
                </m:rPr>
                <m:t>h</m:t>
              </m:r>
            </m:e>
          </m:d>
          <m:r>
            <m:rPr>
              <m:sty m:val="p"/>
            </m:rPr>
            <m:t>=</m:t>
          </m:r>
          <m:sSub>
            <m:e>
              <m:r>
                <m:t>C</m:t>
              </m:r>
            </m:e>
            <m:sub>
              <m:r>
                <m:t>v</m:t>
              </m:r>
            </m:sub>
          </m:sSub>
          <m:d>
            <m:dPr>
              <m:begChr m:val="("/>
              <m:sepChr m:val=""/>
              <m:endChr m:val=")"/>
              <m:grow/>
            </m:dPr>
            <m:e>
              <m:r>
                <m:rPr>
                  <m:sty m:val="b"/>
                </m:rPr>
                <m:t>0</m:t>
              </m:r>
            </m:e>
          </m:d>
          <m:r>
            <m:rPr>
              <m:sty m:val="p"/>
            </m:rPr>
            <m:t>−</m:t>
          </m:r>
          <m:sSub>
            <m:e>
              <m:r>
                <m:t>C</m:t>
              </m:r>
            </m:e>
            <m:sub>
              <m:r>
                <m:t>v</m:t>
              </m:r>
            </m:sub>
          </m:sSub>
          <m:d>
            <m:dPr>
              <m:begChr m:val="("/>
              <m:sepChr m:val=""/>
              <m:endChr m:val=")"/>
              <m:grow/>
            </m:dPr>
            <m:e>
              <m:r>
                <m:rPr>
                  <m:sty m:val="b"/>
                </m:rPr>
                <m:t>h</m:t>
              </m:r>
            </m:e>
          </m:d>
          <m:r>
            <m:rPr>
              <m:sty m:val="p"/>
            </m:rPr>
            <m:t>.</m:t>
          </m:r>
        </m:oMath>
      </m:oMathPara>
    </w:p>
    <w:p>
      <w:pPr>
        <w:pStyle w:val="FirstParagraph"/>
      </w:pPr>
      <w:r>
        <w:t xml:space="preserve">Comme</w:t>
      </w:r>
      <w:r>
        <w:t xml:space="preserve"> </w:t>
      </w:r>
      <m:oMath>
        <m:sSub>
          <m:e>
            <m:r>
              <m:t>C</m:t>
            </m:r>
          </m:e>
          <m:sub>
            <m:r>
              <m:t>v</m:t>
            </m:r>
          </m:sub>
        </m:sSub>
        <m:d>
          <m:dPr>
            <m:begChr m:val="("/>
            <m:sepChr m:val=""/>
            <m:endChr m:val=")"/>
            <m:grow/>
          </m:dPr>
          <m:e>
            <m:r>
              <m:rPr>
                <m:sty m:val="b"/>
              </m:rPr>
              <m:t>0</m:t>
            </m:r>
          </m:e>
        </m:d>
        <m:r>
          <m:rPr>
            <m:sty m:val="p"/>
          </m:rPr>
          <m:t>=</m:t>
        </m:r>
        <m:sSubSup>
          <m:e>
            <m:r>
              <m:t>σ</m:t>
            </m:r>
          </m:e>
          <m:sub>
            <m:r>
              <m:t>v</m:t>
            </m:r>
          </m:sub>
          <m:sup>
            <m:r>
              <m:t>2</m:t>
            </m:r>
          </m:sup>
        </m:sSubSup>
      </m:oMath>
      <w:r>
        <w:t xml:space="preserve">, le palier du variogramme de blocs correspond à la variance de bloc lorsque la covariance entre blocs tend vers zéro à grande distance.</w:t>
      </w:r>
    </w:p>
    <w:p>
      <w:pPr>
        <w:pStyle w:val="BodyText"/>
      </w:pPr>
      <w:r>
        <w:t xml:space="preserve">En fonction du variogramme ponctuel, le variogramme de blocs s’écrit :</w:t>
      </w:r>
    </w:p>
    <w:p>
      <w:pPr>
        <w:pStyle w:val="BodyText"/>
      </w:pPr>
      <m:oMathPara>
        <m:oMathParaPr>
          <m:jc m:val="center"/>
        </m:oMathParaPr>
        <m:oMath>
          <m:sSub>
            <m:e>
              <m:r>
                <m:t>γ</m:t>
              </m:r>
            </m:e>
            <m:sub>
              <m:r>
                <m:t>v</m:t>
              </m:r>
            </m:sub>
          </m:sSub>
          <m:d>
            <m:dPr>
              <m:begChr m:val="("/>
              <m:sepChr m:val=""/>
              <m:endChr m:val=")"/>
              <m:grow/>
            </m:dPr>
            <m:e>
              <m:r>
                <m:rPr>
                  <m:sty m:val="b"/>
                </m:rPr>
                <m:t>h</m:t>
              </m:r>
            </m:e>
          </m:d>
          <m:r>
            <m:rPr>
              <m:sty m:val="p"/>
            </m:rPr>
            <m:t>=</m:t>
          </m:r>
          <m:bar>
            <m:barPr>
              <m:pos m:val="top"/>
            </m:barPr>
            <m:e>
              <m:r>
                <m:t>γ</m:t>
              </m:r>
            </m:e>
          </m:bar>
          <m:d>
            <m:dPr>
              <m:begChr m:val="("/>
              <m:sepChr m:val=""/>
              <m:endChr m:val=")"/>
              <m:grow/>
            </m:dPr>
            <m:e>
              <m:sSub>
                <m:e>
                  <m:r>
                    <m:t>v</m:t>
                  </m:r>
                </m:e>
                <m:sub>
                  <m:r>
                    <m:rPr>
                      <m:sty m:val="b"/>
                    </m:rPr>
                    <m:t>x</m:t>
                  </m:r>
                </m:sub>
              </m:sSub>
              <m:r>
                <m:rPr>
                  <m:sty m:val="p"/>
                </m:rPr>
                <m:t>,</m:t>
              </m:r>
              <m:sSub>
                <m:e>
                  <m:r>
                    <m:t>v</m:t>
                  </m:r>
                </m:e>
                <m:sub>
                  <m:r>
                    <m:rPr>
                      <m:sty m:val="b"/>
                    </m:rPr>
                    <m:t>x</m:t>
                  </m:r>
                  <m:r>
                    <m:rPr>
                      <m:sty m:val="p"/>
                    </m:rPr>
                    <m:t>+</m:t>
                  </m:r>
                  <m:r>
                    <m:rPr>
                      <m:sty m:val="b"/>
                    </m:rPr>
                    <m:t>h</m:t>
                  </m:r>
                </m:sub>
              </m:sSub>
            </m:e>
          </m:d>
          <m:r>
            <m:rPr>
              <m:sty m:val="p"/>
            </m:rPr>
            <m:t>−</m:t>
          </m:r>
          <m:bar>
            <m:barPr>
              <m:pos m:val="top"/>
            </m:barPr>
            <m:e>
              <m:r>
                <m:t>γ</m:t>
              </m:r>
            </m:e>
          </m:bar>
          <m:d>
            <m:dPr>
              <m:begChr m:val="("/>
              <m:sepChr m:val=""/>
              <m:endChr m:val=")"/>
              <m:grow/>
            </m:dPr>
            <m:e>
              <m:r>
                <m:t>v</m:t>
              </m:r>
              <m:r>
                <m:rPr>
                  <m:sty m:val="p"/>
                </m:rPr>
                <m:t>,</m:t>
              </m:r>
              <m:r>
                <m:t>v</m:t>
              </m:r>
            </m:e>
          </m:d>
          <m:r>
            <m:rPr>
              <m:sty m:val="p"/>
            </m:rPr>
            <m:t>.</m:t>
          </m:r>
        </m:oMath>
      </m:oMathPara>
    </w:p>
    <w:p>
      <w:pPr>
        <w:pStyle w:val="FirstParagraph"/>
      </w:pPr>
      <w:r>
        <w:t xml:space="preserve">Le premier terme est la moyenne du variogramme ponctuel entre toutes les paires dont un point appartient au premier bloc et l’autre au second. Le deuxième terme est la moyenne du variogramme à l’intérieur d’un bloc.</w:t>
      </w:r>
    </w:p>
    <w:p>
      <w:pPr>
        <w:pStyle w:val="BodyText"/>
      </w:pPr>
      <w:r>
        <w:t xml:space="preserve">Cette soustraction est essentielle. Elle garantit notamment que :</w:t>
      </w:r>
    </w:p>
    <w:p>
      <w:pPr>
        <w:pStyle w:val="BodyText"/>
      </w:pPr>
      <m:oMathPara>
        <m:oMathParaPr>
          <m:jc m:val="center"/>
        </m:oMathParaPr>
        <m:oMath>
          <m:sSub>
            <m:e>
              <m:r>
                <m:t>γ</m:t>
              </m:r>
            </m:e>
            <m:sub>
              <m:r>
                <m:t>v</m:t>
              </m:r>
            </m:sub>
          </m:sSub>
          <m:d>
            <m:dPr>
              <m:begChr m:val="("/>
              <m:sepChr m:val=""/>
              <m:endChr m:val=")"/>
              <m:grow/>
            </m:dPr>
            <m:e>
              <m:r>
                <m:rPr>
                  <m:sty m:val="b"/>
                </m:rPr>
                <m:t>0</m:t>
              </m:r>
            </m:e>
          </m:d>
          <m:r>
            <m:rPr>
              <m:sty m:val="p"/>
            </m:rPr>
            <m:t>=</m:t>
          </m:r>
          <m:r>
            <m:t>0</m:t>
          </m:r>
          <m:r>
            <m:rPr>
              <m:sty m:val="p"/>
            </m:rPr>
            <m:t>.</m:t>
          </m:r>
        </m:oMath>
      </m:oMathPara>
    </w:p>
    <w:p>
      <w:pPr>
        <w:pStyle w:val="FirstParagraph"/>
      </w:pPr>
      <w:r>
        <w:t xml:space="preserve">Le variogramme de blocs (</w:t>
      </w:r>
      <w:hyperlink w:anchor="fig-c8-regularisation">
        <w:r>
          <w:rPr>
            <w:rStyle w:val="Hyperlink"/>
          </w:rPr>
          <w:t xml:space="preserve">Figure 3</w:t>
        </w:r>
      </w:hyperlink>
      <w:r>
        <w:t xml:space="preserve">) possède généralement :</w:t>
      </w:r>
    </w:p>
    <w:p>
      <w:pPr>
        <w:pStyle w:val="Compact"/>
        <w:numPr>
          <w:ilvl w:val="0"/>
          <w:numId w:val="1007"/>
        </w:numPr>
      </w:pPr>
      <w:r>
        <w:t xml:space="preserve">un palier plus faible que le variogramme ponctuel;</w:t>
      </w:r>
    </w:p>
    <w:p>
      <w:pPr>
        <w:pStyle w:val="Compact"/>
        <w:numPr>
          <w:ilvl w:val="0"/>
          <w:numId w:val="1007"/>
        </w:numPr>
      </w:pPr>
      <w:r>
        <w:t xml:space="preserve">une croissance plus progressive à courte distance;</w:t>
      </w:r>
    </w:p>
    <w:p>
      <w:pPr>
        <w:pStyle w:val="Compact"/>
        <w:numPr>
          <w:ilvl w:val="0"/>
          <w:numId w:val="1007"/>
        </w:numPr>
      </w:pPr>
      <w:r>
        <w:t xml:space="preserve">une forme dépendant de la taille, de la géométrie et de l’orientation des blocs.</w:t>
      </w:r>
    </w:p>
    <w:tbl>
      <w:tblPr>
        <w:tblStyle w:val="Table"/>
        <w:tblW w:type="pct" w:w="5000"/>
        <w:tblLayout w:type="fixed"/>
        <w:tblLook w:firstRow="0" w:lastRow="0" w:firstColumn="0" w:lastColumn="0" w:noHBand="0" w:noVBand="0" w:val="0000"/>
      </w:tblPr>
      <w:tblGrid>
        <w:gridCol w:w="7920"/>
      </w:tblGrid>
      <w:tr>
        <w:tc>
          <w:tcPr/>
          <w:bookmarkStart w:id="44" w:name="fig-c8-regularisation"/>
          <w:p>
            <w:pPr>
              <w:pStyle w:val="Compact"/>
              <w:jc w:val="center"/>
            </w:pPr>
            <w:r>
              <w:drawing>
                <wp:inline>
                  <wp:extent cx="4800600" cy="2057400"/>
                  <wp:effectExtent b="0" l="0" r="0" t="0"/>
                  <wp:docPr descr="" title="" id="42" name="Picture"/>
                  <a:graphic>
                    <a:graphicData uri="http://schemas.openxmlformats.org/drawingml/2006/picture">
                      <pic:pic>
                        <pic:nvPicPr>
                          <pic:cNvPr descr="images/c8_02_regularisation.png" id="43" name="Picture"/>
                          <pic:cNvPicPr>
                            <a:picLocks noChangeArrowheads="1" noChangeAspect="1"/>
                          </pic:cNvPicPr>
                        </pic:nvPicPr>
                        <pic:blipFill>
                          <a:blip r:embed="rId41"/>
                          <a:stretch>
                            <a:fillRect/>
                          </a:stretch>
                        </pic:blipFill>
                        <pic:spPr bwMode="auto">
                          <a:xfrm>
                            <a:off x="0" y="0"/>
                            <a:ext cx="4800600" cy="2057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Variogrammes régularisés pour plusieurs tailles de bloc : la variance de bloc décroît et le variogramme se lisse quand le support augmente.</w:t>
            </w:r>
          </w:p>
          <w:bookmarkEnd w:id="44"/>
        </w:tc>
      </w:tr>
    </w:tbl>
    <w:bookmarkEnd w:id="45"/>
    <w:bookmarkEnd w:id="46"/>
    <w:bookmarkStart w:id="47" w:name="atelier-interactif-8.1-variance-de-bloc"/>
    <w:p>
      <w:pPr>
        <w:pStyle w:val="Heading2"/>
      </w:pPr>
      <w:r>
        <w:t xml:space="preserve">🧮 Atelier interactif 8.1 — Variance de bloc</w:t>
      </w:r>
    </w:p>
    <w:p>
      <w:pPr>
        <w:pStyle w:val="FirstParagraph"/>
      </w:pPr>
      <w:r>
        <w:t xml:space="preserve">Cet atelier interactif n’est disponible que dans la version web du chapitre.</w:t>
      </w:r>
    </w:p>
    <w:bookmarkEnd w:id="47"/>
    <w:bookmarkStart w:id="59" w:name="variance-de-dispersion"/>
    <w:p>
      <w:pPr>
        <w:pStyle w:val="Heading2"/>
      </w:pPr>
      <w:r>
        <w:t xml:space="preserve">3 Variance de dispersion</w:t>
      </w:r>
    </w:p>
    <w:p>
      <w:pPr>
        <w:pStyle w:val="FirstParagraph"/>
      </w:pPr>
      <w:r>
        <w:t xml:space="preserve">La variance de bloc permet de calculer la variance théorique d’une teneur de bloc dans un domaine supposé très grand. En pratique, un gisement est toujours fini. On veut donc aussi connaître l’amplitude des variations de teneur à l’intérieur d’un volume donné, par exemple une zone du gisement, un panneau ou une période de production.</w:t>
      </w:r>
    </w:p>
    <w:p>
      <w:pPr>
        <w:pStyle w:val="BodyText"/>
      </w:pPr>
      <w:r>
        <w:t xml:space="preserve">Considérons un grand bloc</w:t>
      </w:r>
      <w:r>
        <w:t xml:space="preserve"> </w:t>
      </w:r>
      <m:oMath>
        <m:sSub>
          <m:e>
            <m:r>
              <m:t>V</m:t>
            </m:r>
          </m:e>
          <m:sub>
            <m:r>
              <m:t>j</m:t>
            </m:r>
          </m:sub>
        </m:sSub>
      </m:oMath>
      <w:r>
        <w:t xml:space="preserve"> </w:t>
      </w:r>
      <w:r>
        <w:t xml:space="preserve">découpé en petits blocs</w:t>
      </w:r>
      <w:r>
        <w:t xml:space="preserve"> </w:t>
      </w:r>
      <m:oMath>
        <m:sSub>
          <m:e>
            <m:r>
              <m:t>v</m:t>
            </m:r>
          </m:e>
          <m:sub>
            <m:r>
              <m:t>i</m:t>
            </m:r>
          </m:sub>
        </m:sSub>
      </m:oMath>
      <w:r>
        <w:t xml:space="preserve">. On a :</w:t>
      </w:r>
    </w:p>
    <w:p>
      <w:pPr>
        <w:pStyle w:val="BodyText"/>
      </w:pPr>
      <m:oMathPara>
        <m:oMathParaPr>
          <m:jc m:val="center"/>
        </m:oMathParaPr>
        <m:oMath>
          <m:r>
            <m:t>Z</m:t>
          </m:r>
          <m:d>
            <m:dPr>
              <m:begChr m:val="("/>
              <m:sepChr m:val=""/>
              <m:endChr m:val=")"/>
              <m:grow/>
            </m:dPr>
            <m:e>
              <m:sSub>
                <m:e>
                  <m:r>
                    <m:t>V</m:t>
                  </m:r>
                </m:e>
                <m:sub>
                  <m:r>
                    <m:t>j</m:t>
                  </m:r>
                </m:sub>
              </m:sSub>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Z</m:t>
              </m:r>
            </m:e>
          </m:nary>
          <m:d>
            <m:dPr>
              <m:begChr m:val="("/>
              <m:sepChr m:val=""/>
              <m:endChr m:val=")"/>
              <m:grow/>
            </m:dPr>
            <m:e>
              <m:sSub>
                <m:e>
                  <m:r>
                    <m:t>v</m:t>
                  </m:r>
                </m:e>
                <m:sub>
                  <m:r>
                    <m:t>i</m:t>
                  </m:r>
                </m:sub>
              </m:sSub>
            </m:e>
          </m:d>
        </m:oMath>
      </m:oMathPara>
    </w:p>
    <w:p>
      <w:pPr>
        <w:pStyle w:val="FirstParagraph"/>
      </w:pPr>
      <w:r>
        <w:t xml:space="preserve">La teneur du grand bloc</w:t>
      </w:r>
      <w:r>
        <w:t xml:space="preserve"> </w:t>
      </w:r>
      <m:oMath>
        <m:sSub>
          <m:e>
            <m:r>
              <m:t>V</m:t>
            </m:r>
          </m:e>
          <m:sub>
            <m:r>
              <m:t>j</m:t>
            </m:r>
          </m:sub>
        </m:sSub>
      </m:oMath>
      <w:r>
        <w:t xml:space="preserve"> </w:t>
      </w:r>
      <w:r>
        <w:t xml:space="preserve">est donc la moyenne des teneurs des petits blocs</w:t>
      </w:r>
      <w:r>
        <w:t xml:space="preserve"> </w:t>
      </w:r>
      <m:oMath>
        <m:sSub>
          <m:e>
            <m:r>
              <m:t>v</m:t>
            </m:r>
          </m:e>
          <m:sub>
            <m:r>
              <m:t>i</m:t>
            </m:r>
          </m:sub>
        </m:sSub>
      </m:oMath>
      <w:r>
        <w:t xml:space="preserve"> </w:t>
      </w:r>
      <w:r>
        <w:t xml:space="preserve">qui le composent (</w:t>
      </w:r>
      <w:hyperlink w:anchor="fig-c8-supports-emboites">
        <w:r>
          <w:rPr>
            <w:rStyle w:val="Hyperlink"/>
          </w:rPr>
          <w:t xml:space="preserve">Figure 4</w:t>
        </w:r>
      </w:hyperlink>
      <w:r>
        <w:t xml:space="preserve">). On peut ensuite regarder à quel point les teneurs des petits blocs varient autour de cette moyenne. Cette variabilité, calculée en moyenne sur tous les blocs</w:t>
      </w:r>
      <w:r>
        <w:t xml:space="preserve"> </w:t>
      </w:r>
      <m:oMath>
        <m:sSub>
          <m:e>
            <m:r>
              <m:t>V</m:t>
            </m:r>
          </m:e>
          <m:sub>
            <m:r>
              <m:t>j</m:t>
            </m:r>
          </m:sub>
        </m:sSub>
      </m:oMath>
      <w:r>
        <w:t xml:space="preserve"> </w:t>
      </w:r>
      <w:r>
        <w:t xml:space="preserve">du domaine, correspond à</w:t>
      </w:r>
      <w:r>
        <w:t xml:space="preserve"> </w:t>
      </w:r>
      <w:r>
        <w:rPr>
          <w:b/>
          <w:bCs/>
        </w:rPr>
        <w:t xml:space="preserve">la variance de dispersion de</w:t>
      </w:r>
      <w:r>
        <w:rPr>
          <w:b/>
          <w:bCs/>
        </w:rPr>
        <w:t xml:space="preserve"> </w:t>
      </w:r>
      <m:oMath>
        <m:r>
          <m:t>v</m:t>
        </m:r>
      </m:oMath>
      <w:r>
        <w:rPr>
          <w:b/>
          <w:bCs/>
        </w:rPr>
        <w:t xml:space="preserve"> </w:t>
      </w:r>
      <w:r>
        <w:rPr>
          <w:b/>
          <w:bCs/>
        </w:rPr>
        <w:t xml:space="preserve">dans</w:t>
      </w:r>
      <w:r>
        <w:rPr>
          <w:b/>
          <w:bCs/>
        </w:rPr>
        <w:t xml:space="preserve"> </w:t>
      </w:r>
      <m:oMath>
        <m:r>
          <m:t>V</m:t>
        </m:r>
      </m:oMath>
      <w:r>
        <w:t xml:space="preserve">, notée</w:t>
      </w:r>
      <w:r>
        <w:t xml:space="preserve"> </w:t>
      </w:r>
      <m:oMath>
        <m:sSup>
          <m:e>
            <m:r>
              <m:t>D</m:t>
            </m:r>
          </m:e>
          <m:sup>
            <m:r>
              <m:t>2</m:t>
            </m:r>
          </m:sup>
        </m:sSup>
        <m:d>
          <m:dPr>
            <m:begChr m:val="("/>
            <m:sepChr m:val=""/>
            <m:endChr m:val=")"/>
            <m:grow/>
          </m:dPr>
          <m:e>
            <m:r>
              <m:t>v</m:t>
            </m:r>
            <m:r>
              <m:rPr>
                <m:sty m:val="p"/>
              </m:rPr>
              <m:t>∣</m:t>
            </m:r>
            <m:r>
              <m:t>V</m:t>
            </m:r>
          </m:e>
        </m:d>
      </m:oMath>
      <w:r>
        <w:t xml:space="preserve">.</w:t>
      </w:r>
    </w:p>
    <w:tbl>
      <w:tblPr>
        <w:tblStyle w:val="Table"/>
        <w:tblW w:type="pct" w:w="5000"/>
        <w:tblLayout w:type="fixed"/>
        <w:tblLook w:firstRow="0" w:lastRow="0" w:firstColumn="0" w:lastColumn="0" w:noHBand="0" w:noVBand="0" w:val="0000"/>
      </w:tblPr>
      <w:tblGrid>
        <w:gridCol w:w="7920"/>
      </w:tblGrid>
      <w:tr>
        <w:tc>
          <w:tcPr/>
          <w:bookmarkStart w:id="51" w:name="fig-c8-supports-emboites"/>
          <w:p>
            <w:pPr>
              <w:pStyle w:val="Compact"/>
              <w:jc w:val="center"/>
            </w:pPr>
            <w:r>
              <w:drawing>
                <wp:inline>
                  <wp:extent cx="4800600" cy="2180161"/>
                  <wp:effectExtent b="0" l="0" r="0" t="0"/>
                  <wp:docPr descr="" title="" id="49" name="Picture"/>
                  <a:graphic>
                    <a:graphicData uri="http://schemas.openxmlformats.org/drawingml/2006/picture">
                      <pic:pic>
                        <pic:nvPicPr>
                          <pic:cNvPr descr="images/c8_04_supports_emboites.png" id="50" name="Picture"/>
                          <pic:cNvPicPr>
                            <a:picLocks noChangeArrowheads="1" noChangeAspect="1"/>
                          </pic:cNvPicPr>
                        </pic:nvPicPr>
                        <pic:blipFill>
                          <a:blip r:embed="rId48"/>
                          <a:stretch>
                            <a:fillRect/>
                          </a:stretch>
                        </pic:blipFill>
                        <pic:spPr bwMode="auto">
                          <a:xfrm>
                            <a:off x="0" y="0"/>
                            <a:ext cx="4800600" cy="218016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Supports emboîtés</w:t>
            </w:r>
            <w:r>
              <w:t xml:space="preserve"> </w:t>
            </w:r>
            <m:oMath>
              <m:r>
                <m:t>v</m:t>
              </m:r>
              <m:r>
                <m:rPr>
                  <m:sty m:val="p"/>
                </m:rPr>
                <m:t>⊂</m:t>
              </m:r>
              <m:r>
                <m:t>V</m:t>
              </m:r>
            </m:oMath>
            <w:r>
              <w:t xml:space="preserve"> </w:t>
            </w:r>
            <w:r>
              <w:t xml:space="preserve">: de grands blocs</w:t>
            </w:r>
            <w:r>
              <w:t xml:space="preserve"> </w:t>
            </w:r>
            <m:oMath>
              <m:r>
                <m:t>V</m:t>
              </m:r>
            </m:oMath>
            <w:r>
              <w:t xml:space="preserve"> </w:t>
            </w:r>
            <w:r>
              <w:t xml:space="preserve">sur un champ réel, et le zoom d’un bloc</w:t>
            </w:r>
            <w:r>
              <w:t xml:space="preserve"> </w:t>
            </w:r>
            <m:oMath>
              <m:r>
                <m:t>V</m:t>
              </m:r>
            </m:oMath>
            <w:r>
              <w:t xml:space="preserve"> </w:t>
            </w:r>
            <w:r>
              <w:t xml:space="preserve">subdivisé en petits blocs</w:t>
            </w:r>
            <w:r>
              <w:t xml:space="preserve"> </w:t>
            </w:r>
            <m:oMath>
              <m:r>
                <m:t>v</m:t>
              </m:r>
            </m:oMath>
            <w:r>
              <w:t xml:space="preserve">.</w:t>
            </w:r>
          </w:p>
          <w:bookmarkEnd w:id="51"/>
        </w:tc>
      </w:tr>
    </w:tbl>
    <w:p>
      <w:pPr>
        <w:pStyle w:val="BodyText"/>
      </w:pPr>
      <w:r>
        <w:t xml:space="preserve">Soit la variance des petits blocs à l’intérieur d’un bloc</w:t>
      </w:r>
      <w:r>
        <w:t xml:space="preserve"> </w:t>
      </w:r>
      <m:oMath>
        <m:sSub>
          <m:e>
            <m:r>
              <m:t>V</m:t>
            </m:r>
          </m:e>
          <m:sub>
            <m:r>
              <m:t>j</m:t>
            </m:r>
          </m:sub>
        </m:sSub>
      </m:oMath>
      <w:r>
        <w:t xml:space="preserve"> </w:t>
      </w:r>
      <w:r>
        <w:t xml:space="preserve">:</w:t>
      </w:r>
    </w:p>
    <w:p>
      <w:pPr>
        <w:pStyle w:val="BodyText"/>
      </w:pPr>
      <m:oMathPara>
        <m:oMathParaPr>
          <m:jc m:val="center"/>
        </m:oMathParaPr>
        <m:oMath>
          <m:sSubSup>
            <m:e>
              <m:r>
                <m:t>s</m:t>
              </m:r>
            </m:e>
            <m:sub>
              <m:r>
                <m:t>v</m:t>
              </m:r>
              <m:r>
                <m:rPr>
                  <m:sty m:val="p"/>
                </m:rPr>
                <m:t>|</m:t>
              </m:r>
              <m:sSub>
                <m:e>
                  <m:r>
                    <m:t>V</m:t>
                  </m:r>
                </m:e>
                <m:sub>
                  <m:r>
                    <m:t>j</m:t>
                  </m:r>
                </m:sub>
              </m:sSub>
            </m:sub>
            <m:sup>
              <m:r>
                <m:t>2</m:t>
              </m:r>
            </m:sup>
          </m:sSubSup>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r>
                        <m:t>Z</m:t>
                      </m:r>
                      <m:d>
                        <m:dPr>
                          <m:begChr m:val="("/>
                          <m:sepChr m:val=""/>
                          <m:endChr m:val=")"/>
                          <m:grow/>
                        </m:dPr>
                        <m:e>
                          <m:sSub>
                            <m:e>
                              <m:r>
                                <m:t>v</m:t>
                              </m:r>
                            </m:e>
                            <m:sub>
                              <m:r>
                                <m:t>i</m:t>
                              </m:r>
                            </m:sub>
                          </m:sSub>
                        </m:e>
                      </m:d>
                      <m:r>
                        <m:rPr>
                          <m:sty m:val="p"/>
                        </m:rPr>
                        <m:t>−</m:t>
                      </m:r>
                      <m:r>
                        <m:t>Z</m:t>
                      </m:r>
                      <m:d>
                        <m:dPr>
                          <m:begChr m:val="("/>
                          <m:sepChr m:val=""/>
                          <m:endChr m:val=")"/>
                          <m:grow/>
                        </m:dPr>
                        <m:e>
                          <m:sSub>
                            <m:e>
                              <m:r>
                                <m:t>V</m:t>
                              </m:r>
                            </m:e>
                            <m:sub>
                              <m:r>
                                <m:t>j</m:t>
                              </m:r>
                            </m:sub>
                          </m:sSub>
                        </m:e>
                      </m:d>
                    </m:e>
                  </m:d>
                </m:e>
                <m:sup>
                  <m:r>
                    <m:t>2</m:t>
                  </m:r>
                </m:sup>
              </m:sSup>
            </m:e>
          </m:nary>
        </m:oMath>
      </m:oMathPara>
    </w:p>
    <w:p>
      <w:pPr>
        <w:pStyle w:val="FirstParagraph"/>
      </w:pPr>
      <w:r>
        <w:t xml:space="preserve">Cette expression mesure la variabilité des teneurs des petits blocs</w:t>
      </w:r>
      <w:r>
        <w:t xml:space="preserve"> </w:t>
      </w:r>
      <m:oMath>
        <m:sSub>
          <m:e>
            <m:r>
              <m:t>v</m:t>
            </m:r>
          </m:e>
          <m:sub>
            <m:r>
              <m:t>i</m:t>
            </m:r>
          </m:sub>
        </m:sSub>
      </m:oMath>
      <w:r>
        <w:t xml:space="preserve"> </w:t>
      </w:r>
      <w:r>
        <w:t xml:space="preserve">autour de la teneur moyenne du grand bloc</w:t>
      </w:r>
      <w:r>
        <w:t xml:space="preserve"> </w:t>
      </w:r>
      <m:oMath>
        <m:sSub>
          <m:e>
            <m:r>
              <m:t>V</m:t>
            </m:r>
          </m:e>
          <m:sub>
            <m:r>
              <m:t>j</m:t>
            </m:r>
          </m:sub>
        </m:sSub>
      </m:oMath>
      <w:r>
        <w:t xml:space="preserve">. Comme on peut faire ce calcul pour plusieurs blocs</w:t>
      </w:r>
      <w:r>
        <w:t xml:space="preserve"> </w:t>
      </w:r>
      <m:oMath>
        <m:sSub>
          <m:e>
            <m:r>
              <m:t>V</m:t>
            </m:r>
          </m:e>
          <m:sub>
            <m:r>
              <m:t>j</m:t>
            </m:r>
          </m:sub>
        </m:sSub>
      </m:oMath>
      <w:r>
        <w:t xml:space="preserve"> </w:t>
      </w:r>
      <w:r>
        <w:t xml:space="preserve">dans le gisement, la variance de dispersion est définie comme la moyenne de cette quantité sur l’ensemble des blocs :</w:t>
      </w:r>
    </w:p>
    <w:p>
      <w:pPr>
        <w:pStyle w:val="BodyText"/>
      </w:pPr>
      <m:oMathPara>
        <m:oMathParaPr>
          <m:jc m:val="center"/>
        </m:oMathParaPr>
        <m:oMath>
          <m:sSup>
            <m:e>
              <m:r>
                <m:t>D</m:t>
              </m:r>
            </m:e>
            <m:sup>
              <m:r>
                <m:t>2</m:t>
              </m:r>
            </m:sup>
          </m:sSup>
          <m:d>
            <m:dPr>
              <m:begChr m:val="("/>
              <m:sepChr m:val=""/>
              <m:endChr m:val=")"/>
              <m:grow/>
            </m:dPr>
            <m:e>
              <m:r>
                <m:t>v</m:t>
              </m:r>
              <m:r>
                <m:rPr>
                  <m:sty m:val="p"/>
                </m:rPr>
                <m:t>∣</m:t>
              </m:r>
              <m:r>
                <m:t>V</m:t>
              </m:r>
            </m:e>
          </m:d>
          <m:r>
            <m:rPr>
              <m:sty m:val="p"/>
            </m:rPr>
            <m:t>=</m:t>
          </m:r>
          <m:sSub>
            <m:e>
              <m:r>
                <m:rPr>
                  <m:sty m:val="p"/>
                  <m:scr m:val="double-struck"/>
                </m:rPr>
                <m:t>E</m:t>
              </m:r>
            </m:e>
            <m:sub>
              <m:sSub>
                <m:e>
                  <m:r>
                    <m:t>V</m:t>
                  </m:r>
                </m:e>
                <m:sub>
                  <m:r>
                    <m:t>j</m:t>
                  </m:r>
                </m:sub>
              </m:sSub>
            </m:sub>
          </m:sSub>
          <m:d>
            <m:dPr>
              <m:begChr m:val="["/>
              <m:sepChr m:val=""/>
              <m:endChr m:val="]"/>
              <m:grow/>
            </m:dPr>
            <m:e>
              <m:sSubSup>
                <m:e>
                  <m:r>
                    <m:t>s</m:t>
                  </m:r>
                </m:e>
                <m:sub>
                  <m:r>
                    <m:t>v</m:t>
                  </m:r>
                  <m:r>
                    <m:rPr>
                      <m:sty m:val="p"/>
                    </m:rPr>
                    <m:t>|</m:t>
                  </m:r>
                  <m:sSub>
                    <m:e>
                      <m:r>
                        <m:t>V</m:t>
                      </m:r>
                    </m:e>
                    <m:sub>
                      <m:r>
                        <m:t>j</m:t>
                      </m:r>
                    </m:sub>
                  </m:sSub>
                </m:sub>
                <m:sup>
                  <m:r>
                    <m:t>2</m:t>
                  </m:r>
                </m:sup>
              </m:sSubSup>
            </m:e>
          </m:d>
          <m:r>
            <m:rPr>
              <m:sty m:val="p"/>
            </m:rPr>
            <m:t>=</m:t>
          </m:r>
          <m:sSub>
            <m:e>
              <m:r>
                <m:rPr>
                  <m:sty m:val="p"/>
                  <m:scr m:val="double-struck"/>
                </m:rPr>
                <m:t>E</m:t>
              </m:r>
            </m:e>
            <m:sub>
              <m:sSub>
                <m:e>
                  <m:r>
                    <m:t>V</m:t>
                  </m:r>
                </m:e>
                <m:sub>
                  <m:r>
                    <m:t>j</m:t>
                  </m:r>
                </m:sub>
              </m:sSub>
            </m:sub>
          </m:sSub>
          <m:d>
            <m:dPr>
              <m:begChr m:val="["/>
              <m:sepChr m:val=""/>
              <m:endChr m:val="]"/>
              <m:grow/>
            </m:dPr>
            <m:e>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r>
                            <m:t>Z</m:t>
                          </m:r>
                          <m:d>
                            <m:dPr>
                              <m:begChr m:val="("/>
                              <m:sepChr m:val=""/>
                              <m:endChr m:val=")"/>
                              <m:grow/>
                            </m:dPr>
                            <m:e>
                              <m:sSub>
                                <m:e>
                                  <m:r>
                                    <m:t>v</m:t>
                                  </m:r>
                                </m:e>
                                <m:sub>
                                  <m:r>
                                    <m:t>i</m:t>
                                  </m:r>
                                </m:sub>
                              </m:sSub>
                            </m:e>
                          </m:d>
                          <m:r>
                            <m:rPr>
                              <m:sty m:val="p"/>
                            </m:rPr>
                            <m:t>−</m:t>
                          </m:r>
                          <m:r>
                            <m:t>Z</m:t>
                          </m:r>
                          <m:d>
                            <m:dPr>
                              <m:begChr m:val="("/>
                              <m:sepChr m:val=""/>
                              <m:endChr m:val=")"/>
                              <m:grow/>
                            </m:dPr>
                            <m:e>
                              <m:sSub>
                                <m:e>
                                  <m:r>
                                    <m:t>V</m:t>
                                  </m:r>
                                </m:e>
                                <m:sub>
                                  <m:r>
                                    <m:t>j</m:t>
                                  </m:r>
                                </m:sub>
                              </m:sSub>
                            </m:e>
                          </m:d>
                        </m:e>
                      </m:d>
                    </m:e>
                    <m:sup>
                      <m:r>
                        <m:t>2</m:t>
                      </m:r>
                    </m:sup>
                  </m:sSup>
                </m:e>
              </m:nary>
            </m:e>
          </m:d>
        </m:oMath>
      </m:oMathPara>
    </w:p>
    <w:p>
      <w:pPr>
        <w:pStyle w:val="BlockText"/>
      </w:pPr>
      <w:r>
        <w:rPr>
          <w:b/>
          <w:bCs/>
        </w:rPr>
        <w:t xml:space="preserve">Variance de dispersion — Démonstration complète</w:t>
      </w:r>
    </w:p>
    <w:p>
      <w:pPr>
        <w:pStyle w:val="BlockText"/>
      </w:pPr>
      <w:r>
        <w:t xml:space="preserve">Soit un bloc</w:t>
      </w:r>
      <w:r>
        <w:t xml:space="preserve"> </w:t>
      </w:r>
      <m:oMath>
        <m:sSub>
          <m:e>
            <m:r>
              <m:t>V</m:t>
            </m:r>
          </m:e>
          <m:sub>
            <m:r>
              <m:t>j</m:t>
            </m:r>
          </m:sub>
        </m:sSub>
      </m:oMath>
      <w:r>
        <w:t xml:space="preserve"> </w:t>
      </w:r>
      <w:r>
        <w:t xml:space="preserve">composé de</w:t>
      </w:r>
      <w:r>
        <w:t xml:space="preserve"> </w:t>
      </w:r>
      <m:oMath>
        <m:r>
          <m:t>n</m:t>
        </m:r>
      </m:oMath>
      <w:r>
        <w:t xml:space="preserve"> </w:t>
      </w:r>
      <w:r>
        <w:t xml:space="preserve">sous-blocs</w:t>
      </w:r>
      <w:r>
        <w:t xml:space="preserve"> </w:t>
      </w:r>
      <m:oMath>
        <m:sSub>
          <m:e>
            <m:r>
              <m:t>v</m:t>
            </m:r>
          </m:e>
          <m:sub>
            <m:r>
              <m:t>i</m:t>
            </m:r>
          </m:sub>
        </m:sSub>
      </m:oMath>
      <w:r>
        <w:t xml:space="preserve">. On part de la variance des petits blocs autour de la moyenne du grand bloc :</w:t>
      </w:r>
    </w:p>
    <w:p>
      <w:pPr>
        <w:pStyle w:val="BlockText"/>
      </w:pPr>
      <m:oMathPara>
        <m:oMathParaPr>
          <m:jc m:val="center"/>
        </m:oMathParaPr>
        <m:oMath>
          <m:sSubSup>
            <m:e>
              <m:r>
                <m:t>s</m:t>
              </m:r>
            </m:e>
            <m:sub>
              <m:r>
                <m:t>v</m:t>
              </m:r>
              <m:r>
                <m:rPr>
                  <m:sty m:val="p"/>
                </m:rPr>
                <m:t>|</m:t>
              </m:r>
              <m:sSub>
                <m:e>
                  <m:r>
                    <m:t>V</m:t>
                  </m:r>
                </m:e>
                <m:sub>
                  <m:r>
                    <m:t>j</m:t>
                  </m:r>
                </m:sub>
              </m:sSub>
            </m:sub>
            <m:sup>
              <m:r>
                <m:t>2</m:t>
              </m:r>
            </m:sup>
          </m:sSubSup>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r>
                        <m:t>Z</m:t>
                      </m:r>
                      <m:d>
                        <m:dPr>
                          <m:begChr m:val="("/>
                          <m:sepChr m:val=""/>
                          <m:endChr m:val=")"/>
                          <m:grow/>
                        </m:dPr>
                        <m:e>
                          <m:sSub>
                            <m:e>
                              <m:r>
                                <m:t>v</m:t>
                              </m:r>
                            </m:e>
                            <m:sub>
                              <m:r>
                                <m:t>i</m:t>
                              </m:r>
                            </m:sub>
                          </m:sSub>
                        </m:e>
                      </m:d>
                      <m:r>
                        <m:rPr>
                          <m:sty m:val="p"/>
                        </m:rPr>
                        <m:t>−</m:t>
                      </m:r>
                      <m:r>
                        <m:t>Z</m:t>
                      </m:r>
                      <m:d>
                        <m:dPr>
                          <m:begChr m:val="("/>
                          <m:sepChr m:val=""/>
                          <m:endChr m:val=")"/>
                          <m:grow/>
                        </m:dPr>
                        <m:e>
                          <m:sSub>
                            <m:e>
                              <m:r>
                                <m:t>V</m:t>
                              </m:r>
                            </m:e>
                            <m:sub>
                              <m:r>
                                <m:t>j</m:t>
                              </m:r>
                            </m:sub>
                          </m:sSub>
                        </m:e>
                      </m:d>
                    </m:e>
                  </m:d>
                </m:e>
                <m:sup>
                  <m:r>
                    <m:t>2</m:t>
                  </m:r>
                </m:sup>
              </m:sSup>
            </m:e>
          </m:nary>
        </m:oMath>
      </m:oMathPara>
    </w:p>
    <w:p>
      <w:pPr>
        <w:pStyle w:val="BlockText"/>
      </w:pPr>
      <w:r>
        <w:t xml:space="preserve">avec :</w:t>
      </w:r>
    </w:p>
    <w:p>
      <w:pPr>
        <w:pStyle w:val="BlockText"/>
      </w:pPr>
      <m:oMathPara>
        <m:oMathParaPr>
          <m:jc m:val="center"/>
        </m:oMathParaPr>
        <m:oMath>
          <m:r>
            <m:t>Z</m:t>
          </m:r>
          <m:d>
            <m:dPr>
              <m:begChr m:val="("/>
              <m:sepChr m:val=""/>
              <m:endChr m:val=")"/>
              <m:grow/>
            </m:dPr>
            <m:e>
              <m:sSub>
                <m:e>
                  <m:r>
                    <m:t>V</m:t>
                  </m:r>
                </m:e>
                <m:sub>
                  <m:r>
                    <m:t>j</m:t>
                  </m:r>
                </m:sub>
              </m:sSub>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Z</m:t>
              </m:r>
            </m:e>
          </m:nary>
          <m:d>
            <m:dPr>
              <m:begChr m:val="("/>
              <m:sepChr m:val=""/>
              <m:endChr m:val=")"/>
              <m:grow/>
            </m:dPr>
            <m:e>
              <m:sSub>
                <m:e>
                  <m:r>
                    <m:t>v</m:t>
                  </m:r>
                </m:e>
                <m:sub>
                  <m:r>
                    <m:t>i</m:t>
                  </m:r>
                </m:sub>
              </m:sSub>
            </m:e>
          </m:d>
        </m:oMath>
      </m:oMathPara>
    </w:p>
    <w:p>
      <w:pPr>
        <w:pStyle w:val="BlockText"/>
      </w:pPr>
      <w:r>
        <w:t xml:space="preserve">On développe le carré :</w:t>
      </w:r>
    </w:p>
    <w:p>
      <w:pPr>
        <w:pStyle w:val="BlockText"/>
      </w:pPr>
      <m:oMathPara>
        <m:oMathParaPr>
          <m:jc m:val="center"/>
        </m:oMathParaPr>
        <m:oMath>
          <m:sSup>
            <m:e>
              <m:d>
                <m:dPr>
                  <m:begChr m:val="("/>
                  <m:sepChr m:val=""/>
                  <m:endChr m:val=")"/>
                  <m:grow/>
                </m:dPr>
                <m:e>
                  <m:r>
                    <m:t>Z</m:t>
                  </m:r>
                  <m:d>
                    <m:dPr>
                      <m:begChr m:val="("/>
                      <m:sepChr m:val=""/>
                      <m:endChr m:val=")"/>
                      <m:grow/>
                    </m:dPr>
                    <m:e>
                      <m:sSub>
                        <m:e>
                          <m:r>
                            <m:t>v</m:t>
                          </m:r>
                        </m:e>
                        <m:sub>
                          <m:r>
                            <m:t>i</m:t>
                          </m:r>
                        </m:sub>
                      </m:sSub>
                    </m:e>
                  </m:d>
                  <m:r>
                    <m:rPr>
                      <m:sty m:val="p"/>
                    </m:rPr>
                    <m:t>−</m:t>
                  </m:r>
                  <m:r>
                    <m:t>Z</m:t>
                  </m:r>
                  <m:d>
                    <m:dPr>
                      <m:begChr m:val="("/>
                      <m:sepChr m:val=""/>
                      <m:endChr m:val=")"/>
                      <m:grow/>
                    </m:dPr>
                    <m:e>
                      <m:sSub>
                        <m:e>
                          <m:r>
                            <m:t>V</m:t>
                          </m:r>
                        </m:e>
                        <m:sub>
                          <m:r>
                            <m:t>j</m:t>
                          </m:r>
                        </m:sub>
                      </m:sSub>
                    </m:e>
                  </m:d>
                </m:e>
              </m:d>
            </m:e>
            <m:sup>
              <m:r>
                <m:t>2</m:t>
              </m:r>
            </m:sup>
          </m:sSup>
          <m:r>
            <m:rPr>
              <m:sty m:val="p"/>
            </m:rPr>
            <m:t>=</m:t>
          </m:r>
          <m:r>
            <m:t>Z</m:t>
          </m:r>
          <m:sSup>
            <m:e>
              <m:d>
                <m:dPr>
                  <m:begChr m:val="("/>
                  <m:sepChr m:val=""/>
                  <m:endChr m:val=")"/>
                  <m:grow/>
                </m:dPr>
                <m:e>
                  <m:sSub>
                    <m:e>
                      <m:r>
                        <m:t>v</m:t>
                      </m:r>
                    </m:e>
                    <m:sub>
                      <m:r>
                        <m:t>i</m:t>
                      </m:r>
                    </m:sub>
                  </m:sSub>
                </m:e>
              </m:d>
            </m:e>
            <m:sup>
              <m:r>
                <m:t>2</m:t>
              </m:r>
            </m:sup>
          </m:sSup>
          <m:r>
            <m:rPr>
              <m:sty m:val="p"/>
            </m:rPr>
            <m:t>−</m:t>
          </m:r>
          <m:r>
            <m:t>2</m:t>
          </m:r>
          <m:r>
            <m:t>Z</m:t>
          </m:r>
          <m:d>
            <m:dPr>
              <m:begChr m:val="("/>
              <m:sepChr m:val=""/>
              <m:endChr m:val=")"/>
              <m:grow/>
            </m:dPr>
            <m:e>
              <m:sSub>
                <m:e>
                  <m:r>
                    <m:t>v</m:t>
                  </m:r>
                </m:e>
                <m:sub>
                  <m:r>
                    <m:t>i</m:t>
                  </m:r>
                </m:sub>
              </m:sSub>
            </m:e>
          </m:d>
          <m:r>
            <m:t>Z</m:t>
          </m:r>
          <m:d>
            <m:dPr>
              <m:begChr m:val="("/>
              <m:sepChr m:val=""/>
              <m:endChr m:val=")"/>
              <m:grow/>
            </m:dPr>
            <m:e>
              <m:sSub>
                <m:e>
                  <m:r>
                    <m:t>V</m:t>
                  </m:r>
                </m:e>
                <m:sub>
                  <m:r>
                    <m:t>j</m:t>
                  </m:r>
                </m:sub>
              </m:sSub>
            </m:e>
          </m:d>
          <m:r>
            <m:rPr>
              <m:sty m:val="p"/>
            </m:rPr>
            <m:t>+</m:t>
          </m:r>
          <m:r>
            <m:t>Z</m:t>
          </m:r>
          <m:sSup>
            <m:e>
              <m:d>
                <m:dPr>
                  <m:begChr m:val="("/>
                  <m:sepChr m:val=""/>
                  <m:endChr m:val=")"/>
                  <m:grow/>
                </m:dPr>
                <m:e>
                  <m:sSub>
                    <m:e>
                      <m:r>
                        <m:t>V</m:t>
                      </m:r>
                    </m:e>
                    <m:sub>
                      <m:r>
                        <m:t>j</m:t>
                      </m:r>
                    </m:sub>
                  </m:sSub>
                </m:e>
              </m:d>
            </m:e>
            <m:sup>
              <m:r>
                <m:t>2</m:t>
              </m:r>
            </m:sup>
          </m:sSup>
        </m:oMath>
      </m:oMathPara>
    </w:p>
    <w:p>
      <w:pPr>
        <w:pStyle w:val="BlockText"/>
      </w:pPr>
      <w:r>
        <w:t xml:space="preserve">En remplaçant dans la somme et en utilisant le fait que</w:t>
      </w:r>
      <w:r>
        <w:t xml:space="preserve"> </w:t>
      </w:r>
      <m:oMath>
        <m:r>
          <m:t>Z</m:t>
        </m:r>
        <m:d>
          <m:dPr>
            <m:begChr m:val="("/>
            <m:sepChr m:val=""/>
            <m:endChr m:val=")"/>
            <m:grow/>
          </m:dPr>
          <m:e>
            <m:sSub>
              <m:e>
                <m:r>
                  <m:t>V</m:t>
                </m:r>
              </m:e>
              <m:sub>
                <m:r>
                  <m:t>j</m:t>
                </m:r>
              </m:sub>
            </m:sSub>
          </m:e>
        </m:d>
      </m:oMath>
      <w:r>
        <w:t xml:space="preserve"> </w:t>
      </w:r>
      <w:r>
        <w:t xml:space="preserve">est la moyenne des</w:t>
      </w:r>
      <w:r>
        <w:t xml:space="preserve"> </w:t>
      </w:r>
      <m:oMath>
        <m:r>
          <m:t>Z</m:t>
        </m:r>
        <m:d>
          <m:dPr>
            <m:begChr m:val="("/>
            <m:sepChr m:val=""/>
            <m:endChr m:val=")"/>
            <m:grow/>
          </m:dPr>
          <m:e>
            <m:sSub>
              <m:e>
                <m:r>
                  <m:t>v</m:t>
                </m:r>
              </m:e>
              <m:sub>
                <m:r>
                  <m:t>i</m:t>
                </m:r>
              </m:sub>
            </m:sSub>
          </m:e>
        </m:d>
      </m:oMath>
      <w:r>
        <w:t xml:space="preserve">, on obtient :</w:t>
      </w:r>
    </w:p>
    <w:p>
      <w:pPr>
        <w:pStyle w:val="BlockText"/>
      </w:pPr>
      <m:oMathPara>
        <m:oMathParaPr>
          <m:jc m:val="center"/>
        </m:oMathParaPr>
        <m:oMath>
          <m:sSubSup>
            <m:e>
              <m:r>
                <m:t>s</m:t>
              </m:r>
            </m:e>
            <m:sub>
              <m:r>
                <m:t>v</m:t>
              </m:r>
              <m:r>
                <m:rPr>
                  <m:sty m:val="p"/>
                </m:rPr>
                <m:t>|</m:t>
              </m:r>
              <m:sSub>
                <m:e>
                  <m:r>
                    <m:t>V</m:t>
                  </m:r>
                </m:e>
                <m:sub>
                  <m:r>
                    <m:t>j</m:t>
                  </m:r>
                </m:sub>
              </m:sSub>
            </m:sub>
            <m:sup>
              <m:r>
                <m:t>2</m:t>
              </m:r>
            </m:sup>
          </m:sSubSup>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Z</m:t>
              </m:r>
            </m:e>
          </m:nary>
          <m:sSup>
            <m:e>
              <m:d>
                <m:dPr>
                  <m:begChr m:val="("/>
                  <m:sepChr m:val=""/>
                  <m:endChr m:val=")"/>
                  <m:grow/>
                </m:dPr>
                <m:e>
                  <m:sSub>
                    <m:e>
                      <m:r>
                        <m:t>v</m:t>
                      </m:r>
                    </m:e>
                    <m:sub>
                      <m:r>
                        <m:t>i</m:t>
                      </m:r>
                    </m:sub>
                  </m:sSub>
                </m:e>
              </m:d>
            </m:e>
            <m:sup>
              <m:r>
                <m:t>2</m:t>
              </m:r>
            </m:sup>
          </m:sSup>
          <m:r>
            <m:rPr>
              <m:sty m:val="p"/>
            </m:rPr>
            <m:t>−</m:t>
          </m:r>
          <m:r>
            <m:t>Z</m:t>
          </m:r>
          <m:sSup>
            <m:e>
              <m:d>
                <m:dPr>
                  <m:begChr m:val="("/>
                  <m:sepChr m:val=""/>
                  <m:endChr m:val=")"/>
                  <m:grow/>
                </m:dPr>
                <m:e>
                  <m:sSub>
                    <m:e>
                      <m:r>
                        <m:t>V</m:t>
                      </m:r>
                    </m:e>
                    <m:sub>
                      <m:r>
                        <m:t>j</m:t>
                      </m:r>
                    </m:sub>
                  </m:sSub>
                </m:e>
              </m:d>
            </m:e>
            <m:sup>
              <m:r>
                <m:t>2</m:t>
              </m:r>
            </m:sup>
          </m:sSup>
        </m:oMath>
      </m:oMathPara>
    </w:p>
    <w:p>
      <w:pPr>
        <w:pStyle w:val="BlockText"/>
      </w:pPr>
      <w:r>
        <w:t xml:space="preserve">On prend ensuite l’espérance sur l’ensemble des blocs</w:t>
      </w:r>
      <w:r>
        <w:t xml:space="preserve"> </w:t>
      </w:r>
      <m:oMath>
        <m:sSub>
          <m:e>
            <m:r>
              <m:t>V</m:t>
            </m:r>
          </m:e>
          <m:sub>
            <m:r>
              <m:t>j</m:t>
            </m:r>
          </m:sub>
        </m:sSub>
      </m:oMath>
      <w:r>
        <w:t xml:space="preserve"> </w:t>
      </w:r>
      <w:r>
        <w:t xml:space="preserve">:</w:t>
      </w:r>
    </w:p>
    <w:p>
      <w:pPr>
        <w:pStyle w:val="BlockText"/>
      </w:pPr>
      <m:oMathPara>
        <m:oMathParaPr>
          <m:jc m:val="center"/>
        </m:oMathParaPr>
        <m:oMath>
          <m:r>
            <m:rPr>
              <m:sty m:val="p"/>
              <m:scr m:val="double-struck"/>
            </m:rPr>
            <m:t>E</m:t>
          </m:r>
          <m:r>
            <m:rPr>
              <m:sty m:val="p"/>
            </m:rPr>
            <m:t>*</m:t>
          </m:r>
          <m:sSub>
            <m:e>
              <m:r>
                <m:t>V</m:t>
              </m:r>
            </m:e>
            <m:sub>
              <m:r>
                <m:t>j</m:t>
              </m:r>
            </m:sub>
          </m:sSub>
          <m:d>
            <m:dPr>
              <m:begChr m:val="["/>
              <m:sepChr m:val=""/>
              <m:endChr m:val="]"/>
              <m:grow/>
            </m:dPr>
            <m:e>
              <m:sSup>
                <m:e>
                  <m:r>
                    <m:t>s</m:t>
                  </m:r>
                </m:e>
                <m:sup>
                  <m:r>
                    <m:t>2</m:t>
                  </m:r>
                </m:sup>
              </m:sSup>
              <m:r>
                <m:rPr>
                  <m:sty m:val="p"/>
                </m:rPr>
                <m:t>*</m:t>
              </m:r>
              <m:r>
                <m:t>v</m:t>
              </m:r>
              <m:r>
                <m:rPr>
                  <m:sty m:val="p"/>
                </m:rPr>
                <m:t>|</m:t>
              </m:r>
              <m:sSub>
                <m:e>
                  <m:r>
                    <m:t>V</m:t>
                  </m:r>
                </m:e>
                <m:sub>
                  <m:r>
                    <m:t>j</m:t>
                  </m:r>
                </m:sub>
              </m:sSub>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scr m:val="double-struck"/>
                </m:rPr>
                <m:t>E</m:t>
              </m:r>
            </m:e>
          </m:nary>
          <m:d>
            <m:dPr>
              <m:begChr m:val="["/>
              <m:sepChr m:val=""/>
              <m:endChr m:val="]"/>
              <m:grow/>
            </m:dPr>
            <m:e>
              <m:r>
                <m:t>Z</m:t>
              </m:r>
              <m:sSup>
                <m:e>
                  <m:d>
                    <m:dPr>
                      <m:begChr m:val="("/>
                      <m:sepChr m:val=""/>
                      <m:endChr m:val=")"/>
                      <m:grow/>
                    </m:dPr>
                    <m:e>
                      <m:sSub>
                        <m:e>
                          <m:r>
                            <m:t>v</m:t>
                          </m:r>
                        </m:e>
                        <m:sub>
                          <m:r>
                            <m:t>i</m:t>
                          </m:r>
                        </m:sub>
                      </m:sSub>
                    </m:e>
                  </m:d>
                </m:e>
                <m:sup>
                  <m:r>
                    <m:t>2</m:t>
                  </m:r>
                </m:sup>
              </m:sSup>
            </m:e>
          </m:d>
          <m:r>
            <m:rPr>
              <m:sty m:val="p"/>
              <m:scr m:val="double-struck"/>
            </m:rPr>
            <m:t>E</m:t>
          </m:r>
          <m:d>
            <m:dPr>
              <m:begChr m:val="["/>
              <m:sepChr m:val=""/>
              <m:endChr m:val="]"/>
              <m:grow/>
            </m:dPr>
            <m:e>
              <m:r>
                <m:t>Z</m:t>
              </m:r>
              <m:sSup>
                <m:e>
                  <m:d>
                    <m:dPr>
                      <m:begChr m:val="("/>
                      <m:sepChr m:val=""/>
                      <m:endChr m:val=")"/>
                      <m:grow/>
                    </m:dPr>
                    <m:e>
                      <m:sSub>
                        <m:e>
                          <m:r>
                            <m:t>V</m:t>
                          </m:r>
                        </m:e>
                        <m:sub>
                          <m:r>
                            <m:t>j</m:t>
                          </m:r>
                        </m:sub>
                      </m:sSub>
                    </m:e>
                  </m:d>
                </m:e>
                <m:sup>
                  <m:r>
                    <m:t>2</m:t>
                  </m:r>
                </m:sup>
              </m:sSup>
            </m:e>
          </m:d>
        </m:oMath>
      </m:oMathPara>
    </w:p>
    <w:p>
      <w:pPr>
        <w:pStyle w:val="BlockText"/>
      </w:pPr>
      <w:r>
        <w:t xml:space="preserve">En utilisant :</w:t>
      </w:r>
    </w:p>
    <w:p>
      <w:pPr>
        <w:pStyle w:val="BlockText"/>
      </w:pPr>
      <m:oMathPara>
        <m:oMathParaPr>
          <m:jc m:val="center"/>
        </m:oMathParaPr>
        <m:oMath>
          <m:r>
            <m:rPr>
              <m:sty m:val="p"/>
              <m:scr m:val="double-struck"/>
            </m:rPr>
            <m:t>E</m:t>
          </m:r>
          <m:d>
            <m:dPr>
              <m:begChr m:val="["/>
              <m:sepChr m:val=""/>
              <m:endChr m:val="]"/>
              <m:grow/>
            </m:dPr>
            <m:e>
              <m:sSup>
                <m:e>
                  <m:r>
                    <m:t>X</m:t>
                  </m:r>
                </m:e>
                <m:sup>
                  <m:r>
                    <m:t>2</m:t>
                  </m:r>
                </m:sup>
              </m:sSup>
            </m:e>
          </m:d>
          <m:r>
            <m:rPr>
              <m:sty m:val="p"/>
            </m:rPr>
            <m:t>=</m:t>
          </m:r>
          <m:r>
            <m:rPr>
              <m:sty m:val="p"/>
            </m:rPr>
            <m:t>Var</m:t>
          </m:r>
          <m:d>
            <m:dPr>
              <m:begChr m:val="("/>
              <m:sepChr m:val=""/>
              <m:endChr m:val=")"/>
              <m:grow/>
            </m:dPr>
            <m:e>
              <m:r>
                <m:t>X</m:t>
              </m:r>
            </m:e>
          </m:d>
          <m:r>
            <m:rPr>
              <m:sty m:val="p"/>
            </m:rPr>
            <m:t>+</m:t>
          </m:r>
          <m:sSup>
            <m:e>
              <m:d>
                <m:dPr>
                  <m:begChr m:val="("/>
                  <m:sepChr m:val=""/>
                  <m:endChr m:val=")"/>
                  <m:grow/>
                </m:dPr>
                <m:e>
                  <m:r>
                    <m:rPr>
                      <m:sty m:val="p"/>
                      <m:scr m:val="double-struck"/>
                    </m:rPr>
                    <m:t>E</m:t>
                  </m:r>
                  <m:d>
                    <m:dPr>
                      <m:begChr m:val="["/>
                      <m:sepChr m:val=""/>
                      <m:endChr m:val="]"/>
                      <m:grow/>
                    </m:dPr>
                    <m:e>
                      <m:r>
                        <m:t>X</m:t>
                      </m:r>
                    </m:e>
                  </m:d>
                </m:e>
              </m:d>
            </m:e>
            <m:sup>
              <m:r>
                <m:t>2</m:t>
              </m:r>
            </m:sup>
          </m:sSup>
        </m:oMath>
      </m:oMathPara>
    </w:p>
    <w:p>
      <w:pPr>
        <w:pStyle w:val="BlockText"/>
      </w:pPr>
      <w:r>
        <w:t xml:space="preserve">on obtient :</w:t>
      </w:r>
    </w:p>
    <w:p>
      <w:pPr>
        <w:pStyle w:val="BlockText"/>
      </w:pPr>
      <m:oMathPara>
        <m:oMathParaPr>
          <m:jc m:val="center"/>
        </m:oMathParaPr>
        <m:oMath>
          <m:r>
            <m:rPr>
              <m:sty m:val="p"/>
              <m:scr m:val="double-struck"/>
            </m:rPr>
            <m:t>E</m:t>
          </m:r>
          <m:r>
            <m:rPr>
              <m:sty m:val="p"/>
            </m:rPr>
            <m:t>*</m:t>
          </m:r>
          <m:sSub>
            <m:e>
              <m:r>
                <m:t>V</m:t>
              </m:r>
            </m:e>
            <m:sub>
              <m:r>
                <m:t>j</m:t>
              </m:r>
            </m:sub>
          </m:sSub>
          <m:d>
            <m:dPr>
              <m:begChr m:val="["/>
              <m:sepChr m:val=""/>
              <m:endChr m:val="]"/>
              <m:grow/>
            </m:dPr>
            <m:e>
              <m:sSup>
                <m:e>
                  <m:r>
                    <m:t>s</m:t>
                  </m:r>
                </m:e>
                <m:sup>
                  <m:r>
                    <m:t>2</m:t>
                  </m:r>
                </m:sup>
              </m:sSup>
              <m:r>
                <m:rPr>
                  <m:sty m:val="p"/>
                </m:rPr>
                <m:t>*</m:t>
              </m:r>
              <m:r>
                <m:t>v</m:t>
              </m:r>
              <m:r>
                <m:rPr>
                  <m:sty m:val="p"/>
                </m:rPr>
                <m:t>|</m:t>
              </m:r>
              <m:sSub>
                <m:e>
                  <m:r>
                    <m:t>V</m:t>
                  </m:r>
                </m:e>
                <m:sub>
                  <m:r>
                    <m:t>j</m:t>
                  </m:r>
                </m:sub>
              </m:sSub>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r>
                    <m:rPr>
                      <m:sty m:val="p"/>
                    </m:rPr>
                    <m:t>Var</m:t>
                  </m:r>
                  <m:d>
                    <m:dPr>
                      <m:begChr m:val="("/>
                      <m:sepChr m:val=""/>
                      <m:endChr m:val=")"/>
                      <m:grow/>
                    </m:dPr>
                    <m:e>
                      <m:r>
                        <m:t>Z</m:t>
                      </m:r>
                      <m:d>
                        <m:dPr>
                          <m:begChr m:val="("/>
                          <m:sepChr m:val=""/>
                          <m:endChr m:val=")"/>
                          <m:grow/>
                        </m:dPr>
                        <m:e>
                          <m:sSub>
                            <m:e>
                              <m:r>
                                <m:t>v</m:t>
                              </m:r>
                            </m:e>
                            <m:sub>
                              <m:r>
                                <m:t>i</m:t>
                              </m:r>
                            </m:sub>
                          </m:sSub>
                        </m:e>
                      </m:d>
                    </m:e>
                  </m:d>
                  <m:r>
                    <m:rPr>
                      <m:sty m:val="p"/>
                    </m:rPr>
                    <m:t>+</m:t>
                  </m:r>
                  <m:sSup>
                    <m:e>
                      <m:r>
                        <m:t>m</m:t>
                      </m:r>
                    </m:e>
                    <m:sup>
                      <m:r>
                        <m:t>2</m:t>
                      </m:r>
                    </m:sup>
                  </m:sSup>
                </m:e>
              </m:d>
            </m:e>
          </m:nary>
          <m:d>
            <m:dPr>
              <m:begChr m:val="("/>
              <m:sepChr m:val=""/>
              <m:endChr m:val=")"/>
              <m:grow/>
            </m:dPr>
            <m:e>
              <m:r>
                <m:rPr>
                  <m:sty m:val="p"/>
                </m:rPr>
                <m:t>Var</m:t>
              </m:r>
              <m:d>
                <m:dPr>
                  <m:begChr m:val="("/>
                  <m:sepChr m:val=""/>
                  <m:endChr m:val=")"/>
                  <m:grow/>
                </m:dPr>
                <m:e>
                  <m:r>
                    <m:t>Z</m:t>
                  </m:r>
                  <m:d>
                    <m:dPr>
                      <m:begChr m:val="("/>
                      <m:sepChr m:val=""/>
                      <m:endChr m:val=")"/>
                      <m:grow/>
                    </m:dPr>
                    <m:e>
                      <m:sSub>
                        <m:e>
                          <m:r>
                            <m:t>V</m:t>
                          </m:r>
                        </m:e>
                        <m:sub>
                          <m:r>
                            <m:t>j</m:t>
                          </m:r>
                        </m:sub>
                      </m:sSub>
                    </m:e>
                  </m:d>
                </m:e>
              </m:d>
              <m:r>
                <m:rPr>
                  <m:sty m:val="p"/>
                </m:rPr>
                <m:t>+</m:t>
              </m:r>
              <m:sSup>
                <m:e>
                  <m:r>
                    <m:t>m</m:t>
                  </m:r>
                </m:e>
                <m:sup>
                  <m:r>
                    <m:t>2</m:t>
                  </m:r>
                </m:sup>
              </m:sSup>
            </m:e>
          </m:d>
        </m:oMath>
      </m:oMathPara>
    </w:p>
    <w:p>
      <w:pPr>
        <w:pStyle w:val="BlockText"/>
      </w:pPr>
      <w:r>
        <w:t xml:space="preserve">Les termes en</w:t>
      </w:r>
      <w:r>
        <w:t xml:space="preserve"> </w:t>
      </w:r>
      <m:oMath>
        <m:sSup>
          <m:e>
            <m:r>
              <m:t>m</m:t>
            </m:r>
          </m:e>
          <m:sup>
            <m:r>
              <m:t>2</m:t>
            </m:r>
          </m:sup>
        </m:sSup>
      </m:oMath>
      <w:r>
        <w:t xml:space="preserve"> </w:t>
      </w:r>
      <w:r>
        <w:t xml:space="preserve">s’annulent, car les petits blocs et les grands blocs ont la même moyenne sous l’hypothèse de stationnarité. Il reste :</w:t>
      </w:r>
    </w:p>
    <w:p>
      <w:pPr>
        <w:pStyle w:val="BlockText"/>
      </w:pPr>
      <m:oMathPara>
        <m:oMathParaPr>
          <m:jc m:val="center"/>
        </m:oMathParaPr>
        <m:oMath>
          <m:r>
            <m:rPr>
              <m:sty m:val="p"/>
              <m:scr m:val="double-struck"/>
            </m:rPr>
            <m:t>E</m:t>
          </m:r>
          <m:r>
            <m:rPr>
              <m:sty m:val="p"/>
            </m:rPr>
            <m:t>*</m:t>
          </m:r>
          <m:sSub>
            <m:e>
              <m:r>
                <m:t>V</m:t>
              </m:r>
            </m:e>
            <m:sub>
              <m:r>
                <m:t>j</m:t>
              </m:r>
            </m:sub>
          </m:sSub>
          <m:d>
            <m:dPr>
              <m:begChr m:val="["/>
              <m:sepChr m:val=""/>
              <m:endChr m:val="]"/>
              <m:grow/>
            </m:dPr>
            <m:e>
              <m:sSup>
                <m:e>
                  <m:r>
                    <m:t>s</m:t>
                  </m:r>
                </m:e>
                <m:sup>
                  <m:r>
                    <m:t>2</m:t>
                  </m:r>
                </m:sup>
              </m:sSup>
              <m:r>
                <m:rPr>
                  <m:sty m:val="p"/>
                </m:rPr>
                <m:t>*</m:t>
              </m:r>
              <m:r>
                <m:t>v</m:t>
              </m:r>
              <m:r>
                <m:rPr>
                  <m:sty m:val="p"/>
                </m:rPr>
                <m:t>|</m:t>
              </m:r>
              <m:sSub>
                <m:e>
                  <m:r>
                    <m:t>V</m:t>
                  </m:r>
                </m:e>
                <m:sub>
                  <m:r>
                    <m:t>j</m:t>
                  </m:r>
                </m:sub>
              </m:sSub>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Var</m:t>
              </m:r>
            </m:e>
          </m:nary>
          <m:d>
            <m:dPr>
              <m:begChr m:val="("/>
              <m:sepChr m:val=""/>
              <m:endChr m:val=")"/>
              <m:grow/>
            </m:dPr>
            <m:e>
              <m:r>
                <m:t>Z</m:t>
              </m:r>
              <m:d>
                <m:dPr>
                  <m:begChr m:val="("/>
                  <m:sepChr m:val=""/>
                  <m:endChr m:val=")"/>
                  <m:grow/>
                </m:dPr>
                <m:e>
                  <m:sSub>
                    <m:e>
                      <m:r>
                        <m:t>v</m:t>
                      </m:r>
                    </m:e>
                    <m:sub>
                      <m:r>
                        <m:t>i</m:t>
                      </m:r>
                    </m:sub>
                  </m:sSub>
                </m:e>
              </m:d>
            </m:e>
          </m:d>
          <m:r>
            <m:rPr>
              <m:sty m:val="p"/>
            </m:rPr>
            <m:t>Var</m:t>
          </m:r>
          <m:d>
            <m:dPr>
              <m:begChr m:val="("/>
              <m:sepChr m:val=""/>
              <m:endChr m:val=")"/>
              <m:grow/>
            </m:dPr>
            <m:e>
              <m:r>
                <m:t>Z</m:t>
              </m:r>
              <m:d>
                <m:dPr>
                  <m:begChr m:val="("/>
                  <m:sepChr m:val=""/>
                  <m:endChr m:val=")"/>
                  <m:grow/>
                </m:dPr>
                <m:e>
                  <m:sSub>
                    <m:e>
                      <m:r>
                        <m:t>V</m:t>
                      </m:r>
                    </m:e>
                    <m:sub>
                      <m:r>
                        <m:t>j</m:t>
                      </m:r>
                    </m:sub>
                  </m:sSub>
                </m:e>
              </m:d>
            </m:e>
          </m:d>
        </m:oMath>
      </m:oMathPara>
    </w:p>
    <w:p>
      <w:pPr>
        <w:pStyle w:val="BlockText"/>
      </w:pPr>
      <w:r>
        <w:t xml:space="preserve">Si les sous-blocs</w:t>
      </w:r>
      <w:r>
        <w:t xml:space="preserve"> </w:t>
      </w:r>
      <m:oMath>
        <m:sSub>
          <m:e>
            <m:r>
              <m:t>v</m:t>
            </m:r>
          </m:e>
          <m:sub>
            <m:r>
              <m:t>i</m:t>
            </m:r>
          </m:sub>
        </m:sSub>
      </m:oMath>
      <w:r>
        <w:t xml:space="preserve"> </w:t>
      </w:r>
      <w:r>
        <w:t xml:space="preserve">ont le même support, alors :</w:t>
      </w:r>
    </w:p>
    <w:p>
      <w:pPr>
        <w:pStyle w:val="BlockText"/>
      </w:pPr>
      <m:oMathPara>
        <m:oMathParaPr>
          <m:jc m:val="center"/>
        </m:oMathParaPr>
        <m:oMath>
          <m:r>
            <m:rPr>
              <m:sty m:val="p"/>
            </m:rPr>
            <m:t>Var</m:t>
          </m:r>
          <m:d>
            <m:dPr>
              <m:begChr m:val="("/>
              <m:sepChr m:val=""/>
              <m:endChr m:val=")"/>
              <m:grow/>
            </m:dPr>
            <m:e>
              <m:r>
                <m:t>Z</m:t>
              </m:r>
              <m:d>
                <m:dPr>
                  <m:begChr m:val="("/>
                  <m:sepChr m:val=""/>
                  <m:endChr m:val=")"/>
                  <m:grow/>
                </m:dPr>
                <m:e>
                  <m:sSub>
                    <m:e>
                      <m:r>
                        <m:t>v</m:t>
                      </m:r>
                    </m:e>
                    <m:sub>
                      <m:r>
                        <m:t>i</m:t>
                      </m:r>
                    </m:sub>
                  </m:sSub>
                </m:e>
              </m:d>
            </m:e>
          </m:d>
          <m:r>
            <m:rPr>
              <m:sty m:val="p"/>
            </m:rPr>
            <m:t>=</m:t>
          </m:r>
          <m:r>
            <m:rPr>
              <m:sty m:val="p"/>
            </m:rPr>
            <m:t>Var</m:t>
          </m:r>
          <m:d>
            <m:dPr>
              <m:begChr m:val="("/>
              <m:sepChr m:val=""/>
              <m:endChr m:val=")"/>
              <m:grow/>
            </m:dPr>
            <m:e>
              <m:r>
                <m:t>Z</m:t>
              </m:r>
              <m:d>
                <m:dPr>
                  <m:begChr m:val="("/>
                  <m:sepChr m:val=""/>
                  <m:endChr m:val=")"/>
                  <m:grow/>
                </m:dPr>
                <m:e>
                  <m:r>
                    <m:t>v</m:t>
                  </m:r>
                </m:e>
              </m:d>
            </m:e>
          </m:d>
        </m:oMath>
      </m:oMathPara>
    </w:p>
    <w:p>
      <w:pPr>
        <w:pStyle w:val="BlockText"/>
      </w:pPr>
      <w:r>
        <w:t xml:space="preserve">et :</w:t>
      </w:r>
    </w:p>
    <w:p>
      <w:pPr>
        <w:pStyle w:val="BlockText"/>
      </w:pPr>
      <m:oMathPara>
        <m:oMathParaPr>
          <m:jc m:val="center"/>
        </m:oMathParaPr>
        <m:oMath>
          <m:r>
            <m:rPr>
              <m:sty m:val="p"/>
            </m:rPr>
            <m:t>Var</m:t>
          </m:r>
          <m:d>
            <m:dPr>
              <m:begChr m:val="("/>
              <m:sepChr m:val=""/>
              <m:endChr m:val=")"/>
              <m:grow/>
            </m:dPr>
            <m:e>
              <m:r>
                <m:t>Z</m:t>
              </m:r>
              <m:d>
                <m:dPr>
                  <m:begChr m:val="("/>
                  <m:sepChr m:val=""/>
                  <m:endChr m:val=")"/>
                  <m:grow/>
                </m:dPr>
                <m:e>
                  <m:sSub>
                    <m:e>
                      <m:r>
                        <m:t>V</m:t>
                      </m:r>
                    </m:e>
                    <m:sub>
                      <m:r>
                        <m:t>j</m:t>
                      </m:r>
                    </m:sub>
                  </m:sSub>
                </m:e>
              </m:d>
            </m:e>
          </m:d>
          <m:r>
            <m:rPr>
              <m:sty m:val="p"/>
            </m:rPr>
            <m:t>=</m:t>
          </m:r>
          <m:f>
            <m:fPr>
              <m:type m:val="bar"/>
            </m:fPr>
            <m:num>
              <m:r>
                <m:t>1</m:t>
              </m:r>
            </m:num>
            <m:den>
              <m:sSup>
                <m:e>
                  <m:r>
                    <m:t>n</m:t>
                  </m:r>
                </m:e>
                <m:sup>
                  <m:r>
                    <m:t>2</m:t>
                  </m:r>
                </m:sup>
              </m:sSup>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k</m:t>
                  </m:r>
                  <m:r>
                    <m:rPr>
                      <m:sty m:val="p"/>
                    </m:rPr>
                    <m:t>=</m:t>
                  </m:r>
                  <m:r>
                    <m:t>1</m:t>
                  </m:r>
                </m:sub>
                <m:sup>
                  <m:r>
                    <m:t>n</m:t>
                  </m:r>
                </m:sup>
                <m:e>
                  <m:r>
                    <m:rPr>
                      <m:sty m:val="p"/>
                    </m:rPr>
                    <m:t>Cov</m:t>
                  </m:r>
                </m:e>
              </m:nary>
            </m:e>
          </m:nary>
          <m:d>
            <m:dPr>
              <m:begChr m:val="("/>
              <m:sepChr m:val=""/>
              <m:endChr m:val=")"/>
              <m:grow/>
            </m:dPr>
            <m:e>
              <m:r>
                <m:t>Z</m:t>
              </m:r>
              <m:d>
                <m:dPr>
                  <m:begChr m:val="("/>
                  <m:sepChr m:val=""/>
                  <m:endChr m:val=")"/>
                  <m:grow/>
                </m:dPr>
                <m:e>
                  <m:sSub>
                    <m:e>
                      <m:r>
                        <m:t>v</m:t>
                      </m:r>
                    </m:e>
                    <m:sub>
                      <m:r>
                        <m:t>i</m:t>
                      </m:r>
                    </m:sub>
                  </m:sSub>
                </m:e>
              </m:d>
              <m:r>
                <m:rPr>
                  <m:sty m:val="p"/>
                </m:rPr>
                <m:t>,</m:t>
              </m:r>
              <m:r>
                <m:t>Z</m:t>
              </m:r>
              <m:d>
                <m:dPr>
                  <m:begChr m:val="("/>
                  <m:sepChr m:val=""/>
                  <m:endChr m:val=")"/>
                  <m:grow/>
                </m:dPr>
                <m:e>
                  <m:sSub>
                    <m:e>
                      <m:r>
                        <m:t>v</m:t>
                      </m:r>
                    </m:e>
                    <m:sub>
                      <m:r>
                        <m:t>k</m:t>
                      </m:r>
                    </m:sub>
                  </m:sSub>
                </m:e>
              </m:d>
            </m:e>
          </m:d>
        </m:oMath>
      </m:oMathPara>
    </w:p>
    <w:p>
      <w:pPr>
        <w:pStyle w:val="BlockText"/>
      </w:pPr>
      <w:r>
        <w:t xml:space="preserve">On obtient donc :</w:t>
      </w:r>
    </w:p>
    <w:p>
      <w:pPr>
        <w:pStyle w:val="BlockText"/>
      </w:pPr>
      <m:oMathPara>
        <m:oMathParaPr>
          <m:jc m:val="center"/>
        </m:oMathParaPr>
        <m:oMath>
          <m:r>
            <m:rPr>
              <m:sty m:val="p"/>
              <m:scr m:val="double-struck"/>
            </m:rPr>
            <m:t>E</m:t>
          </m:r>
          <m:r>
            <m:rPr>
              <m:sty m:val="p"/>
            </m:rPr>
            <m:t>*</m:t>
          </m:r>
          <m:sSub>
            <m:e>
              <m:r>
                <m:t>V</m:t>
              </m:r>
            </m:e>
            <m:sub>
              <m:r>
                <m:t>j</m:t>
              </m:r>
            </m:sub>
          </m:sSub>
          <m:d>
            <m:dPr>
              <m:begChr m:val="["/>
              <m:sepChr m:val=""/>
              <m:endChr m:val="]"/>
              <m:grow/>
            </m:dPr>
            <m:e>
              <m:sSup>
                <m:e>
                  <m:r>
                    <m:t>s</m:t>
                  </m:r>
                </m:e>
                <m:sup>
                  <m:r>
                    <m:t>2</m:t>
                  </m:r>
                </m:sup>
              </m:sSup>
              <m:r>
                <m:rPr>
                  <m:sty m:val="p"/>
                </m:rPr>
                <m:t>*</m:t>
              </m:r>
              <m:r>
                <m:t>v</m:t>
              </m:r>
              <m:r>
                <m:rPr>
                  <m:sty m:val="p"/>
                </m:rPr>
                <m:t>|</m:t>
              </m:r>
              <m:sSub>
                <m:e>
                  <m:r>
                    <m:t>V</m:t>
                  </m:r>
                </m:e>
                <m:sub>
                  <m:r>
                    <m:t>j</m:t>
                  </m:r>
                </m:sub>
              </m:sSub>
            </m:e>
          </m:d>
          <m:r>
            <m:rPr>
              <m:sty m:val="p"/>
            </m:rPr>
            <m:t>=</m:t>
          </m:r>
          <m:r>
            <m:rPr>
              <m:sty m:val="p"/>
            </m:rPr>
            <m:t>Var</m:t>
          </m:r>
          <m:d>
            <m:dPr>
              <m:begChr m:val="("/>
              <m:sepChr m:val=""/>
              <m:endChr m:val=")"/>
              <m:grow/>
            </m:dPr>
            <m:e>
              <m:r>
                <m:t>Z</m:t>
              </m:r>
              <m:d>
                <m:dPr>
                  <m:begChr m:val="("/>
                  <m:sepChr m:val=""/>
                  <m:endChr m:val=")"/>
                  <m:grow/>
                </m:dPr>
                <m:e>
                  <m:r>
                    <m:t>v</m:t>
                  </m:r>
                </m:e>
              </m:d>
            </m:e>
          </m:d>
          <m:r>
            <m:rPr>
              <m:sty m:val="p"/>
            </m:rPr>
            <m:t>=</m:t>
          </m:r>
          <m:f>
            <m:fPr>
              <m:type m:val="bar"/>
            </m:fPr>
            <m:num>
              <m:r>
                <m:t>1</m:t>
              </m:r>
            </m:num>
            <m:den>
              <m:sSup>
                <m:e>
                  <m:r>
                    <m:t>n</m:t>
                  </m:r>
                </m:e>
                <m:sup>
                  <m:r>
                    <m:t>2</m:t>
                  </m:r>
                </m:sup>
              </m:sSup>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k</m:t>
                  </m:r>
                  <m:r>
                    <m:rPr>
                      <m:sty m:val="p"/>
                    </m:rPr>
                    <m:t>=</m:t>
                  </m:r>
                  <m:r>
                    <m:t>1</m:t>
                  </m:r>
                </m:sub>
                <m:sup>
                  <m:r>
                    <m:t>n</m:t>
                  </m:r>
                </m:sup>
                <m:e>
                  <m:r>
                    <m:rPr>
                      <m:sty m:val="p"/>
                    </m:rPr>
                    <m:t>Cov</m:t>
                  </m:r>
                </m:e>
              </m:nary>
            </m:e>
          </m:nary>
          <m:d>
            <m:dPr>
              <m:begChr m:val="("/>
              <m:sepChr m:val=""/>
              <m:endChr m:val=")"/>
              <m:grow/>
            </m:dPr>
            <m:e>
              <m:r>
                <m:t>Z</m:t>
              </m:r>
              <m:d>
                <m:dPr>
                  <m:begChr m:val="("/>
                  <m:sepChr m:val=""/>
                  <m:endChr m:val=")"/>
                  <m:grow/>
                </m:dPr>
                <m:e>
                  <m:sSub>
                    <m:e>
                      <m:r>
                        <m:t>v</m:t>
                      </m:r>
                    </m:e>
                    <m:sub>
                      <m:r>
                        <m:t>i</m:t>
                      </m:r>
                    </m:sub>
                  </m:sSub>
                </m:e>
              </m:d>
              <m:r>
                <m:rPr>
                  <m:sty m:val="p"/>
                </m:rPr>
                <m:t>,</m:t>
              </m:r>
              <m:r>
                <m:t>Z</m:t>
              </m:r>
              <m:d>
                <m:dPr>
                  <m:begChr m:val="("/>
                  <m:sepChr m:val=""/>
                  <m:endChr m:val=")"/>
                  <m:grow/>
                </m:dPr>
                <m:e>
                  <m:sSub>
                    <m:e>
                      <m:r>
                        <m:t>v</m:t>
                      </m:r>
                    </m:e>
                    <m:sub>
                      <m:r>
                        <m:t>k</m:t>
                      </m:r>
                    </m:sub>
                  </m:sSub>
                </m:e>
              </m:d>
            </m:e>
          </m:d>
        </m:oMath>
      </m:oMathPara>
    </w:p>
    <w:p>
      <w:pPr>
        <w:pStyle w:val="BlockText"/>
      </w:pPr>
      <w:r>
        <w:t xml:space="preserve">Le premier terme correspond à la variance des petits blocs. Le second terme correspond à la variance des grands blocs, puisque</w:t>
      </w:r>
      <w:r>
        <w:t xml:space="preserve"> </w:t>
      </w:r>
      <m:oMath>
        <m:sSub>
          <m:e>
            <m:r>
              <m:t>V</m:t>
            </m:r>
          </m:e>
          <m:sub>
            <m:r>
              <m:t>j</m:t>
            </m:r>
          </m:sub>
        </m:sSub>
      </m:oMath>
      <w:r>
        <w:t xml:space="preserve"> </w:t>
      </w:r>
      <w:r>
        <w:t xml:space="preserve">est formé par la moyenne des</w:t>
      </w:r>
      <w:r>
        <w:t xml:space="preserve"> </w:t>
      </w:r>
      <m:oMath>
        <m:sSub>
          <m:e>
            <m:r>
              <m:t>v</m:t>
            </m:r>
          </m:e>
          <m:sub>
            <m:r>
              <m:t>i</m:t>
            </m:r>
          </m:sub>
        </m:sSub>
      </m:oMath>
      <w:r>
        <w:t xml:space="preserve">. On peut donc écrire :</w:t>
      </w:r>
    </w:p>
    <w:p>
      <w:pPr>
        <w:pStyle w:val="BlockText"/>
      </w:pPr>
      <m:oMathPara>
        <m:oMathParaPr>
          <m:jc m:val="center"/>
        </m:oMathParaPr>
        <m:oMath>
          <m:sSup>
            <m:e>
              <m:r>
                <m:t>D</m:t>
              </m:r>
            </m:e>
            <m:sup>
              <m:r>
                <m:t>2</m:t>
              </m:r>
            </m:sup>
          </m:sSup>
          <m:d>
            <m:dPr>
              <m:begChr m:val="("/>
              <m:sepChr m:val=""/>
              <m:endChr m:val=")"/>
              <m:grow/>
            </m:dPr>
            <m:e>
              <m:r>
                <m:t>v</m:t>
              </m:r>
              <m:r>
                <m:rPr>
                  <m:sty m:val="p"/>
                </m:rPr>
                <m:t>∣</m:t>
              </m:r>
              <m:r>
                <m:t>V</m:t>
              </m:r>
            </m:e>
          </m:d>
          <m:r>
            <m:rPr>
              <m:sty m:val="p"/>
            </m:rPr>
            <m:t>=</m:t>
          </m:r>
          <m:acc>
            <m:accPr>
              <m:chr m:val="‾"/>
            </m:accPr>
            <m:e>
              <m:r>
                <m:t>C</m:t>
              </m:r>
            </m:e>
          </m:acc>
          <m:d>
            <m:dPr>
              <m:begChr m:val="("/>
              <m:sepChr m:val=""/>
              <m:endChr m:val=")"/>
              <m:grow/>
            </m:dPr>
            <m:e>
              <m:r>
                <m:t>v</m:t>
              </m:r>
              <m:r>
                <m:rPr>
                  <m:sty m:val="p"/>
                </m:rPr>
                <m:t>,</m:t>
              </m:r>
              <m:r>
                <m:t>v</m:t>
              </m:r>
            </m:e>
          </m:d>
          <m:r>
            <m:rPr>
              <m:sty m:val="p"/>
            </m:rPr>
            <m:t>−</m:t>
          </m:r>
          <m:acc>
            <m:accPr>
              <m:chr m:val="‾"/>
            </m:accPr>
            <m:e>
              <m:r>
                <m:t>C</m:t>
              </m:r>
            </m:e>
          </m:acc>
          <m:d>
            <m:dPr>
              <m:begChr m:val="("/>
              <m:sepChr m:val=""/>
              <m:endChr m:val=")"/>
              <m:grow/>
            </m:dPr>
            <m:e>
              <m:r>
                <m:t>V</m:t>
              </m:r>
              <m:r>
                <m:rPr>
                  <m:sty m:val="p"/>
                </m:rPr>
                <m:t>,</m:t>
              </m:r>
              <m:r>
                <m:t>V</m:t>
              </m:r>
            </m:e>
          </m:d>
        </m:oMath>
      </m:oMathPara>
    </w:p>
    <w:p>
      <w:pPr>
        <w:pStyle w:val="BlockText"/>
      </w:pPr>
      <w:r>
        <w:t xml:space="preserve">et, avec le variogramme :</w:t>
      </w:r>
    </w:p>
    <w:p>
      <w:pPr>
        <w:pStyle w:val="BlockText"/>
      </w:pPr>
      <m:oMathPara>
        <m:oMathParaPr>
          <m:jc m:val="center"/>
        </m:oMathParaPr>
        <m:oMath>
          <m:sSup>
            <m:e>
              <m:r>
                <m:t>D</m:t>
              </m:r>
            </m:e>
            <m:sup>
              <m:r>
                <m:t>2</m:t>
              </m:r>
            </m:sup>
          </m:sSup>
          <m:d>
            <m:dPr>
              <m:begChr m:val="("/>
              <m:sepChr m:val=""/>
              <m:endChr m:val=")"/>
              <m:grow/>
            </m:dPr>
            <m:e>
              <m:r>
                <m:t>v</m:t>
              </m:r>
              <m:r>
                <m:rPr>
                  <m:sty m:val="p"/>
                </m:rPr>
                <m:t>∣</m:t>
              </m:r>
              <m:r>
                <m:t>V</m:t>
              </m:r>
            </m:e>
          </m:d>
          <m:r>
            <m:rPr>
              <m:sty m:val="p"/>
            </m:rPr>
            <m:t>=</m:t>
          </m:r>
          <m:acc>
            <m:accPr>
              <m:chr m:val="‾"/>
            </m:accPr>
            <m:e>
              <m:r>
                <m:t>γ</m:t>
              </m:r>
            </m:e>
          </m:acc>
          <m:d>
            <m:dPr>
              <m:begChr m:val="("/>
              <m:sepChr m:val=""/>
              <m:endChr m:val=")"/>
              <m:grow/>
            </m:dPr>
            <m:e>
              <m:r>
                <m:t>V</m:t>
              </m:r>
              <m:r>
                <m:rPr>
                  <m:sty m:val="p"/>
                </m:rPr>
                <m:t>,</m:t>
              </m:r>
              <m:r>
                <m:t>V</m:t>
              </m:r>
            </m:e>
          </m:d>
          <m:r>
            <m:rPr>
              <m:sty m:val="p"/>
            </m:rPr>
            <m:t>−</m:t>
          </m:r>
          <m:acc>
            <m:accPr>
              <m:chr m:val="‾"/>
            </m:accPr>
            <m:e>
              <m:r>
                <m:t>γ</m:t>
              </m:r>
            </m:e>
          </m:acc>
          <m:d>
            <m:dPr>
              <m:begChr m:val="("/>
              <m:sepChr m:val=""/>
              <m:endChr m:val=")"/>
              <m:grow/>
            </m:dPr>
            <m:e>
              <m:r>
                <m:t>v</m:t>
              </m:r>
              <m:r>
                <m:rPr>
                  <m:sty m:val="p"/>
                </m:rPr>
                <m:t>,</m:t>
              </m:r>
              <m:r>
                <m:t>v</m:t>
              </m:r>
            </m:e>
          </m:d>
        </m:oMath>
      </m:oMathPara>
    </w:p>
    <w:p>
      <w:pPr>
        <w:pStyle w:val="BlockText"/>
      </w:pPr>
      <w:r>
        <w:rPr>
          <w:b/>
          <w:bCs/>
        </w:rPr>
        <w:t xml:space="preserve">Conclusion</w:t>
      </w:r>
      <w:r>
        <w:t xml:space="preserve"> </w:t>
      </w:r>
      <w:r>
        <w:t xml:space="preserve">: la variance de dispersion est la différence entre la variance des petits blocs et celle des grands blocs.</w:t>
      </w:r>
    </w:p>
    <w:p>
      <w:pPr>
        <w:pStyle w:val="FirstParagraph"/>
      </w:pPr>
      <w:r>
        <w:t xml:space="preserve">Ainsi, la variance de dispersion s’écrit simplement :</w:t>
      </w:r>
    </w:p>
    <w:p>
      <w:pPr>
        <w:pStyle w:val="BodyText"/>
      </w:pPr>
      <m:oMathPara>
        <m:oMathParaPr>
          <m:jc m:val="center"/>
        </m:oMathParaPr>
        <m:oMath>
          <m:sSup>
            <m:e>
              <m:r>
                <m:t>D</m:t>
              </m:r>
            </m:e>
            <m:sup>
              <m:r>
                <m:t>2</m:t>
              </m:r>
            </m:sup>
          </m:sSup>
          <m:d>
            <m:dPr>
              <m:begChr m:val="("/>
              <m:sepChr m:val=""/>
              <m:endChr m:val=")"/>
              <m:grow/>
            </m:dPr>
            <m:e>
              <m:r>
                <m:t>v</m:t>
              </m:r>
              <m:r>
                <m:rPr>
                  <m:sty m:val="p"/>
                </m:rPr>
                <m:t>∣</m:t>
              </m:r>
              <m:r>
                <m:t>V</m:t>
              </m:r>
            </m:e>
          </m:d>
          <m:r>
            <m:rPr>
              <m:sty m:val="p"/>
            </m:rPr>
            <m:t>=</m:t>
          </m:r>
          <m:sSubSup>
            <m:e>
              <m:r>
                <m:t>σ</m:t>
              </m:r>
            </m:e>
            <m:sub>
              <m:r>
                <m:t>v</m:t>
              </m:r>
            </m:sub>
            <m:sup>
              <m:r>
                <m:t>2</m:t>
              </m:r>
            </m:sup>
          </m:sSubSup>
          <m:r>
            <m:rPr>
              <m:sty m:val="p"/>
            </m:rPr>
            <m:t>−</m:t>
          </m:r>
          <m:sSubSup>
            <m:e>
              <m:r>
                <m:t>σ</m:t>
              </m:r>
            </m:e>
            <m:sub>
              <m:r>
                <m:t>V</m:t>
              </m:r>
            </m:sub>
            <m:sup>
              <m:r>
                <m:t>2</m:t>
              </m:r>
            </m:sup>
          </m:sSubSup>
        </m:oMath>
      </m:oMathPara>
    </w:p>
    <w:p>
      <w:pPr>
        <w:pStyle w:val="FirstParagraph"/>
      </w:pPr>
      <w:r>
        <w:t xml:space="preserve">Autrement dit, elle mesure la part de variabilité qui existe à l’échelle des petits blocs</w:t>
      </w:r>
      <w:r>
        <w:t xml:space="preserve"> </w:t>
      </w:r>
      <m:oMath>
        <m:r>
          <m:t>v</m:t>
        </m:r>
      </m:oMath>
      <w:r>
        <w:t xml:space="preserve">, mais qui disparaît lorsqu’on passe au grand bloc</w:t>
      </w:r>
      <w:r>
        <w:t xml:space="preserve"> </w:t>
      </w:r>
      <m:oMath>
        <m:r>
          <m:t>V</m:t>
        </m:r>
      </m:oMath>
      <w:r>
        <w:t xml:space="preserve">. Comme la variance de bloc a déjà été définie, la variance de dispersion se calcule directement par différence.</w:t>
      </w:r>
    </w:p>
    <w:bookmarkStart w:id="52" w:name="expressions-équivalentes"/>
    <w:p>
      <w:pPr>
        <w:pStyle w:val="Heading3"/>
      </w:pPr>
      <w:r>
        <w:t xml:space="preserve">Expressions équivalentes</w:t>
      </w:r>
    </w:p>
    <w:p>
      <w:pPr>
        <w:pStyle w:val="FirstParagraph"/>
      </w:pPr>
      <w:r>
        <w:t xml:space="preserve">Utilisant les résultats précédents concernant les variances de blocs, on peut obtenir les formulations suivantes :</w:t>
      </w:r>
    </w:p>
    <w:p>
      <w:pPr>
        <w:pStyle w:val="BodyText"/>
      </w:pPr>
      <m:oMathPara>
        <m:oMathParaPr>
          <m:jc m:val="center"/>
        </m:oMathParaPr>
        <m:oMath>
          <m:sSup>
            <m:e>
              <m:r>
                <m:t>D</m:t>
              </m:r>
            </m:e>
            <m:sup>
              <m:r>
                <m:t>2</m:t>
              </m:r>
            </m:sup>
          </m:sSup>
          <m:d>
            <m:dPr>
              <m:begChr m:val="("/>
              <m:sepChr m:val=""/>
              <m:endChr m:val=")"/>
              <m:grow/>
            </m:dPr>
            <m:e>
              <m:r>
                <m:t>v</m:t>
              </m:r>
              <m:r>
                <m:rPr>
                  <m:sty m:val="p"/>
                </m:rPr>
                <m:t>∣</m:t>
              </m:r>
              <m:r>
                <m:t>V</m:t>
              </m:r>
            </m:e>
          </m:d>
          <m:r>
            <m:rPr>
              <m:sty m:val="p"/>
            </m:rPr>
            <m:t>=</m:t>
          </m:r>
          <m:acc>
            <m:accPr>
              <m:chr m:val="‾"/>
            </m:accPr>
            <m:e>
              <m:r>
                <m:t>C</m:t>
              </m:r>
            </m:e>
          </m:acc>
          <m:d>
            <m:dPr>
              <m:begChr m:val="("/>
              <m:sepChr m:val=""/>
              <m:endChr m:val=")"/>
              <m:grow/>
            </m:dPr>
            <m:e>
              <m:r>
                <m:t>v</m:t>
              </m:r>
              <m:r>
                <m:rPr>
                  <m:sty m:val="p"/>
                </m:rPr>
                <m:t>,</m:t>
              </m:r>
              <m:r>
                <m:t>v</m:t>
              </m:r>
            </m:e>
          </m:d>
          <m:r>
            <m:rPr>
              <m:sty m:val="p"/>
            </m:rPr>
            <m:t>−</m:t>
          </m:r>
          <m:acc>
            <m:accPr>
              <m:chr m:val="‾"/>
            </m:accPr>
            <m:e>
              <m:r>
                <m:t>C</m:t>
              </m:r>
            </m:e>
          </m:acc>
          <m:d>
            <m:dPr>
              <m:begChr m:val="("/>
              <m:sepChr m:val=""/>
              <m:endChr m:val=")"/>
              <m:grow/>
            </m:dPr>
            <m:e>
              <m:r>
                <m:t>V</m:t>
              </m:r>
              <m:r>
                <m:rPr>
                  <m:sty m:val="p"/>
                </m:rPr>
                <m:t>,</m:t>
              </m:r>
              <m:r>
                <m:t>V</m:t>
              </m:r>
            </m:e>
          </m:d>
        </m:oMath>
      </m:oMathPara>
    </w:p>
    <w:p>
      <w:pPr>
        <w:pStyle w:val="FirstParagraph"/>
      </w:pPr>
      <w:r>
        <w:t xml:space="preserve">ou encore, en termes de variogramme :</w:t>
      </w:r>
    </w:p>
    <w:p>
      <w:pPr>
        <w:pStyle w:val="BodyText"/>
      </w:pPr>
      <m:oMathPara>
        <m:oMathParaPr>
          <m:jc m:val="center"/>
        </m:oMathParaPr>
        <m:oMath>
          <m:sSup>
            <m:e>
              <m:r>
                <m:t>D</m:t>
              </m:r>
            </m:e>
            <m:sup>
              <m:r>
                <m:t>2</m:t>
              </m:r>
            </m:sup>
          </m:sSup>
          <m:d>
            <m:dPr>
              <m:begChr m:val="("/>
              <m:sepChr m:val=""/>
              <m:endChr m:val=")"/>
              <m:grow/>
            </m:dPr>
            <m:e>
              <m:r>
                <m:t>v</m:t>
              </m:r>
              <m:r>
                <m:rPr>
                  <m:sty m:val="p"/>
                </m:rPr>
                <m:t>∣</m:t>
              </m:r>
              <m:r>
                <m:t>V</m:t>
              </m:r>
            </m:e>
          </m:d>
          <m:r>
            <m:rPr>
              <m:sty m:val="p"/>
            </m:rPr>
            <m:t>=</m:t>
          </m:r>
          <m:acc>
            <m:accPr>
              <m:chr m:val="‾"/>
            </m:accPr>
            <m:e>
              <m:r>
                <m:t>γ</m:t>
              </m:r>
            </m:e>
          </m:acc>
          <m:d>
            <m:dPr>
              <m:begChr m:val="("/>
              <m:sepChr m:val=""/>
              <m:endChr m:val=")"/>
              <m:grow/>
            </m:dPr>
            <m:e>
              <m:r>
                <m:t>V</m:t>
              </m:r>
              <m:r>
                <m:rPr>
                  <m:sty m:val="p"/>
                </m:rPr>
                <m:t>,</m:t>
              </m:r>
              <m:r>
                <m:t>V</m:t>
              </m:r>
            </m:e>
          </m:d>
          <m:r>
            <m:rPr>
              <m:sty m:val="p"/>
            </m:rPr>
            <m:t>−</m:t>
          </m:r>
          <m:acc>
            <m:accPr>
              <m:chr m:val="‾"/>
            </m:accPr>
            <m:e>
              <m:r>
                <m:t>γ</m:t>
              </m:r>
            </m:e>
          </m:acc>
          <m:d>
            <m:dPr>
              <m:begChr m:val="("/>
              <m:sepChr m:val=""/>
              <m:endChr m:val=")"/>
              <m:grow/>
            </m:dPr>
            <m:e>
              <m:r>
                <m:t>v</m:t>
              </m:r>
              <m:r>
                <m:rPr>
                  <m:sty m:val="p"/>
                </m:rPr>
                <m:t>,</m:t>
              </m:r>
              <m:r>
                <m:t>v</m:t>
              </m:r>
            </m:e>
          </m:d>
        </m:oMath>
      </m:oMathPara>
    </w:p>
    <w:bookmarkEnd w:id="52"/>
    <w:bookmarkStart w:id="53" w:name="propriétés-1"/>
    <w:p>
      <w:pPr>
        <w:pStyle w:val="Heading3"/>
      </w:pPr>
      <w:r>
        <w:t xml:space="preserve">Propriétés</w:t>
      </w:r>
    </w:p>
    <w:p>
      <w:pPr>
        <w:pStyle w:val="FirstParagraph"/>
      </w:pPr>
      <w:r>
        <w:t xml:space="preserve">On peut retenir trois cas limites :</w:t>
      </w:r>
    </w:p>
    <w:p>
      <w:pPr>
        <w:pStyle w:val="Compact"/>
        <w:numPr>
          <w:ilvl w:val="0"/>
          <w:numId w:val="1008"/>
        </w:numPr>
      </w:pPr>
      <w:r>
        <w:t xml:space="preserve">si</w:t>
      </w:r>
      <w:r>
        <w:t xml:space="preserve"> </w:t>
      </w:r>
      <m:oMath>
        <m:r>
          <m:t>v</m:t>
        </m:r>
        <m:r>
          <m:rPr>
            <m:sty m:val="p"/>
          </m:rPr>
          <m:t>→</m:t>
        </m:r>
        <m:r>
          <m:t>0</m:t>
        </m:r>
      </m:oMath>
      <w:r>
        <w:t xml:space="preserve">, alors</w:t>
      </w:r>
      <w:r>
        <w:t xml:space="preserve"> </w:t>
      </w:r>
      <m:oMath>
        <m:sSup>
          <m:e>
            <m:r>
              <m:t>D</m:t>
            </m:r>
          </m:e>
          <m:sup>
            <m:r>
              <m:t>2</m:t>
            </m:r>
          </m:sup>
        </m:sSup>
        <m:d>
          <m:dPr>
            <m:begChr m:val="("/>
            <m:sepChr m:val=""/>
            <m:endChr m:val=")"/>
            <m:grow/>
          </m:dPr>
          <m:e>
            <m:r>
              <m:t>v</m:t>
            </m:r>
            <m:r>
              <m:rPr>
                <m:sty m:val="p"/>
              </m:rPr>
              <m:t>∣</m:t>
            </m:r>
            <m:r>
              <m:t>V</m:t>
            </m:r>
          </m:e>
        </m:d>
        <m:r>
          <m:rPr>
            <m:sty m:val="p"/>
          </m:rPr>
          <m:t>→</m:t>
        </m:r>
        <m:acc>
          <m:accPr>
            <m:chr m:val="‾"/>
          </m:accPr>
          <m:e>
            <m:r>
              <m:t>γ</m:t>
            </m:r>
          </m:e>
        </m:acc>
        <m:d>
          <m:dPr>
            <m:begChr m:val="("/>
            <m:sepChr m:val=""/>
            <m:endChr m:val=")"/>
            <m:grow/>
          </m:dPr>
          <m:e>
            <m:r>
              <m:t>V</m:t>
            </m:r>
            <m:r>
              <m:rPr>
                <m:sty m:val="p"/>
              </m:rPr>
              <m:t>,</m:t>
            </m:r>
            <m:r>
              <m:t>V</m:t>
            </m:r>
          </m:e>
        </m:d>
      </m:oMath>
      <w:r>
        <w:t xml:space="preserve"> </w:t>
      </w:r>
      <w:r>
        <w:t xml:space="preserve">;</w:t>
      </w:r>
    </w:p>
    <w:p>
      <w:pPr>
        <w:pStyle w:val="Compact"/>
        <w:numPr>
          <w:ilvl w:val="0"/>
          <w:numId w:val="1008"/>
        </w:numPr>
      </w:pPr>
      <w:r>
        <w:t xml:space="preserve">si</w:t>
      </w:r>
      <w:r>
        <w:t xml:space="preserve"> </w:t>
      </w:r>
      <m:oMath>
        <m:r>
          <m:t>v</m:t>
        </m:r>
        <m:r>
          <m:rPr>
            <m:sty m:val="p"/>
          </m:rPr>
          <m:t>→</m:t>
        </m:r>
        <m:r>
          <m:t>V</m:t>
        </m:r>
      </m:oMath>
      <w:r>
        <w:t xml:space="preserve">, alors</w:t>
      </w:r>
      <w:r>
        <w:t xml:space="preserve"> </w:t>
      </w:r>
      <m:oMath>
        <m:sSup>
          <m:e>
            <m:r>
              <m:t>D</m:t>
            </m:r>
          </m:e>
          <m:sup>
            <m:r>
              <m:t>2</m:t>
            </m:r>
          </m:sup>
        </m:sSup>
        <m:d>
          <m:dPr>
            <m:begChr m:val="("/>
            <m:sepChr m:val=""/>
            <m:endChr m:val=")"/>
            <m:grow/>
          </m:dPr>
          <m:e>
            <m:r>
              <m:t>v</m:t>
            </m:r>
            <m:r>
              <m:rPr>
                <m:sty m:val="p"/>
              </m:rPr>
              <m:t>∣</m:t>
            </m:r>
            <m:r>
              <m:t>V</m:t>
            </m:r>
          </m:e>
        </m:d>
        <m:r>
          <m:rPr>
            <m:sty m:val="p"/>
          </m:rPr>
          <m:t>→</m:t>
        </m:r>
        <m:r>
          <m:t>0</m:t>
        </m:r>
      </m:oMath>
      <w:r>
        <w:t xml:space="preserve"> </w:t>
      </w:r>
      <w:r>
        <w:t xml:space="preserve">;</w:t>
      </w:r>
    </w:p>
    <w:p>
      <w:pPr>
        <w:pStyle w:val="Compact"/>
        <w:numPr>
          <w:ilvl w:val="0"/>
          <w:numId w:val="1008"/>
        </w:numPr>
      </w:pPr>
      <w:r>
        <w:t xml:space="preserve">si</w:t>
      </w:r>
      <w:r>
        <w:t xml:space="preserve"> </w:t>
      </w:r>
      <m:oMath>
        <m:r>
          <m:t>V</m:t>
        </m:r>
        <m:r>
          <m:rPr>
            <m:sty m:val="p"/>
          </m:rPr>
          <m:t>→</m:t>
        </m:r>
        <m:r>
          <m:rPr>
            <m:sty m:val="p"/>
          </m:rPr>
          <m:t>∞</m:t>
        </m:r>
      </m:oMath>
      <w:r>
        <w:t xml:space="preserve">, alors</w:t>
      </w:r>
      <w:r>
        <w:t xml:space="preserve"> </w:t>
      </w:r>
      <m:oMath>
        <m:sSup>
          <m:e>
            <m:r>
              <m:t>D</m:t>
            </m:r>
          </m:e>
          <m:sup>
            <m:r>
              <m:t>2</m:t>
            </m:r>
          </m:sup>
        </m:sSup>
        <m:d>
          <m:dPr>
            <m:begChr m:val="("/>
            <m:sepChr m:val=""/>
            <m:endChr m:val=")"/>
            <m:grow/>
          </m:dPr>
          <m:e>
            <m:r>
              <m:t>v</m:t>
            </m:r>
            <m:r>
              <m:rPr>
                <m:sty m:val="p"/>
              </m:rPr>
              <m:t>∣</m:t>
            </m:r>
            <m:r>
              <m:t>V</m:t>
            </m:r>
          </m:e>
        </m:d>
        <m:r>
          <m:rPr>
            <m:sty m:val="p"/>
          </m:rPr>
          <m:t>→</m:t>
        </m:r>
        <m:sSubSup>
          <m:e>
            <m:r>
              <m:t>σ</m:t>
            </m:r>
          </m:e>
          <m:sub>
            <m:r>
              <m:t>v</m:t>
            </m:r>
          </m:sub>
          <m:sup>
            <m:r>
              <m:t>2</m:t>
            </m:r>
          </m:sup>
        </m:sSubSup>
      </m:oMath>
      <w:r>
        <w:t xml:space="preserve">.</w:t>
      </w:r>
    </w:p>
    <w:p>
      <w:pPr>
        <w:pStyle w:val="FirstParagraph"/>
      </w:pPr>
      <w:r>
        <w:t xml:space="preserve">Le deuxième cas est le plus intuitif : si le petit support devient identique au grand support, il n’y a plus de dispersion à mesurer entre les deux.</w:t>
      </w:r>
    </w:p>
    <w:bookmarkEnd w:id="53"/>
    <w:bookmarkStart w:id="54" w:name="applications"/>
    <w:p>
      <w:pPr>
        <w:pStyle w:val="Heading3"/>
      </w:pPr>
      <w:r>
        <w:t xml:space="preserve">Applications</w:t>
      </w:r>
    </w:p>
    <w:p>
      <w:pPr>
        <w:pStyle w:val="FirstParagraph"/>
      </w:pPr>
      <w:r>
        <w:t xml:space="preserve">Dans une mine,</w:t>
      </w:r>
      <w:r>
        <w:t xml:space="preserve"> </w:t>
      </w:r>
      <m:oMath>
        <m:r>
          <m:t>v</m:t>
        </m:r>
      </m:oMath>
      <w:r>
        <w:t xml:space="preserve"> </w:t>
      </w:r>
      <w:r>
        <w:t xml:space="preserve">peut représenter la production d’une journée, alors que</w:t>
      </w:r>
      <w:r>
        <w:t xml:space="preserve"> </w:t>
      </w:r>
      <m:oMath>
        <m:r>
          <m:t>V</m:t>
        </m:r>
      </m:oMath>
      <w:r>
        <w:t xml:space="preserve"> </w:t>
      </w:r>
      <w:r>
        <w:t xml:space="preserve">peut représenter une semaine ou un mois. La variance de dispersion sert alors à voir si les teneurs envoyées au concentrateur varient beaucoup d’une journée à l’autre. Si les teneurs changent trop rapidement, le procédé devient plus difficile à contrôler. Une alimentation plus régulière permet au contraire de mieux stabiliser le traitement et, idéalement, d’améliorer la récupération</w:t>
      </w:r>
      <w:r>
        <w:t xml:space="preserve"> </w:t>
      </w:r>
      <m:oMath>
        <m:r>
          <m:t>y</m:t>
        </m:r>
      </m:oMath>
      <w:r>
        <w:t xml:space="preserve">. Dans la logique de Lane, cette récupération influence directement la valeur économique de l’exploitation.</w:t>
      </w:r>
    </w:p>
    <w:bookmarkEnd w:id="54"/>
    <w:bookmarkStart w:id="56" w:name="additivité-des-dispersions"/>
    <w:p>
      <w:pPr>
        <w:pStyle w:val="Heading3"/>
      </w:pPr>
      <w:r>
        <w:t xml:space="preserve">Additivité des dispersions</w:t>
      </w:r>
    </w:p>
    <w:p>
      <w:pPr>
        <w:pStyle w:val="FirstParagraph"/>
      </w:pPr>
      <w:r>
        <w:t xml:space="preserve">Les variances de dispersion peuvent s’additionner quand les supports sont emboîtés. C’est la relation de Krige. Si on passe d’un petit support</w:t>
      </w:r>
      <w:r>
        <w:t xml:space="preserve"> </w:t>
      </w:r>
      <m:oMath>
        <m:sSub>
          <m:e>
            <m:r>
              <m:t>v</m:t>
            </m:r>
          </m:e>
          <m:sub>
            <m:r>
              <m:t>1</m:t>
            </m:r>
          </m:sub>
        </m:sSub>
      </m:oMath>
      <w:r>
        <w:t xml:space="preserve"> </w:t>
      </w:r>
      <w:r>
        <w:t xml:space="preserve">à un grand support</w:t>
      </w:r>
      <w:r>
        <w:t xml:space="preserve"> </w:t>
      </w:r>
      <m:oMath>
        <m:sSub>
          <m:e>
            <m:r>
              <m:t>v</m:t>
            </m:r>
          </m:e>
          <m:sub>
            <m:r>
              <m:t>n</m:t>
            </m:r>
          </m:sub>
        </m:sSub>
      </m:oMath>
      <w:r>
        <w:t xml:space="preserve">, avec des supports intermédiaires de plus en plus grands, on peut écrire :</w:t>
      </w:r>
    </w:p>
    <w:p>
      <w:pPr>
        <w:pStyle w:val="BodyText"/>
      </w:pPr>
      <m:oMathPara>
        <m:oMathParaPr>
          <m:jc m:val="center"/>
        </m:oMathParaPr>
        <m:oMath>
          <m:sSup>
            <m:e>
              <m:r>
                <m:t>D</m:t>
              </m:r>
            </m:e>
            <m:sup>
              <m:r>
                <m:t>2</m:t>
              </m:r>
            </m:sup>
          </m:sSup>
          <m:d>
            <m:dPr>
              <m:begChr m:val="("/>
              <m:sepChr m:val=""/>
              <m:endChr m:val=")"/>
              <m:grow/>
            </m:dPr>
            <m:e>
              <m:sSub>
                <m:e>
                  <m:r>
                    <m:t>v</m:t>
                  </m:r>
                </m:e>
                <m:sub>
                  <m:r>
                    <m:t>1</m:t>
                  </m:r>
                </m:sub>
              </m:sSub>
              <m:r>
                <m:rPr>
                  <m:sty m:val="p"/>
                </m:rPr>
                <m:t>∣</m:t>
              </m:r>
              <m:sSub>
                <m:e>
                  <m:r>
                    <m:t>v</m:t>
                  </m:r>
                </m:e>
                <m:sub>
                  <m:r>
                    <m:t>n</m:t>
                  </m:r>
                </m:sub>
              </m:sSub>
            </m:e>
          </m:d>
          <m:r>
            <m:rPr>
              <m:sty m:val="p"/>
            </m:rPr>
            <m:t>=</m:t>
          </m:r>
          <m:sSup>
            <m:e>
              <m:r>
                <m:t>D</m:t>
              </m:r>
            </m:e>
            <m:sup>
              <m:r>
                <m:t>2</m:t>
              </m:r>
            </m:sup>
          </m:sSup>
          <m:d>
            <m:dPr>
              <m:begChr m:val="("/>
              <m:sepChr m:val=""/>
              <m:endChr m:val=")"/>
              <m:grow/>
            </m:dPr>
            <m:e>
              <m:sSub>
                <m:e>
                  <m:r>
                    <m:t>v</m:t>
                  </m:r>
                </m:e>
                <m:sub>
                  <m:r>
                    <m:t>1</m:t>
                  </m:r>
                </m:sub>
              </m:sSub>
              <m:r>
                <m:rPr>
                  <m:sty m:val="p"/>
                </m:rPr>
                <m:t>∣</m:t>
              </m:r>
              <m:sSub>
                <m:e>
                  <m:r>
                    <m:t>v</m:t>
                  </m:r>
                </m:e>
                <m:sub>
                  <m:r>
                    <m:t>2</m:t>
                  </m:r>
                </m:sub>
              </m:sSub>
            </m:e>
          </m:d>
          <m:r>
            <m:rPr>
              <m:sty m:val="p"/>
            </m:rPr>
            <m:t>+</m:t>
          </m:r>
          <m:sSup>
            <m:e>
              <m:r>
                <m:t>D</m:t>
              </m:r>
            </m:e>
            <m:sup>
              <m:r>
                <m:t>2</m:t>
              </m:r>
            </m:sup>
          </m:sSup>
          <m:d>
            <m:dPr>
              <m:begChr m:val="("/>
              <m:sepChr m:val=""/>
              <m:endChr m:val=")"/>
              <m:grow/>
            </m:dPr>
            <m:e>
              <m:sSub>
                <m:e>
                  <m:r>
                    <m:t>v</m:t>
                  </m:r>
                </m:e>
                <m:sub>
                  <m:r>
                    <m:t>2</m:t>
                  </m:r>
                </m:sub>
              </m:sSub>
              <m:r>
                <m:rPr>
                  <m:sty m:val="p"/>
                </m:rPr>
                <m:t>∣</m:t>
              </m:r>
              <m:sSub>
                <m:e>
                  <m:r>
                    <m:t>v</m:t>
                  </m:r>
                </m:e>
                <m:sub>
                  <m:r>
                    <m:t>3</m:t>
                  </m:r>
                </m:sub>
              </m:sSub>
            </m:e>
          </m:d>
          <m:r>
            <m:rPr>
              <m:sty m:val="p"/>
            </m:rPr>
            <m:t>+</m:t>
          </m:r>
          <m:r>
            <m:rPr>
              <m:sty m:val="p"/>
            </m:rPr>
            <m:t>…</m:t>
          </m:r>
          <m:r>
            <m:rPr>
              <m:sty m:val="p"/>
            </m:rPr>
            <m:t>+</m:t>
          </m:r>
          <m:sSup>
            <m:e>
              <m:r>
                <m:t>D</m:t>
              </m:r>
            </m:e>
            <m:sup>
              <m:r>
                <m:t>2</m:t>
              </m:r>
            </m:sup>
          </m:sSup>
          <m:d>
            <m:dPr>
              <m:begChr m:val="("/>
              <m:sepChr m:val=""/>
              <m:endChr m:val=")"/>
              <m:grow/>
            </m:dPr>
            <m:e>
              <m:sSub>
                <m:e>
                  <m:r>
                    <m:t>v</m:t>
                  </m:r>
                </m:e>
                <m:sub>
                  <m:r>
                    <m:t>n</m:t>
                  </m:r>
                  <m:r>
                    <m:rPr>
                      <m:sty m:val="p"/>
                    </m:rPr>
                    <m:t>−</m:t>
                  </m:r>
                  <m:r>
                    <m:t>1</m:t>
                  </m:r>
                </m:sub>
              </m:sSub>
              <m:r>
                <m:rPr>
                  <m:sty m:val="p"/>
                </m:rPr>
                <m:t>∣</m:t>
              </m:r>
              <m:sSub>
                <m:e>
                  <m:r>
                    <m:t>v</m:t>
                  </m:r>
                </m:e>
                <m:sub>
                  <m:r>
                    <m:t>n</m:t>
                  </m:r>
                </m:sub>
              </m:sSub>
            </m:e>
          </m:d>
        </m:oMath>
      </m:oMathPara>
    </w:p>
    <w:p>
      <w:pPr>
        <w:pStyle w:val="FirstParagraph"/>
      </w:pPr>
      <w:r>
        <w:t xml:space="preserve">où les supports sont ordonnés de</w:t>
      </w:r>
      <w:r>
        <w:t xml:space="preserve"> </w:t>
      </w:r>
      <m:oMath>
        <m:sSub>
          <m:e>
            <m:r>
              <m:t>v</m:t>
            </m:r>
          </m:e>
          <m:sub>
            <m:r>
              <m:t>1</m:t>
            </m:r>
          </m:sub>
        </m:sSub>
      </m:oMath>
      <w:r>
        <w:t xml:space="preserve"> </w:t>
      </w:r>
      <w:r>
        <w:t xml:space="preserve">à</w:t>
      </w:r>
      <w:r>
        <w:t xml:space="preserve"> </w:t>
      </w:r>
      <m:oMath>
        <m:sSub>
          <m:e>
            <m:r>
              <m:t>v</m:t>
            </m:r>
          </m:e>
          <m:sub>
            <m:r>
              <m:t>n</m:t>
            </m:r>
          </m:sub>
        </m:sSub>
      </m:oMath>
      <w:r>
        <w:t xml:space="preserve"> </w:t>
      </w:r>
      <w:r>
        <w:t xml:space="preserve">et inclus les uns dans les autres.</w:t>
      </w:r>
    </w:p>
    <w:p>
      <w:pPr>
        <w:pStyle w:val="BodyText"/>
      </w:pPr>
      <w:r>
        <w:t xml:space="preserve">Cette relation dit simplement que la variabilité entre</w:t>
      </w:r>
      <w:r>
        <w:t xml:space="preserve"> </w:t>
      </w:r>
      <m:oMath>
        <m:sSub>
          <m:e>
            <m:r>
              <m:t>v</m:t>
            </m:r>
          </m:e>
          <m:sub>
            <m:r>
              <m:t>1</m:t>
            </m:r>
          </m:sub>
        </m:sSub>
      </m:oMath>
      <w:r>
        <w:t xml:space="preserve"> </w:t>
      </w:r>
      <w:r>
        <w:t xml:space="preserve">et</w:t>
      </w:r>
      <w:r>
        <w:t xml:space="preserve"> </w:t>
      </w:r>
      <m:oMath>
        <m:sSub>
          <m:e>
            <m:r>
              <m:t>v</m:t>
            </m:r>
          </m:e>
          <m:sub>
            <m:r>
              <m:t>n</m:t>
            </m:r>
          </m:sub>
        </m:sSub>
      </m:oMath>
      <w:r>
        <w:t xml:space="preserve"> </w:t>
      </w:r>
      <w:r>
        <w:t xml:space="preserve">peut être séparée en plusieurs morceaux. On regarde d’abord ce qui est perdu en passant de</w:t>
      </w:r>
      <w:r>
        <w:t xml:space="preserve"> </w:t>
      </w:r>
      <m:oMath>
        <m:sSub>
          <m:e>
            <m:r>
              <m:t>v</m:t>
            </m:r>
          </m:e>
          <m:sub>
            <m:r>
              <m:t>1</m:t>
            </m:r>
          </m:sub>
        </m:sSub>
      </m:oMath>
      <w:r>
        <w:t xml:space="preserve"> </w:t>
      </w:r>
      <w:r>
        <w:t xml:space="preserve">à</w:t>
      </w:r>
      <w:r>
        <w:t xml:space="preserve"> </w:t>
      </w:r>
      <m:oMath>
        <m:sSub>
          <m:e>
            <m:r>
              <m:t>v</m:t>
            </m:r>
          </m:e>
          <m:sub>
            <m:r>
              <m:t>2</m:t>
            </m:r>
          </m:sub>
        </m:sSub>
      </m:oMath>
      <w:r>
        <w:t xml:space="preserve">, puis de</w:t>
      </w:r>
      <w:r>
        <w:t xml:space="preserve"> </w:t>
      </w:r>
      <m:oMath>
        <m:sSub>
          <m:e>
            <m:r>
              <m:t>v</m:t>
            </m:r>
          </m:e>
          <m:sub>
            <m:r>
              <m:t>2</m:t>
            </m:r>
          </m:sub>
        </m:sSub>
      </m:oMath>
      <w:r>
        <w:t xml:space="preserve"> </w:t>
      </w:r>
      <w:r>
        <w:t xml:space="preserve">à</w:t>
      </w:r>
      <w:r>
        <w:t xml:space="preserve"> </w:t>
      </w:r>
      <m:oMath>
        <m:sSub>
          <m:e>
            <m:r>
              <m:t>v</m:t>
            </m:r>
          </m:e>
          <m:sub>
            <m:r>
              <m:t>3</m:t>
            </m:r>
          </m:sub>
        </m:sSub>
      </m:oMath>
      <w:r>
        <w:t xml:space="preserve">, et ainsi de suite. Au final, la somme de ces pertes donne la dispersion totale entre le petit support et le grand support.</w:t>
      </w:r>
    </w:p>
    <w:bookmarkStart w:id="55" w:name="exemple-pratique-piles-de-stockage"/>
    <w:p>
      <w:pPr>
        <w:pStyle w:val="Heading4"/>
      </w:pPr>
      <w:r>
        <w:t xml:space="preserve">Exemple pratique : piles de stockage</w:t>
      </w:r>
    </w:p>
    <w:p>
      <w:pPr>
        <w:pStyle w:val="FirstParagraph"/>
      </w:pPr>
      <w:r>
        <w:t xml:space="preserve">Cette relation est utile pour représenter l’effet d’une pile d’homogénéisation. On peut, par exemple, considérer :</w:t>
      </w:r>
    </w:p>
    <w:p>
      <w:pPr>
        <w:pStyle w:val="Compact"/>
        <w:numPr>
          <w:ilvl w:val="0"/>
          <w:numId w:val="1009"/>
        </w:numPr>
      </w:pPr>
      <m:oMath>
        <m:sSub>
          <m:e>
            <m:r>
              <m:t>v</m:t>
            </m:r>
          </m:e>
          <m:sub>
            <m:r>
              <m:t>1</m:t>
            </m:r>
          </m:sub>
        </m:sSub>
      </m:oMath>
      <w:r>
        <w:t xml:space="preserve"> </w:t>
      </w:r>
      <w:r>
        <w:t xml:space="preserve">: la production journalière ;</w:t>
      </w:r>
    </w:p>
    <w:p>
      <w:pPr>
        <w:pStyle w:val="Compact"/>
        <w:numPr>
          <w:ilvl w:val="0"/>
          <w:numId w:val="1009"/>
        </w:numPr>
      </w:pPr>
      <m:oMath>
        <m:sSub>
          <m:e>
            <m:r>
              <m:t>v</m:t>
            </m:r>
          </m:e>
          <m:sub>
            <m:r>
              <m:t>2</m:t>
            </m:r>
          </m:sub>
        </m:sSub>
      </m:oMath>
      <w:r>
        <w:t xml:space="preserve"> </w:t>
      </w:r>
      <w:r>
        <w:t xml:space="preserve">: une pile de stockage ou une production homogénéisée ;</w:t>
      </w:r>
    </w:p>
    <w:p>
      <w:pPr>
        <w:pStyle w:val="Compact"/>
        <w:numPr>
          <w:ilvl w:val="0"/>
          <w:numId w:val="1009"/>
        </w:numPr>
      </w:pPr>
      <m:oMath>
        <m:sSub>
          <m:e>
            <m:r>
              <m:t>v</m:t>
            </m:r>
          </m:e>
          <m:sub>
            <m:r>
              <m:t>3</m:t>
            </m:r>
          </m:sub>
        </m:sSub>
      </m:oMath>
      <w:r>
        <w:t xml:space="preserve"> </w:t>
      </w:r>
      <w:r>
        <w:t xml:space="preserve">: l’alimentation mensuelle du concentrateur.</w:t>
      </w:r>
    </w:p>
    <w:p>
      <w:pPr>
        <w:pStyle w:val="FirstParagraph"/>
      </w:pPr>
      <w:r>
        <w:t xml:space="preserve">La pile agit comme un mélangeur. Elle réduit les variations de teneur entre les journées. Si l’homogénéisation est très efficace, la teneur fournie par la pile varie peu d’une journée à l’autre. Dans ce cas, la dispersion entre</w:t>
      </w:r>
      <w:r>
        <w:t xml:space="preserve"> </w:t>
      </w:r>
      <m:oMath>
        <m:sSub>
          <m:e>
            <m:r>
              <m:t>v</m:t>
            </m:r>
          </m:e>
          <m:sub>
            <m:r>
              <m:t>1</m:t>
            </m:r>
          </m:sub>
        </m:sSub>
      </m:oMath>
      <w:r>
        <w:t xml:space="preserve"> </w:t>
      </w:r>
      <w:r>
        <w:t xml:space="preserve">et</w:t>
      </w:r>
      <w:r>
        <w:t xml:space="preserve"> </w:t>
      </w:r>
      <m:oMath>
        <m:sSub>
          <m:e>
            <m:r>
              <m:t>v</m:t>
            </m:r>
          </m:e>
          <m:sub>
            <m:r>
              <m:t>2</m:t>
            </m:r>
          </m:sub>
        </m:sSub>
      </m:oMath>
      <w:r>
        <w:t xml:space="preserve"> </w:t>
      </w:r>
      <w:r>
        <w:t xml:space="preserve">devient faible :</w:t>
      </w:r>
    </w:p>
    <w:p>
      <w:pPr>
        <w:pStyle w:val="BodyText"/>
      </w:pPr>
      <m:oMathPara>
        <m:oMathParaPr>
          <m:jc m:val="center"/>
        </m:oMathParaPr>
        <m:oMath>
          <m:sSup>
            <m:e>
              <m:r>
                <m:t>D</m:t>
              </m:r>
            </m:e>
            <m:sup>
              <m:r>
                <m:t>2</m:t>
              </m:r>
            </m:sup>
          </m:sSup>
          <m:d>
            <m:dPr>
              <m:begChr m:val="("/>
              <m:sepChr m:val=""/>
              <m:endChr m:val=")"/>
              <m:grow/>
            </m:dPr>
            <m:e>
              <m:sSub>
                <m:e>
                  <m:r>
                    <m:t>v</m:t>
                  </m:r>
                </m:e>
                <m:sub>
                  <m:r>
                    <m:t>1</m:t>
                  </m:r>
                </m:sub>
              </m:sSub>
              <m:r>
                <m:rPr>
                  <m:sty m:val="p"/>
                </m:rPr>
                <m:t>∣</m:t>
              </m:r>
              <m:sSub>
                <m:e>
                  <m:r>
                    <m:t>v</m:t>
                  </m:r>
                </m:e>
                <m:sub>
                  <m:r>
                    <m:t>2</m:t>
                  </m:r>
                </m:sub>
              </m:sSub>
            </m:e>
          </m:d>
          <m:r>
            <m:rPr>
              <m:sty m:val="p"/>
            </m:rPr>
            <m:t>≈</m:t>
          </m:r>
          <m:r>
            <m:t>0</m:t>
          </m:r>
        </m:oMath>
      </m:oMathPara>
    </w:p>
    <w:p>
      <w:pPr>
        <w:pStyle w:val="FirstParagraph"/>
      </w:pPr>
      <w:r>
        <w:t xml:space="preserve">La variabilité journalière est alors presque absorbée par la pile. Il reste surtout la variabilité entre les piles ou entre les volumes alimentant le concentrateur sur une plus longue période :</w:t>
      </w:r>
    </w:p>
    <w:p>
      <w:pPr>
        <w:pStyle w:val="BodyText"/>
      </w:pPr>
      <m:oMathPara>
        <m:oMathParaPr>
          <m:jc m:val="center"/>
        </m:oMathParaPr>
        <m:oMath>
          <m:sSup>
            <m:e>
              <m:r>
                <m:t>D</m:t>
              </m:r>
            </m:e>
            <m:sup>
              <m:r>
                <m:t>2</m:t>
              </m:r>
            </m:sup>
          </m:sSup>
          <m:d>
            <m:dPr>
              <m:begChr m:val="("/>
              <m:sepChr m:val=""/>
              <m:endChr m:val=")"/>
              <m:grow/>
            </m:dPr>
            <m:e>
              <m:sSub>
                <m:e>
                  <m:r>
                    <m:t>v</m:t>
                  </m:r>
                </m:e>
                <m:sub>
                  <m:r>
                    <m:t>1</m:t>
                  </m:r>
                </m:sub>
              </m:sSub>
              <m:r>
                <m:rPr>
                  <m:sty m:val="p"/>
                </m:rPr>
                <m:t>∣</m:t>
              </m:r>
              <m:sSub>
                <m:e>
                  <m:r>
                    <m:t>v</m:t>
                  </m:r>
                </m:e>
                <m:sub>
                  <m:r>
                    <m:t>3</m:t>
                  </m:r>
                </m:sub>
              </m:sSub>
            </m:e>
          </m:d>
          <m:r>
            <m:rPr>
              <m:sty m:val="p"/>
            </m:rPr>
            <m:t>≈</m:t>
          </m:r>
          <m:sSup>
            <m:e>
              <m:r>
                <m:t>D</m:t>
              </m:r>
            </m:e>
            <m:sup>
              <m:r>
                <m:t>2</m:t>
              </m:r>
            </m:sup>
          </m:sSup>
          <m:d>
            <m:dPr>
              <m:begChr m:val="("/>
              <m:sepChr m:val=""/>
              <m:endChr m:val=")"/>
              <m:grow/>
            </m:dPr>
            <m:e>
              <m:sSub>
                <m:e>
                  <m:r>
                    <m:t>v</m:t>
                  </m:r>
                </m:e>
                <m:sub>
                  <m:r>
                    <m:t>2</m:t>
                  </m:r>
                </m:sub>
              </m:sSub>
              <m:r>
                <m:rPr>
                  <m:sty m:val="p"/>
                </m:rPr>
                <m:t>∣</m:t>
              </m:r>
              <m:sSub>
                <m:e>
                  <m:r>
                    <m:t>v</m:t>
                  </m:r>
                </m:e>
                <m:sub>
                  <m:r>
                    <m:t>3</m:t>
                  </m:r>
                </m:sub>
              </m:sSub>
            </m:e>
          </m:d>
        </m:oMath>
      </m:oMathPara>
    </w:p>
    <w:p>
      <w:pPr>
        <w:pStyle w:val="FirstParagraph"/>
      </w:pPr>
      <w:r>
        <w:t xml:space="preserve">En pratique, cela veut dire que la pile ne change pas la teneur moyenne du minerai, mais elle réduit les fluctuations à court terme. C’est ce qui permet d’envoyer une alimentation plus stable au concentrateur.</w:t>
      </w:r>
    </w:p>
    <w:bookmarkEnd w:id="55"/>
    <w:bookmarkEnd w:id="56"/>
    <w:bookmarkStart w:id="57" w:name="Xb4afadf09d2f383215903621589933630665813"/>
    <w:p>
      <w:pPr>
        <w:pStyle w:val="Heading3"/>
      </w:pPr>
      <w:r>
        <w:t xml:space="preserve">Notes importantes concernant l’effet de pépite</w:t>
      </w:r>
    </w:p>
    <w:p>
      <w:pPr>
        <w:numPr>
          <w:ilvl w:val="0"/>
          <w:numId w:val="1010"/>
        </w:numPr>
      </w:pPr>
      <w:r>
        <w:t xml:space="preserve">Dans les relations précédentes,</w:t>
      </w:r>
      <w:r>
        <w:t xml:space="preserve"> </w:t>
      </w:r>
      <m:oMath>
        <m:r>
          <m:t>γ</m:t>
        </m:r>
        <m:d>
          <m:dPr>
            <m:begChr m:val="("/>
            <m:sepChr m:val=""/>
            <m:endChr m:val=")"/>
            <m:grow/>
          </m:dPr>
          <m:e>
            <m:r>
              <m:rPr>
                <m:sty m:val="b"/>
              </m:rPr>
              <m:t>h</m:t>
            </m:r>
          </m:e>
        </m:d>
      </m:oMath>
      <w:r>
        <w:t xml:space="preserve"> </w:t>
      </w:r>
      <w:r>
        <w:t xml:space="preserve">représente le variogramme ponctuel. Dans la pratique, ce variogramme n’est pas accessible : seul le variogramme défini sur un support « </w:t>
      </w:r>
      <m:oMath>
        <m:r>
          <m:t>s</m:t>
        </m:r>
      </m:oMath>
      <w:r>
        <w:t xml:space="preserve"> » existe (par exemple, les carottes de forage). Les relations restent valides tant que le support des données est inférieur à « </w:t>
      </w:r>
      <m:oMath>
        <m:r>
          <m:t>v</m:t>
        </m:r>
      </m:oMath>
      <w:r>
        <w:t xml:space="preserve"> ». Dans ce cas, l’effet de pépite n’intervient ni dans le calcul de la variance de bloc ni dans celui de la variance de dispersion.</w:t>
      </w:r>
    </w:p>
    <w:p>
      <w:pPr>
        <w:numPr>
          <w:ilvl w:val="0"/>
          <w:numId w:val="1010"/>
        </w:numPr>
      </w:pPr>
      <w:r>
        <w:t xml:space="preserve">Lorsque</w:t>
      </w:r>
      <w:r>
        <w:t xml:space="preserve"> </w:t>
      </w:r>
      <m:oMath>
        <m:r>
          <m:t>v</m:t>
        </m:r>
      </m:oMath>
      <w:r>
        <w:t xml:space="preserve"> </w:t>
      </w:r>
      <w:r>
        <w:t xml:space="preserve">est proche du support des données, l’effet de pépite ne disparaît pas complètement dans la variance de bloc. On ajoute alors souvent un terme de la forme</w:t>
      </w:r>
      <w:r>
        <w:t xml:space="preserve"> </w:t>
      </w:r>
      <m:oMath>
        <m:f>
          <m:fPr>
            <m:type m:val="bar"/>
          </m:fPr>
          <m:num>
            <m:sSub>
              <m:e>
                <m:r>
                  <m:t>C</m:t>
                </m:r>
              </m:e>
              <m:sub>
                <m:r>
                  <m:t>0</m:t>
                </m:r>
              </m:sub>
            </m:sSub>
          </m:num>
          <m:den>
            <m:r>
              <m:t>n</m:t>
            </m:r>
          </m:den>
        </m:f>
      </m:oMath>
      <w:r>
        <w:t xml:space="preserve">, où</w:t>
      </w:r>
      <w:r>
        <w:t xml:space="preserve"> </w:t>
      </w:r>
      <m:oMath>
        <m:sSub>
          <m:e>
            <m:r>
              <m:t>C</m:t>
            </m:r>
          </m:e>
          <m:sub>
            <m:r>
              <m:t>0</m:t>
            </m:r>
          </m:sub>
        </m:sSub>
      </m:oMath>
      <w:r>
        <w:t xml:space="preserve"> </w:t>
      </w:r>
      <w:r>
        <w:t xml:space="preserve">est l’effet de pépite et</w:t>
      </w:r>
      <w:r>
        <w:t xml:space="preserve"> </w:t>
      </w:r>
      <m:oMath>
        <m:r>
          <m:t>n</m:t>
        </m:r>
      </m:oMath>
      <w:r>
        <w:t xml:space="preserve"> </w:t>
      </w:r>
      <w:r>
        <w:t xml:space="preserve">le nombre de supports élémentaires dans le bloc. Plus il y a de supports dans le bloc, plus la pépite est moyennée. Pour un petit bloc, ce terme peut donc rester non négligeable.</w:t>
      </w:r>
    </w:p>
    <w:bookmarkEnd w:id="57"/>
    <w:bookmarkStart w:id="58" w:name="remarque-finale"/>
    <w:p>
      <w:pPr>
        <w:pStyle w:val="Heading3"/>
      </w:pPr>
      <w:r>
        <w:t xml:space="preserve">Remarque finale</w:t>
      </w:r>
    </w:p>
    <w:p>
      <w:pPr>
        <w:pStyle w:val="FirstParagraph"/>
      </w:pPr>
      <w:r>
        <w:t xml:space="preserve">Le calcul des variances de bloc et de la variance d’estimation ne nécessite pas de connaître explicitement les données. Seul le variogramme est requis. Ces notions ne rendent donc pas compte de l’information accrue localement, issue de l’acquisition de nouvelles données.</w:t>
      </w:r>
    </w:p>
    <w:bookmarkEnd w:id="58"/>
    <w:bookmarkEnd w:id="59"/>
    <w:bookmarkStart w:id="60" w:name="Xcfc75e5989d09fc94fb5da2451f19a8815cc480"/>
    <w:p>
      <w:pPr>
        <w:pStyle w:val="Heading2"/>
      </w:pPr>
      <w:r>
        <w:t xml:space="preserve">🧮 Atelier interactif 8.2 — Influence du modèle de variogramme</w:t>
      </w:r>
    </w:p>
    <w:p>
      <w:pPr>
        <w:pStyle w:val="FirstParagraph"/>
      </w:pPr>
      <w:r>
        <w:t xml:space="preserve">Cet atelier interactif n’est disponible que dans la version web du chapitre.</w:t>
      </w:r>
    </w:p>
    <w:bookmarkEnd w:id="60"/>
    <w:bookmarkStart w:id="75" w:name="sec-homogeneite-minerai"/>
    <w:p>
      <w:pPr>
        <w:pStyle w:val="Heading2"/>
      </w:pPr>
      <w:r>
        <w:t xml:space="preserve">4 Application de la variance de dispersion : Homogénéité du minerai</w:t>
      </w:r>
    </w:p>
    <w:p>
      <w:pPr>
        <w:pStyle w:val="FirstParagraph"/>
      </w:pPr>
      <w:r>
        <w:t xml:space="preserve">La variance de dispersion mesure la variabilité des teneurs d’un support</w:t>
      </w:r>
      <w:r>
        <w:t xml:space="preserve"> </w:t>
      </w:r>
      <m:oMath>
        <m:r>
          <m:t>v</m:t>
        </m:r>
      </m:oMath>
      <w:r>
        <w:t xml:space="preserve"> </w:t>
      </w:r>
      <w:r>
        <w:t xml:space="preserve">à l’intérieur d’un volume plus grand</w:t>
      </w:r>
      <w:r>
        <w:t xml:space="preserve"> </w:t>
      </w:r>
      <m:oMath>
        <m:r>
          <m:t>V</m:t>
        </m:r>
      </m:oMath>
      <w:r>
        <w:t xml:space="preserve">. Appliquée à la production, elle quantifie directement l’homogénéité du minerai livré au concentrateur :</w:t>
      </w:r>
      <w:r>
        <w:t xml:space="preserve"> </w:t>
      </w:r>
      <m:oMath>
        <m:r>
          <m:t>v</m:t>
        </m:r>
      </m:oMath>
      <w:r>
        <w:t xml:space="preserve"> </w:t>
      </w:r>
      <w:r>
        <w:t xml:space="preserve">représente la teneur d’une unité de production (par exemple une journée) et</w:t>
      </w:r>
      <w:r>
        <w:t xml:space="preserve"> </w:t>
      </w:r>
      <m:oMath>
        <m:r>
          <m:t>V</m:t>
        </m:r>
      </m:oMath>
      <w:r>
        <w:t xml:space="preserve"> </w:t>
      </w:r>
      <w:r>
        <w:t xml:space="preserve">l’ensemble alimenté sur une période (par exemple un mois). Plus</w:t>
      </w:r>
      <w:r>
        <w:t xml:space="preserve"> </w:t>
      </w:r>
      <m:oMath>
        <m:sSup>
          <m:e>
            <m:r>
              <m:t>D</m:t>
            </m:r>
          </m:e>
          <m:sup>
            <m:r>
              <m:t>2</m:t>
            </m:r>
          </m:sup>
        </m:sSup>
        <m:d>
          <m:dPr>
            <m:begChr m:val="("/>
            <m:sepChr m:val=""/>
            <m:endChr m:val=")"/>
            <m:grow/>
          </m:dPr>
          <m:e>
            <m:r>
              <m:t>v</m:t>
            </m:r>
            <m:r>
              <m:rPr>
                <m:sty m:val="p"/>
              </m:rPr>
              <m:t>∣</m:t>
            </m:r>
            <m:r>
              <m:t>V</m:t>
            </m:r>
          </m:e>
        </m:d>
      </m:oMath>
      <w:r>
        <w:t xml:space="preserve"> </w:t>
      </w:r>
      <w:r>
        <w:t xml:space="preserve">est faible, plus la teneur envoyée au concentrateur est stable d’une journée à l’autre.</w:t>
      </w:r>
    </w:p>
    <w:p>
      <w:pPr>
        <w:pStyle w:val="BodyText"/>
      </w:pPr>
      <w:r>
        <w:t xml:space="preserve">Cette stabilité a une valeur économique. Un concentrateur est réglé pour une teneur d’alimentation donnée ; si celle-ci fluctue, il faut ajuster continuellement le procédé, le rendement se dégrade et l’on perd du métal et de l’argent. L’intérêt de la variance de dispersion est qu’elle permet d’anticiper ces fluctuations et de comparer des stratégies d’exploitation</w:t>
      </w:r>
      <w:r>
        <w:t xml:space="preserve"> </w:t>
      </w:r>
      <w:r>
        <w:rPr>
          <w:b/>
          <w:bCs/>
        </w:rPr>
        <w:t xml:space="preserve">avant</w:t>
      </w:r>
      <w:r>
        <w:t xml:space="preserve"> </w:t>
      </w:r>
      <w:r>
        <w:t xml:space="preserve">de démarrer, à partir du seul variogramme :</w:t>
      </w:r>
    </w:p>
    <w:p>
      <w:pPr>
        <w:pStyle w:val="BodyText"/>
      </w:pPr>
      <m:oMathPara>
        <m:oMathParaPr>
          <m:jc m:val="center"/>
        </m:oMathParaPr>
        <m:oMath>
          <m:r>
            <m:rPr>
              <m:nor/>
              <m:sty m:val="p"/>
            </m:rPr>
            <m:t>variogramme</m:t>
          </m:r>
          <m:r>
            <m:t> </m:t>
          </m:r>
          <m:r>
            <m:rPr>
              <m:sty m:val="p"/>
            </m:rPr>
            <m:t>→</m:t>
          </m:r>
          <m:r>
            <m:t> </m:t>
          </m:r>
          <m:r>
            <m:rPr>
              <m:nor/>
              <m:sty m:val="p"/>
            </m:rPr>
            <m:t>variance de dispersion</m:t>
          </m:r>
          <m:r>
            <m:t> </m:t>
          </m:r>
          <m:r>
            <m:rPr>
              <m:sty m:val="p"/>
            </m:rPr>
            <m:t>→</m:t>
          </m:r>
          <m:r>
            <m:t> </m:t>
          </m:r>
          <m:r>
            <m:rPr>
              <m:nor/>
              <m:sty m:val="p"/>
            </m:rPr>
            <m:t>prévision des fluctuations</m:t>
          </m:r>
          <m:r>
            <m:t> </m:t>
          </m:r>
          <m:r>
            <m:rPr>
              <m:sty m:val="p"/>
            </m:rPr>
            <m:t>→</m:t>
          </m:r>
          <m:r>
            <m:t> </m:t>
          </m:r>
          <m:r>
            <m:rPr>
              <m:nor/>
              <m:sty m:val="p"/>
            </m:rPr>
            <m:t>design de l’exploitation.</m:t>
          </m:r>
        </m:oMath>
      </m:oMathPara>
    </w:p>
    <w:tbl>
      <w:tblPr>
        <w:tblStyle w:val="Table"/>
        <w:tblW w:type="pct" w:w="5000"/>
        <w:tblLayout w:type="fixed"/>
        <w:tblLook w:firstRow="0" w:lastRow="0" w:firstColumn="0" w:lastColumn="0" w:noHBand="0" w:noVBand="0" w:val="0000"/>
      </w:tblPr>
      <w:tblGrid>
        <w:gridCol w:w="7920"/>
      </w:tblGrid>
      <w:tr>
        <w:tc>
          <w:tcPr/>
          <w:bookmarkStart w:id="64" w:name="fig-homogeneite-scenarios"/>
          <w:p>
            <w:pPr>
              <w:pStyle w:val="Compact"/>
              <w:jc w:val="center"/>
            </w:pPr>
            <w:r>
              <w:drawing>
                <wp:inline>
                  <wp:extent cx="4800600" cy="2379464"/>
                  <wp:effectExtent b="0" l="0" r="0" t="0"/>
                  <wp:docPr descr="" title="" id="62" name="Picture"/>
                  <a:graphic>
                    <a:graphicData uri="http://schemas.openxmlformats.org/drawingml/2006/picture">
                      <pic:pic>
                        <pic:nvPicPr>
                          <pic:cNvPr descr="images/C8_Homogeneite_Scenarios.png" id="63" name="Picture"/>
                          <pic:cNvPicPr>
                            <a:picLocks noChangeArrowheads="1" noChangeAspect="1"/>
                          </pic:cNvPicPr>
                        </pic:nvPicPr>
                        <pic:blipFill>
                          <a:blip r:embed="rId61"/>
                          <a:stretch>
                            <a:fillRect/>
                          </a:stretch>
                        </pic:blipFill>
                        <pic:spPr bwMode="auto">
                          <a:xfrm>
                            <a:off x="0" y="0"/>
                            <a:ext cx="4800600" cy="2379464"/>
                          </a:xfrm>
                          <a:prstGeom prst="rect">
                            <a:avLst/>
                          </a:prstGeom>
                          <a:noFill/>
                          <a:ln w="9525">
                            <a:noFill/>
                            <a:headEnd/>
                            <a:tailEnd/>
                          </a:ln>
                        </pic:spPr>
                      </pic:pic>
                    </a:graphicData>
                  </a:graphic>
                </wp:inline>
              </w:drawing>
            </w:r>
          </w:p>
          <w:p>
            <w:pPr>
              <w:jc w:val="center"/>
            </w:pPr>
            <w:pPr>
              <w:jc w:val="left"/>
              <w:spacing w:before="200"/>
              <w:pStyle w:val="ImageCaption"/>
            </w:pPr>
            <w:r>
              <w:t xml:space="preserve">Figure 5: Trois stratégies d’exploitation et l’effet attendu sur la fluctuation de la teneur livrée au concentrateur : une pelle (1), deux pelles indépendantes (2), et pelles avec pile de pré-homogénéisation (3). Plus la stratégie décorrèle et mélange le minerai, plus la teneur dans le temps est stable.</w:t>
            </w:r>
          </w:p>
          <w:bookmarkEnd w:id="64"/>
        </w:tc>
      </w:tr>
    </w:tbl>
    <w:bookmarkStart w:id="73" w:name="X140bb2d010099973df71e23a45c813bbf2b65f8"/>
    <w:p>
      <w:pPr>
        <w:pStyle w:val="Heading3"/>
      </w:pPr>
      <w:r>
        <w:t xml:space="preserve">Exemple : comparer quatre stratégies d’exploitation</w:t>
      </w:r>
    </w:p>
    <w:p>
      <w:pPr>
        <w:pStyle w:val="FirstParagraph"/>
      </w:pPr>
      <w:r>
        <w:t xml:space="preserve">On cherche à minimiser les fluctuations de la teneur</w:t>
      </w:r>
      <w:r>
        <w:t xml:space="preserve"> </w:t>
      </w:r>
      <w:r>
        <w:rPr>
          <w:b/>
          <w:bCs/>
        </w:rPr>
        <w:t xml:space="preserve">quotidienne</w:t>
      </w:r>
      <w:r>
        <w:t xml:space="preserve"> </w:t>
      </w:r>
      <w:r>
        <w:t xml:space="preserve">sur un mois d’exploitation d’un panneau de 90 Kt (</w:t>
      </w:r>
      <m:oMath>
        <m:r>
          <m:t>120</m:t>
        </m:r>
        <m:r>
          <m:rPr>
            <m:sty m:val="p"/>
          </m:rPr>
          <m:t>×</m:t>
        </m:r>
        <m:r>
          <m:t>50</m:t>
        </m:r>
        <m:r>
          <m:rPr>
            <m:sty m:val="p"/>
          </m:rPr>
          <m:t>×</m:t>
        </m:r>
        <m:r>
          <m:t>5</m:t>
        </m:r>
      </m:oMath>
      <w:r>
        <w:t xml:space="preserve"> </w:t>
      </w:r>
      <w:r>
        <w:t xml:space="preserve">m). La production quotidienne est de 3 Kt (</w:t>
      </w:r>
      <m:oMath>
        <m:r>
          <m:t>20</m:t>
        </m:r>
        <m:r>
          <m:rPr>
            <m:sty m:val="p"/>
          </m:rPr>
          <m:t>×</m:t>
        </m:r>
        <m:r>
          <m:t>10</m:t>
        </m:r>
        <m:r>
          <m:rPr>
            <m:sty m:val="p"/>
          </m:rPr>
          <m:t>×</m:t>
        </m:r>
        <m:r>
          <m:t>5</m:t>
        </m:r>
      </m:oMath>
      <w:r>
        <w:t xml:space="preserve"> </w:t>
      </w:r>
      <w:r>
        <w:t xml:space="preserve">m), le banc fait 5 m, et le variogramme est connu : sphérique isotrope, de portée</w:t>
      </w:r>
      <w:r>
        <w:t xml:space="preserve"> </w:t>
      </w:r>
      <m:oMath>
        <m:sSub>
          <m:e>
            <m:r>
              <m:t>a</m:t>
            </m:r>
          </m:e>
          <m:sub>
            <m:r>
              <m:t>x</m:t>
            </m:r>
          </m:sub>
        </m:sSub>
        <m:r>
          <m:rPr>
            <m:sty m:val="p"/>
          </m:rPr>
          <m:t>=</m:t>
        </m:r>
        <m:sSub>
          <m:e>
            <m:r>
              <m:t>a</m:t>
            </m:r>
          </m:e>
          <m:sub>
            <m:r>
              <m:t>y</m:t>
            </m:r>
          </m:sub>
        </m:sSub>
        <m:r>
          <m:rPr>
            <m:sty m:val="p"/>
          </m:rPr>
          <m:t>=</m:t>
        </m:r>
        <m:r>
          <m:t>50</m:t>
        </m:r>
      </m:oMath>
      <w:r>
        <w:t xml:space="preserve"> </w:t>
      </w:r>
      <w:r>
        <w:t xml:space="preserve">m et de palier</w:t>
      </w:r>
      <w:r>
        <w:t xml:space="preserve"> </w:t>
      </w:r>
      <m:oMath>
        <m:r>
          <m:t>C</m:t>
        </m:r>
        <m:r>
          <m:rPr>
            <m:sty m:val="p"/>
          </m:rPr>
          <m:t>=</m:t>
        </m:r>
        <m:r>
          <m:t>5</m:t>
        </m:r>
        <m:r>
          <m:t> </m:t>
        </m:r>
        <m:sSup>
          <m:e>
            <m:r>
              <m:rPr>
                <m:sty m:val="p"/>
              </m:rPr>
              <m:t>%</m:t>
            </m:r>
          </m:e>
          <m:sup>
            <m:r>
              <m:t>2</m:t>
            </m:r>
          </m:sup>
        </m:sSup>
      </m:oMath>
      <w:r>
        <w:t xml:space="preserve">.</w:t>
      </w:r>
    </w:p>
    <w:p>
      <w:pPr>
        <w:pStyle w:val="BodyText"/>
      </w:pPr>
      <w:r>
        <w:t xml:space="preserve">On compare quatre stratégies : (1) une seule pelle, (2) deux pelles indépendantes, (3) une pile d’homogénéisation de 15 Kt, (4) une pile d’homogénéisation de 90 Kt.</w:t>
      </w:r>
    </w:p>
    <w:p>
      <w:pPr>
        <w:pStyle w:val="BodyText"/>
      </w:pPr>
      <w:r>
        <w:t xml:space="preserve">Dans chaque cas, on évalue la variance de dispersion du bloc quotidien</w:t>
      </w:r>
      <w:r>
        <w:t xml:space="preserve"> </w:t>
      </w:r>
      <m:oMath>
        <m:r>
          <m:t>v</m:t>
        </m:r>
      </m:oMath>
      <w:r>
        <w:t xml:space="preserve"> </w:t>
      </w:r>
      <w:r>
        <w:t xml:space="preserve">dans le panneau mensuel</w:t>
      </w:r>
      <w:r>
        <w:t xml:space="preserve"> </w:t>
      </w:r>
      <m:oMath>
        <m:r>
          <m:t>V</m:t>
        </m:r>
      </m:oMath>
      <w:r>
        <w:t xml:space="preserve">,</w:t>
      </w:r>
    </w:p>
    <w:p>
      <w:pPr>
        <w:pStyle w:val="BodyText"/>
      </w:pPr>
      <m:oMathPara>
        <m:oMathParaPr>
          <m:jc m:val="center"/>
        </m:oMathParaPr>
        <m:oMath>
          <m:sSup>
            <m:e>
              <m:r>
                <m:t>D</m:t>
              </m:r>
            </m:e>
            <m:sup>
              <m:r>
                <m:t>2</m:t>
              </m:r>
            </m:sup>
          </m:sSup>
          <m:d>
            <m:dPr>
              <m:begChr m:val="("/>
              <m:sepChr m:val=""/>
              <m:endChr m:val=")"/>
              <m:grow/>
            </m:dPr>
            <m:e>
              <m:r>
                <m:t>v</m:t>
              </m:r>
              <m:r>
                <m:rPr>
                  <m:sty m:val="p"/>
                </m:rPr>
                <m:t>∣</m:t>
              </m:r>
              <m:r>
                <m:t>V</m:t>
              </m:r>
            </m:e>
          </m:d>
          <m:r>
            <m:rPr>
              <m:sty m:val="p"/>
            </m:rPr>
            <m:t>=</m:t>
          </m:r>
          <m:sSubSup>
            <m:e>
              <m:r>
                <m:t>σ</m:t>
              </m:r>
            </m:e>
            <m:sub>
              <m:r>
                <m:t>v</m:t>
              </m:r>
            </m:sub>
            <m:sup>
              <m:r>
                <m:t>2</m:t>
              </m:r>
            </m:sup>
          </m:sSubSup>
          <m:r>
            <m:rPr>
              <m:sty m:val="p"/>
            </m:rPr>
            <m:t>−</m:t>
          </m:r>
          <m:sSubSup>
            <m:e>
              <m:r>
                <m:t>σ</m:t>
              </m:r>
            </m:e>
            <m:sub>
              <m:r>
                <m:t>V</m:t>
              </m:r>
            </m:sub>
            <m:sup>
              <m:r>
                <m:t>2</m:t>
              </m:r>
            </m:sup>
          </m:sSubSup>
          <m:r>
            <m:rPr>
              <m:sty m:val="p"/>
            </m:rPr>
            <m:t>=</m:t>
          </m:r>
          <m:r>
            <m:t>C</m:t>
          </m:r>
          <m:r>
            <m:t> </m:t>
          </m:r>
          <m:d>
            <m:dPr>
              <m:begChr m:val="["/>
              <m:sepChr m:val=""/>
              <m:endChr m:val="]"/>
              <m:grow/>
            </m:dPr>
            <m:e>
              <m:r>
                <m:t> </m:t>
              </m:r>
              <m:r>
                <m:t>F</m:t>
              </m:r>
              <m:d>
                <m:dPr>
                  <m:begChr m:val="("/>
                  <m:sepChr m:val=""/>
                  <m:endChr m:val=")"/>
                  <m:grow/>
                </m:dPr>
                <m:e>
                  <m:r>
                    <m:t>V</m:t>
                  </m:r>
                </m:e>
              </m:d>
              <m:r>
                <m:rPr>
                  <m:sty m:val="p"/>
                </m:rPr>
                <m:t>−</m:t>
              </m:r>
              <m:r>
                <m:t>F</m:t>
              </m:r>
              <m:d>
                <m:dPr>
                  <m:begChr m:val="("/>
                  <m:sepChr m:val=""/>
                  <m:endChr m:val=")"/>
                  <m:grow/>
                </m:dPr>
                <m:e>
                  <m:r>
                    <m:t>v</m:t>
                  </m:r>
                </m:e>
              </m:d>
              <m:r>
                <m:t> </m:t>
              </m:r>
            </m:e>
          </m:d>
          <m:r>
            <m:rPr>
              <m:sty m:val="p"/>
            </m:rPr>
            <m:t>,</m:t>
          </m:r>
        </m:oMath>
      </m:oMathPara>
    </w:p>
    <w:p>
      <w:pPr>
        <w:pStyle w:val="FirstParagraph"/>
      </w:pPr>
      <w:r>
        <w:t xml:space="preserve">où</w:t>
      </w:r>
      <w:r>
        <w:t xml:space="preserve"> </w:t>
      </w:r>
      <m:oMath>
        <m:r>
          <m:t>F</m:t>
        </m:r>
        <m:d>
          <m:dPr>
            <m:begChr m:val="("/>
            <m:sepChr m:val=""/>
            <m:endChr m:val=")"/>
            <m:grow/>
          </m:dPr>
          <m:e>
            <m:r>
              <m:rPr>
                <m:sty m:val="p"/>
              </m:rPr>
              <m:t>⋅</m:t>
            </m:r>
          </m:e>
        </m:d>
      </m:oMath>
      <w:r>
        <w:t xml:space="preserve"> </w:t>
      </w:r>
      <w:r>
        <w:t xml:space="preserve">est la fonction auxiliaire du modèle sphérique — la valeur standardisée</w:t>
      </w:r>
      <w:r>
        <w:t xml:space="preserve"> </w:t>
      </w:r>
      <m:oMath>
        <m:acc>
          <m:accPr>
            <m:chr m:val="‾"/>
          </m:accPr>
          <m:e>
            <m:r>
              <m:t>γ</m:t>
            </m:r>
          </m:e>
        </m:acc>
        <m:r>
          <m:rPr>
            <m:sty m:val="p"/>
          </m:rPr>
          <m:t>/</m:t>
        </m:r>
        <m:r>
          <m:t>C</m:t>
        </m:r>
      </m:oMath>
      <w:r>
        <w:t xml:space="preserve"> </w:t>
      </w:r>
      <w:r>
        <w:t xml:space="preserve">du variogramme moyen sur un support, lue sur l’abaque en fonction des dimensions du support rapportées à la portée.</w:t>
      </w:r>
    </w:p>
    <w:bookmarkStart w:id="65" w:name="scénario-1-une-pelle"/>
    <w:p>
      <w:pPr>
        <w:pStyle w:val="Heading4"/>
      </w:pPr>
      <w:r>
        <w:t xml:space="preserve">Scénario 1 — une pelle</w:t>
      </w:r>
    </w:p>
    <w:p>
      <w:pPr>
        <w:pStyle w:val="FirstParagraph"/>
      </w:pPr>
      <w:r>
        <w:t xml:space="preserve">Toute la production d’une journée provient d’un même bloc</w:t>
      </w:r>
      <w:r>
        <w:t xml:space="preserve"> </w:t>
      </w:r>
      <m:oMath>
        <m:r>
          <m:t>v</m:t>
        </m:r>
        <m:r>
          <m:rPr>
            <m:sty m:val="p"/>
          </m:rPr>
          <m:t>=</m:t>
        </m:r>
        <m:r>
          <m:t>20</m:t>
        </m:r>
        <m:r>
          <m:rPr>
            <m:sty m:val="p"/>
          </m:rPr>
          <m:t>×</m:t>
        </m:r>
        <m:r>
          <m:t>10</m:t>
        </m:r>
        <m:r>
          <m:rPr>
            <m:sty m:val="p"/>
          </m:rPr>
          <m:t>×</m:t>
        </m:r>
        <m:r>
          <m:t>5</m:t>
        </m:r>
      </m:oMath>
      <w:r>
        <w:t xml:space="preserve">. On lit sur l’abaque</w:t>
      </w:r>
      <w:r>
        <w:t xml:space="preserve"> </w:t>
      </w:r>
      <m:oMath>
        <m:r>
          <m:t>F</m:t>
        </m:r>
        <m:d>
          <m:dPr>
            <m:begChr m:val="("/>
            <m:sepChr m:val=""/>
            <m:endChr m:val=")"/>
            <m:grow/>
          </m:dPr>
          <m:e>
            <m:r>
              <m:t>120</m:t>
            </m:r>
            <m:r>
              <m:rPr>
                <m:sty m:val="p"/>
              </m:rPr>
              <m:t>/</m:t>
            </m:r>
            <m:r>
              <m:t>50</m:t>
            </m:r>
            <m:r>
              <m:rPr>
                <m:sty m:val="p"/>
              </m:rPr>
              <m:t>,</m:t>
            </m:r>
            <m:r>
              <m:t> </m:t>
            </m:r>
            <m:r>
              <m:t>50</m:t>
            </m:r>
            <m:r>
              <m:rPr>
                <m:sty m:val="p"/>
              </m:rPr>
              <m:t>/</m:t>
            </m:r>
            <m:r>
              <m:t>50</m:t>
            </m:r>
          </m:e>
        </m:d>
        <m:r>
          <m:rPr>
            <m:sty m:val="p"/>
          </m:rPr>
          <m:t>=</m:t>
        </m:r>
        <m:r>
          <m:t>0</m:t>
        </m:r>
        <m:r>
          <m:rPr>
            <m:sty m:val="p"/>
          </m:rPr>
          <m:t>,</m:t>
        </m:r>
        <m:r>
          <m:t>83</m:t>
        </m:r>
      </m:oMath>
      <w:r>
        <w:t xml:space="preserve"> </w:t>
      </w:r>
      <w:r>
        <w:t xml:space="preserve">pour le panneau mensuel et</w:t>
      </w:r>
      <w:r>
        <w:t xml:space="preserve"> </w:t>
      </w:r>
      <m:oMath>
        <m:r>
          <m:t>F</m:t>
        </m:r>
        <m:d>
          <m:dPr>
            <m:begChr m:val="("/>
            <m:sepChr m:val=""/>
            <m:endChr m:val=")"/>
            <m:grow/>
          </m:dPr>
          <m:e>
            <m:r>
              <m:t>20</m:t>
            </m:r>
            <m:r>
              <m:rPr>
                <m:sty m:val="p"/>
              </m:rPr>
              <m:t>/</m:t>
            </m:r>
            <m:r>
              <m:t>50</m:t>
            </m:r>
            <m:r>
              <m:rPr>
                <m:sty m:val="p"/>
              </m:rPr>
              <m:t>,</m:t>
            </m:r>
            <m:r>
              <m:t> </m:t>
            </m:r>
            <m:r>
              <m:t>10</m:t>
            </m:r>
            <m:r>
              <m:rPr>
                <m:sty m:val="p"/>
              </m:rPr>
              <m:t>/</m:t>
            </m:r>
            <m:r>
              <m:t>50</m:t>
            </m:r>
          </m:e>
        </m:d>
        <m:r>
          <m:rPr>
            <m:sty m:val="p"/>
          </m:rPr>
          <m:t>=</m:t>
        </m:r>
        <m:r>
          <m:t>0</m:t>
        </m:r>
        <m:r>
          <m:rPr>
            <m:sty m:val="p"/>
          </m:rPr>
          <m:t>,</m:t>
        </m:r>
        <m:r>
          <m:t>24</m:t>
        </m:r>
      </m:oMath>
      <w:r>
        <w:t xml:space="preserve"> </w:t>
      </w:r>
      <w:r>
        <w:t xml:space="preserve">pour le bloc quotidien :</w:t>
      </w:r>
    </w:p>
    <w:p>
      <w:pPr>
        <w:pStyle w:val="BodyText"/>
      </w:pPr>
      <m:oMathPara>
        <m:oMathParaPr>
          <m:jc m:val="center"/>
        </m:oMathParaPr>
        <m:oMath>
          <m:sSup>
            <m:e>
              <m:r>
                <m:t>D</m:t>
              </m:r>
            </m:e>
            <m:sup>
              <m:r>
                <m:t>2</m:t>
              </m:r>
            </m:sup>
          </m:sSup>
          <m:d>
            <m:dPr>
              <m:begChr m:val="("/>
              <m:sepChr m:val=""/>
              <m:endChr m:val=")"/>
              <m:grow/>
            </m:dPr>
            <m:e>
              <m:r>
                <m:t>v</m:t>
              </m:r>
              <m:r>
                <m:rPr>
                  <m:sty m:val="p"/>
                </m:rPr>
                <m:t>∣</m:t>
              </m:r>
              <m:r>
                <m:t>V</m:t>
              </m:r>
            </m:e>
          </m:d>
          <m:r>
            <m:rPr>
              <m:sty m:val="p"/>
            </m:rPr>
            <m:t>=</m:t>
          </m:r>
          <m:r>
            <m:t>5</m:t>
          </m:r>
          <m:r>
            <m:t> </m:t>
          </m:r>
          <m:sSup>
            <m:e>
              <m:r>
                <m:rPr>
                  <m:sty m:val="p"/>
                </m:rPr>
                <m:t>%</m:t>
              </m:r>
            </m:e>
            <m:sup>
              <m:r>
                <m:t>2</m:t>
              </m:r>
            </m:sup>
          </m:sSup>
          <m:r>
            <m:rPr>
              <m:sty m:val="p"/>
            </m:rPr>
            <m:t>×</m:t>
          </m:r>
          <m:d>
            <m:dPr>
              <m:begChr m:val="("/>
              <m:sepChr m:val=""/>
              <m:endChr m:val=")"/>
              <m:grow/>
            </m:dPr>
            <m:e>
              <m:r>
                <m:t>0</m:t>
              </m:r>
              <m:r>
                <m:rPr>
                  <m:sty m:val="p"/>
                </m:rPr>
                <m:t>,</m:t>
              </m:r>
              <m:r>
                <m:t>83</m:t>
              </m:r>
              <m:r>
                <m:rPr>
                  <m:sty m:val="p"/>
                </m:rPr>
                <m:t>−</m:t>
              </m:r>
              <m:r>
                <m:t>0</m:t>
              </m:r>
              <m:r>
                <m:rPr>
                  <m:sty m:val="p"/>
                </m:rPr>
                <m:t>,</m:t>
              </m:r>
              <m:r>
                <m:t>24</m:t>
              </m:r>
            </m:e>
          </m:d>
          <m:r>
            <m:rPr>
              <m:sty m:val="p"/>
            </m:rPr>
            <m:t>=</m:t>
          </m:r>
          <m:r>
            <m:t>2</m:t>
          </m:r>
          <m:r>
            <m:rPr>
              <m:sty m:val="p"/>
            </m:rPr>
            <m:t>,</m:t>
          </m:r>
          <m:r>
            <m:t>95</m:t>
          </m:r>
          <m:r>
            <m:t> </m:t>
          </m:r>
          <m:sSup>
            <m:e>
              <m:r>
                <m:rPr>
                  <m:sty m:val="p"/>
                </m:rPr>
                <m:t>%</m:t>
              </m:r>
            </m:e>
            <m:sup>
              <m:r>
                <m:t>2</m:t>
              </m:r>
            </m:sup>
          </m:sSup>
          <m:r>
            <m:rPr>
              <m:sty m:val="p"/>
            </m:rPr>
            <m:t>.</m:t>
          </m:r>
        </m:oMath>
      </m:oMathPara>
    </w:p>
    <w:bookmarkEnd w:id="65"/>
    <w:bookmarkStart w:id="66" w:name="scénario-2-deux-pelles-indépendantes"/>
    <w:p>
      <w:pPr>
        <w:pStyle w:val="Heading4"/>
      </w:pPr>
      <w:r>
        <w:t xml:space="preserve">Scénario 2 — deux pelles indépendantes</w:t>
      </w:r>
    </w:p>
    <w:p>
      <w:pPr>
        <w:pStyle w:val="FirstParagraph"/>
      </w:pPr>
      <w:r>
        <w:t xml:space="preserve">La production quotidienne est maintenant partagée entre deux pelles distantes de 60 m, chacune extrayant un demi-bloc</w:t>
      </w:r>
      <w:r>
        <w:t xml:space="preserve"> </w:t>
      </w:r>
      <m:oMath>
        <m:sSub>
          <m:e>
            <m:r>
              <m:t>v</m:t>
            </m:r>
          </m:e>
          <m:sub>
            <m:r>
              <m:t>1</m:t>
            </m:r>
          </m:sub>
        </m:sSub>
        <m:r>
          <m:rPr>
            <m:sty m:val="p"/>
          </m:rPr>
          <m:t>=</m:t>
        </m:r>
        <m:sSub>
          <m:e>
            <m:r>
              <m:t>v</m:t>
            </m:r>
          </m:e>
          <m:sub>
            <m:r>
              <m:t>2</m:t>
            </m:r>
          </m:sub>
        </m:sSub>
        <m:r>
          <m:rPr>
            <m:sty m:val="p"/>
          </m:rPr>
          <m:t>=</m:t>
        </m:r>
        <m:r>
          <m:t>10</m:t>
        </m:r>
        <m:r>
          <m:rPr>
            <m:sty m:val="p"/>
          </m:rPr>
          <m:t>×</m:t>
        </m:r>
        <m:r>
          <m:t>10</m:t>
        </m:r>
        <m:r>
          <m:rPr>
            <m:sty m:val="p"/>
          </m:rPr>
          <m:t>×</m:t>
        </m:r>
        <m:r>
          <m:t>5</m:t>
        </m:r>
      </m:oMath>
      <w:r>
        <w:t xml:space="preserve"> </w:t>
      </w:r>
      <w:r>
        <w:t xml:space="preserve">(1,5 Kt) dans sa propre zone</w:t>
      </w:r>
      <w:r>
        <w:t xml:space="preserve"> </w:t>
      </w:r>
      <m:oMath>
        <m:sSub>
          <m:e>
            <m:r>
              <m:t>V</m:t>
            </m:r>
          </m:e>
          <m:sub>
            <m:r>
              <m:t>1</m:t>
            </m:r>
          </m:sub>
        </m:sSub>
        <m:r>
          <m:rPr>
            <m:sty m:val="p"/>
          </m:rPr>
          <m:t>=</m:t>
        </m:r>
        <m:sSub>
          <m:e>
            <m:r>
              <m:t>V</m:t>
            </m:r>
          </m:e>
          <m:sub>
            <m:r>
              <m:t>2</m:t>
            </m:r>
          </m:sub>
        </m:sSub>
        <m:r>
          <m:rPr>
            <m:sty m:val="p"/>
          </m:rPr>
          <m:t>=</m:t>
        </m:r>
        <m:r>
          <m:t>60</m:t>
        </m:r>
        <m:r>
          <m:rPr>
            <m:sty m:val="p"/>
          </m:rPr>
          <m:t>×</m:t>
        </m:r>
        <m:r>
          <m:t>50</m:t>
        </m:r>
        <m:r>
          <m:rPr>
            <m:sty m:val="p"/>
          </m:rPr>
          <m:t>×</m:t>
        </m:r>
        <m:r>
          <m:t>5</m:t>
        </m:r>
      </m:oMath>
      <w:r>
        <w:t xml:space="preserve"> </w:t>
      </w:r>
      <w:r>
        <w:t xml:space="preserve">(45 Kt). La teneur quotidienne est la moyenne des deux pelles,</w:t>
      </w:r>
      <w:r>
        <w:t xml:space="preserve"> </w:t>
      </w:r>
      <m:oMath>
        <m:r>
          <m:t>Z</m:t>
        </m:r>
        <m:d>
          <m:dPr>
            <m:begChr m:val="("/>
            <m:sepChr m:val=""/>
            <m:endChr m:val=")"/>
            <m:grow/>
          </m:dPr>
          <m:e>
            <m:r>
              <m:t>v</m:t>
            </m:r>
          </m:e>
        </m:d>
        <m:r>
          <m:rPr>
            <m:sty m:val="p"/>
          </m:rPr>
          <m:t>=</m:t>
        </m:r>
        <m:f>
          <m:fPr>
            <m:type m:val="lin"/>
          </m:fPr>
          <m:num>
            <m:r>
              <m:t>1</m:t>
            </m:r>
          </m:num>
          <m:den>
            <m:r>
              <m:t>2</m:t>
            </m:r>
          </m:den>
        </m:f>
        <m:d>
          <m:dPr>
            <m:begChr m:val="("/>
            <m:sepChr m:val=""/>
            <m:endChr m:val=")"/>
            <m:grow/>
          </m:dPr>
          <m:e>
            <m:r>
              <m:t>Z</m:t>
            </m:r>
            <m:d>
              <m:dPr>
                <m:begChr m:val="("/>
                <m:sepChr m:val=""/>
                <m:endChr m:val=")"/>
                <m:grow/>
              </m:dPr>
              <m:e>
                <m:sSub>
                  <m:e>
                    <m:r>
                      <m:t>v</m:t>
                    </m:r>
                  </m:e>
                  <m:sub>
                    <m:r>
                      <m:t>1</m:t>
                    </m:r>
                  </m:sub>
                </m:sSub>
              </m:e>
            </m:d>
            <m:r>
              <m:rPr>
                <m:sty m:val="p"/>
              </m:rPr>
              <m:t>+</m:t>
            </m:r>
            <m:r>
              <m:t>Z</m:t>
            </m:r>
            <m:d>
              <m:dPr>
                <m:begChr m:val="("/>
                <m:sepChr m:val=""/>
                <m:endChr m:val=")"/>
                <m:grow/>
              </m:dPr>
              <m:e>
                <m:sSub>
                  <m:e>
                    <m:r>
                      <m:t>v</m:t>
                    </m:r>
                  </m:e>
                  <m:sub>
                    <m:r>
                      <m:t>2</m:t>
                    </m:r>
                  </m:sub>
                </m:sSub>
              </m:e>
            </m:d>
          </m:e>
        </m:d>
      </m:oMath>
      <w:r>
        <w:t xml:space="preserve">, d’où</w:t>
      </w:r>
    </w:p>
    <w:p>
      <w:pPr>
        <w:pStyle w:val="BodyText"/>
      </w:pPr>
      <m:oMathPara>
        <m:oMathParaPr>
          <m:jc m:val="center"/>
        </m:oMathParaPr>
        <m:oMath>
          <m:r>
            <m:rPr>
              <m:sty m:val="p"/>
            </m:rPr>
            <m:t>Var</m:t>
          </m:r>
          <m:r>
            <m:t>​</m:t>
          </m:r>
          <m:d>
            <m:dPr>
              <m:begChr m:val="("/>
              <m:sepChr m:val=""/>
              <m:endChr m:val=")"/>
              <m:grow/>
            </m:dPr>
            <m:e>
              <m:r>
                <m:t>Z</m:t>
              </m:r>
              <m:d>
                <m:dPr>
                  <m:begChr m:val="("/>
                  <m:sepChr m:val=""/>
                  <m:endChr m:val=")"/>
                  <m:grow/>
                </m:dPr>
                <m:e>
                  <m:r>
                    <m:t>v</m:t>
                  </m:r>
                </m:e>
              </m:d>
            </m:e>
          </m:d>
          <m:r>
            <m:rPr>
              <m:sty m:val="p"/>
            </m:rPr>
            <m:t>=</m:t>
          </m:r>
          <m:f>
            <m:fPr>
              <m:type m:val="lin"/>
            </m:fPr>
            <m:num>
              <m:r>
                <m:t>1</m:t>
              </m:r>
            </m:num>
            <m:den>
              <m:r>
                <m:t>4</m:t>
              </m:r>
            </m:den>
          </m:f>
          <m:d>
            <m:dPr>
              <m:begChr m:val="("/>
              <m:sepChr m:val=""/>
              <m:endChr m:val=")"/>
              <m:grow/>
            </m:dPr>
            <m:e>
              <m:r>
                <m:rPr>
                  <m:sty m:val="p"/>
                </m:rPr>
                <m:t>Var</m:t>
              </m:r>
              <m:r>
                <m:t>​</m:t>
              </m:r>
              <m:d>
                <m:dPr>
                  <m:begChr m:val="("/>
                  <m:sepChr m:val=""/>
                  <m:endChr m:val=")"/>
                  <m:grow/>
                </m:dPr>
                <m:e>
                  <m:r>
                    <m:t>Z</m:t>
                  </m:r>
                  <m:d>
                    <m:dPr>
                      <m:begChr m:val="("/>
                      <m:sepChr m:val=""/>
                      <m:endChr m:val=")"/>
                      <m:grow/>
                    </m:dPr>
                    <m:e>
                      <m:sSub>
                        <m:e>
                          <m:r>
                            <m:t>v</m:t>
                          </m:r>
                        </m:e>
                        <m:sub>
                          <m:r>
                            <m:t>1</m:t>
                          </m:r>
                        </m:sub>
                      </m:sSub>
                    </m:e>
                  </m:d>
                </m:e>
              </m:d>
              <m:r>
                <m:rPr>
                  <m:sty m:val="p"/>
                </m:rPr>
                <m:t>+</m:t>
              </m:r>
              <m:r>
                <m:rPr>
                  <m:sty m:val="p"/>
                </m:rPr>
                <m:t>Var</m:t>
              </m:r>
              <m:r>
                <m:t>​</m:t>
              </m:r>
              <m:d>
                <m:dPr>
                  <m:begChr m:val="("/>
                  <m:sepChr m:val=""/>
                  <m:endChr m:val=")"/>
                  <m:grow/>
                </m:dPr>
                <m:e>
                  <m:r>
                    <m:t>Z</m:t>
                  </m:r>
                  <m:d>
                    <m:dPr>
                      <m:begChr m:val="("/>
                      <m:sepChr m:val=""/>
                      <m:endChr m:val=")"/>
                      <m:grow/>
                    </m:dPr>
                    <m:e>
                      <m:sSub>
                        <m:e>
                          <m:r>
                            <m:t>v</m:t>
                          </m:r>
                        </m:e>
                        <m:sub>
                          <m:r>
                            <m:t>2</m:t>
                          </m:r>
                        </m:sub>
                      </m:sSub>
                    </m:e>
                  </m:d>
                </m:e>
              </m:d>
              <m:r>
                <m:rPr>
                  <m:sty m:val="p"/>
                </m:rPr>
                <m:t>+</m:t>
              </m:r>
              <m:r>
                <m:t>2</m:t>
              </m:r>
              <m:r>
                <m:rPr>
                  <m:sty m:val="p"/>
                </m:rPr>
                <m:t>Cov</m:t>
              </m:r>
              <m:r>
                <m:t>​</m:t>
              </m:r>
              <m:d>
                <m:dPr>
                  <m:begChr m:val="("/>
                  <m:sepChr m:val=""/>
                  <m:endChr m:val=")"/>
                  <m:grow/>
                </m:dPr>
                <m:e>
                  <m:r>
                    <m:t>Z</m:t>
                  </m:r>
                  <m:d>
                    <m:dPr>
                      <m:begChr m:val="("/>
                      <m:sepChr m:val=""/>
                      <m:endChr m:val=")"/>
                      <m:grow/>
                    </m:dPr>
                    <m:e>
                      <m:sSub>
                        <m:e>
                          <m:r>
                            <m:t>v</m:t>
                          </m:r>
                        </m:e>
                        <m:sub>
                          <m:r>
                            <m:t>1</m:t>
                          </m:r>
                        </m:sub>
                      </m:sSub>
                    </m:e>
                  </m:d>
                  <m:r>
                    <m:rPr>
                      <m:sty m:val="p"/>
                    </m:rPr>
                    <m:t>,</m:t>
                  </m:r>
                  <m:r>
                    <m:t>Z</m:t>
                  </m:r>
                  <m:d>
                    <m:dPr>
                      <m:begChr m:val="("/>
                      <m:sepChr m:val=""/>
                      <m:endChr m:val=")"/>
                      <m:grow/>
                    </m:dPr>
                    <m:e>
                      <m:sSub>
                        <m:e>
                          <m:r>
                            <m:t>v</m:t>
                          </m:r>
                        </m:e>
                        <m:sub>
                          <m:r>
                            <m:t>2</m:t>
                          </m:r>
                        </m:sub>
                      </m:sSub>
                    </m:e>
                  </m:d>
                </m:e>
              </m:d>
            </m:e>
          </m:d>
          <m:r>
            <m:rPr>
              <m:sty m:val="p"/>
            </m:rPr>
            <m:t>.</m:t>
          </m:r>
        </m:oMath>
      </m:oMathPara>
    </w:p>
    <w:p>
      <w:pPr>
        <w:pStyle w:val="FirstParagraph"/>
      </w:pPr>
      <w:r>
        <w:t xml:space="preserve">Les deux pelles étant séparées de 60 m, soit plus que la portée de 50 m, leurs teneurs sont décorrélées :</w:t>
      </w:r>
      <w:r>
        <w:t xml:space="preserve"> </w:t>
      </w:r>
      <m:oMath>
        <m:r>
          <m:rPr>
            <m:sty m:val="p"/>
          </m:rPr>
          <m:t>Cov</m:t>
        </m:r>
        <m:r>
          <m:t>​</m:t>
        </m:r>
        <m:d>
          <m:dPr>
            <m:begChr m:val="("/>
            <m:sepChr m:val=""/>
            <m:endChr m:val=")"/>
            <m:grow/>
          </m:dPr>
          <m:e>
            <m:r>
              <m:t>Z</m:t>
            </m:r>
            <m:d>
              <m:dPr>
                <m:begChr m:val="("/>
                <m:sepChr m:val=""/>
                <m:endChr m:val=")"/>
                <m:grow/>
              </m:dPr>
              <m:e>
                <m:sSub>
                  <m:e>
                    <m:r>
                      <m:t>v</m:t>
                    </m:r>
                  </m:e>
                  <m:sub>
                    <m:r>
                      <m:t>1</m:t>
                    </m:r>
                  </m:sub>
                </m:sSub>
              </m:e>
            </m:d>
            <m:r>
              <m:rPr>
                <m:sty m:val="p"/>
              </m:rPr>
              <m:t>,</m:t>
            </m:r>
            <m:r>
              <m:t>Z</m:t>
            </m:r>
            <m:d>
              <m:dPr>
                <m:begChr m:val="("/>
                <m:sepChr m:val=""/>
                <m:endChr m:val=")"/>
                <m:grow/>
              </m:dPr>
              <m:e>
                <m:sSub>
                  <m:e>
                    <m:r>
                      <m:t>v</m:t>
                    </m:r>
                  </m:e>
                  <m:sub>
                    <m:r>
                      <m:t>2</m:t>
                    </m:r>
                  </m:sub>
                </m:sSub>
              </m:e>
            </m:d>
          </m:e>
        </m:d>
        <m:r>
          <m:rPr>
            <m:sty m:val="p"/>
          </m:rPr>
          <m:t>=</m:t>
        </m:r>
        <m:r>
          <m:t>0</m:t>
        </m:r>
      </m:oMath>
      <w:r>
        <w:t xml:space="preserve">. Comme les deux blocs ont la même variance, il reste</w:t>
      </w:r>
      <w:r>
        <w:t xml:space="preserve"> </w:t>
      </w:r>
      <m:oMath>
        <m:r>
          <m:rPr>
            <m:sty m:val="p"/>
          </m:rPr>
          <m:t>Var</m:t>
        </m:r>
        <m:r>
          <m:t>​</m:t>
        </m:r>
        <m:d>
          <m:dPr>
            <m:begChr m:val="("/>
            <m:sepChr m:val=""/>
            <m:endChr m:val=")"/>
            <m:grow/>
          </m:dPr>
          <m:e>
            <m:r>
              <m:t>Z</m:t>
            </m:r>
            <m:d>
              <m:dPr>
                <m:begChr m:val="("/>
                <m:sepChr m:val=""/>
                <m:endChr m:val=")"/>
                <m:grow/>
              </m:dPr>
              <m:e>
                <m:r>
                  <m:t>v</m:t>
                </m:r>
              </m:e>
            </m:d>
          </m:e>
        </m:d>
        <m:r>
          <m:rPr>
            <m:sty m:val="p"/>
          </m:rPr>
          <m:t>=</m:t>
        </m:r>
        <m:f>
          <m:fPr>
            <m:type m:val="lin"/>
          </m:fPr>
          <m:num>
            <m:r>
              <m:t>1</m:t>
            </m:r>
          </m:num>
          <m:den>
            <m:r>
              <m:t>2</m:t>
            </m:r>
          </m:den>
        </m:f>
        <m:r>
          <m:rPr>
            <m:sty m:val="p"/>
          </m:rPr>
          <m:t>Var</m:t>
        </m:r>
        <m:r>
          <m:t>​</m:t>
        </m:r>
        <m:d>
          <m:dPr>
            <m:begChr m:val="("/>
            <m:sepChr m:val=""/>
            <m:endChr m:val=")"/>
            <m:grow/>
          </m:dPr>
          <m:e>
            <m:r>
              <m:t>Z</m:t>
            </m:r>
            <m:d>
              <m:dPr>
                <m:begChr m:val="("/>
                <m:sepChr m:val=""/>
                <m:endChr m:val=")"/>
                <m:grow/>
              </m:dPr>
              <m:e>
                <m:sSub>
                  <m:e>
                    <m:r>
                      <m:t>v</m:t>
                    </m:r>
                  </m:e>
                  <m:sub>
                    <m:r>
                      <m:t>1</m:t>
                    </m:r>
                  </m:sub>
                </m:sSub>
              </m:e>
            </m:d>
          </m:e>
        </m:d>
      </m:oMath>
      <w:r>
        <w:t xml:space="preserve"> </w:t>
      </w:r>
      <w:r>
        <w:t xml:space="preserve">: moyenner deux teneurs indépendantes réduit de moitié la variance du bloc quotidien. La dispersion se calcule alors sur la zone propre à une pelle (</w:t>
      </w:r>
      <m:oMath>
        <m:sSub>
          <m:e>
            <m:r>
              <m:t>V</m:t>
            </m:r>
          </m:e>
          <m:sub>
            <m:r>
              <m:t>1</m:t>
            </m:r>
          </m:sub>
        </m:sSub>
        <m:r>
          <m:rPr>
            <m:sty m:val="p"/>
          </m:rPr>
          <m:t>=</m:t>
        </m:r>
        <m:r>
          <m:t>60</m:t>
        </m:r>
        <m:r>
          <m:rPr>
            <m:sty m:val="p"/>
          </m:rPr>
          <m:t>×</m:t>
        </m:r>
        <m:r>
          <m:t>50</m:t>
        </m:r>
        <m:r>
          <m:rPr>
            <m:sty m:val="p"/>
          </m:rPr>
          <m:t>×</m:t>
        </m:r>
        <m:r>
          <m:t>5</m:t>
        </m:r>
      </m:oMath>
      <w:r>
        <w:t xml:space="preserve">) :</w:t>
      </w:r>
    </w:p>
    <w:p>
      <w:pPr>
        <w:pStyle w:val="BodyText"/>
      </w:pPr>
      <m:oMathPara>
        <m:oMathParaPr>
          <m:jc m:val="center"/>
        </m:oMathParaPr>
        <m:oMath>
          <m:sSup>
            <m:e>
              <m:r>
                <m:t>D</m:t>
              </m:r>
            </m:e>
            <m:sup>
              <m:r>
                <m:t>2</m:t>
              </m:r>
            </m:sup>
          </m:sSup>
          <m:d>
            <m:dPr>
              <m:begChr m:val="("/>
              <m:sepChr m:val=""/>
              <m:endChr m:val=")"/>
              <m:grow/>
            </m:dPr>
            <m:e>
              <m:r>
                <m:t>v</m:t>
              </m:r>
              <m:r>
                <m:rPr>
                  <m:sty m:val="p"/>
                </m:rPr>
                <m:t>∣</m:t>
              </m:r>
              <m:r>
                <m:t>V</m:t>
              </m:r>
            </m:e>
          </m:d>
          <m:r>
            <m:rPr>
              <m:sty m:val="p"/>
            </m:rPr>
            <m:t>=</m:t>
          </m:r>
          <m:f>
            <m:fPr>
              <m:type m:val="lin"/>
            </m:fPr>
            <m:num>
              <m:r>
                <m:t>1</m:t>
              </m:r>
            </m:num>
            <m:den>
              <m:r>
                <m:t>2</m:t>
              </m:r>
            </m:den>
          </m:f>
          <m:d>
            <m:dPr>
              <m:begChr m:val="("/>
              <m:sepChr m:val=""/>
              <m:endChr m:val=")"/>
              <m:grow/>
            </m:dPr>
            <m:e>
              <m:r>
                <m:t>5</m:t>
              </m:r>
              <m:r>
                <m:t> </m:t>
              </m:r>
              <m:sSup>
                <m:e>
                  <m:r>
                    <m:rPr>
                      <m:sty m:val="p"/>
                    </m:rPr>
                    <m:t>%</m:t>
                  </m:r>
                </m:e>
                <m:sup>
                  <m:r>
                    <m:t>2</m:t>
                  </m:r>
                </m:sup>
              </m:sSup>
              <m:r>
                <m:rPr>
                  <m:sty m:val="p"/>
                </m:rPr>
                <m:t>×</m:t>
              </m:r>
              <m:d>
                <m:dPr>
                  <m:begChr m:val="("/>
                  <m:sepChr m:val=""/>
                  <m:endChr m:val=")"/>
                  <m:grow/>
                </m:dPr>
                <m:e>
                  <m:r>
                    <m:t>F</m:t>
                  </m:r>
                  <m:d>
                    <m:dPr>
                      <m:begChr m:val="("/>
                      <m:sepChr m:val=""/>
                      <m:endChr m:val=")"/>
                      <m:grow/>
                    </m:dPr>
                    <m:e>
                      <m:r>
                        <m:t>60</m:t>
                      </m:r>
                      <m:r>
                        <m:rPr>
                          <m:sty m:val="p"/>
                        </m:rPr>
                        <m:t>/</m:t>
                      </m:r>
                      <m:r>
                        <m:t>50</m:t>
                      </m:r>
                      <m:r>
                        <m:rPr>
                          <m:sty m:val="p"/>
                        </m:rPr>
                        <m:t>,</m:t>
                      </m:r>
                      <m:r>
                        <m:t> </m:t>
                      </m:r>
                      <m:r>
                        <m:t>50</m:t>
                      </m:r>
                      <m:r>
                        <m:rPr>
                          <m:sty m:val="p"/>
                        </m:rPr>
                        <m:t>/</m:t>
                      </m:r>
                      <m:r>
                        <m:t>50</m:t>
                      </m:r>
                    </m:e>
                  </m:d>
                  <m:r>
                    <m:rPr>
                      <m:sty m:val="p"/>
                    </m:rPr>
                    <m:t>−</m:t>
                  </m:r>
                  <m:r>
                    <m:t>F</m:t>
                  </m:r>
                  <m:d>
                    <m:dPr>
                      <m:begChr m:val="("/>
                      <m:sepChr m:val=""/>
                      <m:endChr m:val=")"/>
                      <m:grow/>
                    </m:dPr>
                    <m:e>
                      <m:r>
                        <m:t>10</m:t>
                      </m:r>
                      <m:r>
                        <m:rPr>
                          <m:sty m:val="p"/>
                        </m:rPr>
                        <m:t>/</m:t>
                      </m:r>
                      <m:r>
                        <m:t>50</m:t>
                      </m:r>
                      <m:r>
                        <m:rPr>
                          <m:sty m:val="p"/>
                        </m:rPr>
                        <m:t>,</m:t>
                      </m:r>
                      <m:r>
                        <m:t> </m:t>
                      </m:r>
                      <m:r>
                        <m:t>10</m:t>
                      </m:r>
                      <m:r>
                        <m:rPr>
                          <m:sty m:val="p"/>
                        </m:rPr>
                        <m:t>/</m:t>
                      </m:r>
                      <m:r>
                        <m:t>50</m:t>
                      </m:r>
                    </m:e>
                  </m:d>
                </m:e>
              </m:d>
            </m:e>
          </m:d>
          <m:r>
            <m:rPr>
              <m:sty m:val="p"/>
            </m:rPr>
            <m:t>=</m:t>
          </m:r>
          <m:f>
            <m:fPr>
              <m:type m:val="lin"/>
            </m:fPr>
            <m:num>
              <m:r>
                <m:t>1</m:t>
              </m:r>
            </m:num>
            <m:den>
              <m:r>
                <m:t>2</m:t>
              </m:r>
            </m:den>
          </m:f>
          <m:d>
            <m:dPr>
              <m:begChr m:val="("/>
              <m:sepChr m:val=""/>
              <m:endChr m:val=")"/>
              <m:grow/>
            </m:dPr>
            <m:e>
              <m:r>
                <m:t>5</m:t>
              </m:r>
              <m:r>
                <m:t> </m:t>
              </m:r>
              <m:sSup>
                <m:e>
                  <m:r>
                    <m:rPr>
                      <m:sty m:val="p"/>
                    </m:rPr>
                    <m:t>%</m:t>
                  </m:r>
                </m:e>
                <m:sup>
                  <m:r>
                    <m:t>2</m:t>
                  </m:r>
                </m:sup>
              </m:sSup>
              <m:r>
                <m:rPr>
                  <m:sty m:val="p"/>
                </m:rPr>
                <m:t>×</m:t>
              </m:r>
              <m:d>
                <m:dPr>
                  <m:begChr m:val="("/>
                  <m:sepChr m:val=""/>
                  <m:endChr m:val=")"/>
                  <m:grow/>
                </m:dPr>
                <m:e>
                  <m:r>
                    <m:t>0</m:t>
                  </m:r>
                  <m:r>
                    <m:rPr>
                      <m:sty m:val="p"/>
                    </m:rPr>
                    <m:t>,</m:t>
                  </m:r>
                  <m:r>
                    <m:t>70</m:t>
                  </m:r>
                  <m:r>
                    <m:rPr>
                      <m:sty m:val="p"/>
                    </m:rPr>
                    <m:t>−</m:t>
                  </m:r>
                  <m:r>
                    <m:t>0</m:t>
                  </m:r>
                  <m:r>
                    <m:rPr>
                      <m:sty m:val="p"/>
                    </m:rPr>
                    <m:t>,</m:t>
                  </m:r>
                  <m:r>
                    <m:t>16</m:t>
                  </m:r>
                </m:e>
              </m:d>
            </m:e>
          </m:d>
          <m:r>
            <m:rPr>
              <m:sty m:val="p"/>
            </m:rPr>
            <m:t>=</m:t>
          </m:r>
          <m:r>
            <m:t>1</m:t>
          </m:r>
          <m:r>
            <m:rPr>
              <m:sty m:val="p"/>
            </m:rPr>
            <m:t>,</m:t>
          </m:r>
          <m:r>
            <m:t>35</m:t>
          </m:r>
          <m:r>
            <m:t> </m:t>
          </m:r>
          <m:sSup>
            <m:e>
              <m:r>
                <m:rPr>
                  <m:sty m:val="p"/>
                </m:rPr>
                <m:t>%</m:t>
              </m:r>
            </m:e>
            <m:sup>
              <m:r>
                <m:t>2</m:t>
              </m:r>
            </m:sup>
          </m:sSup>
          <m:r>
            <m:rPr>
              <m:sty m:val="p"/>
            </m:rPr>
            <m:t>.</m:t>
          </m:r>
        </m:oMath>
      </m:oMathPara>
    </w:p>
    <w:bookmarkEnd w:id="66"/>
    <w:bookmarkStart w:id="71" w:name="Xab2d36df680c31b215612c022b1ea5476404a6b"/>
    <w:p>
      <w:pPr>
        <w:pStyle w:val="Heading4"/>
      </w:pPr>
      <w:r>
        <w:t xml:space="preserve">Scénario 3 — pile d’homogénéisation de 15 Kt</w:t>
      </w:r>
    </w:p>
    <w:p>
      <w:pPr>
        <w:pStyle w:val="FirstParagraph"/>
      </w:pPr>
      <w:r>
        <w:t xml:space="preserve">Une pile d’homogénéisation (</w:t>
      </w:r>
      <m:oMath>
        <m:r>
          <m:t>50</m:t>
        </m:r>
        <m:r>
          <m:rPr>
            <m:sty m:val="p"/>
          </m:rPr>
          <m:t>×</m:t>
        </m:r>
        <m:r>
          <m:t>20</m:t>
        </m:r>
        <m:r>
          <m:rPr>
            <m:sty m:val="p"/>
          </m:rPr>
          <m:t>×</m:t>
        </m:r>
        <m:r>
          <m:t>5</m:t>
        </m:r>
      </m:oMath>
      <w:r>
        <w:t xml:space="preserve">, soit 15 Kt) est intercalée entre l’extraction et le concentrateur. On la traite comme un support intermédiaire</w:t>
      </w:r>
      <w:r>
        <w:t xml:space="preserve"> </w:t>
      </w:r>
      <m:oMath>
        <m:sSub>
          <m:e>
            <m:r>
              <m:t>v</m:t>
            </m:r>
          </m:e>
          <m:sub>
            <m:r>
              <m:rPr>
                <m:nor/>
                <m:sty m:val="p"/>
              </m:rPr>
              <m:t>homo</m:t>
            </m:r>
          </m:sub>
        </m:sSub>
      </m:oMath>
      <w:r>
        <w:t xml:space="preserve"> </w:t>
      </w:r>
      <w:r>
        <w:t xml:space="preserve">et on applique l’additivité des variances de dispersion (relation de Krige) :</w:t>
      </w:r>
    </w:p>
    <w:p>
      <w:pPr>
        <w:pStyle w:val="BodyText"/>
      </w:pPr>
      <m:oMathPara>
        <m:oMathParaPr>
          <m:jc m:val="center"/>
        </m:oMathParaPr>
        <m:oMath>
          <m:sSup>
            <m:e>
              <m:r>
                <m:t>D</m:t>
              </m:r>
            </m:e>
            <m:sup>
              <m:r>
                <m:t>2</m:t>
              </m:r>
            </m:sup>
          </m:sSup>
          <m:d>
            <m:dPr>
              <m:begChr m:val="("/>
              <m:sepChr m:val=""/>
              <m:endChr m:val=")"/>
              <m:grow/>
            </m:dPr>
            <m:e>
              <m:r>
                <m:t>v</m:t>
              </m:r>
              <m:r>
                <m:rPr>
                  <m:sty m:val="p"/>
                </m:rPr>
                <m:t>∣</m:t>
              </m:r>
              <m:r>
                <m:t>V</m:t>
              </m:r>
            </m:e>
          </m:d>
          <m:r>
            <m:rPr>
              <m:sty m:val="p"/>
            </m:rPr>
            <m:t>=</m:t>
          </m:r>
          <m:sSup>
            <m:e>
              <m:r>
                <m:t>D</m:t>
              </m:r>
            </m:e>
            <m:sup>
              <m:r>
                <m:t>2</m:t>
              </m:r>
            </m:sup>
          </m:sSup>
          <m:d>
            <m:dPr>
              <m:begChr m:val="("/>
              <m:sepChr m:val=""/>
              <m:endChr m:val=")"/>
              <m:grow/>
            </m:dPr>
            <m:e>
              <m:r>
                <m:t>v</m:t>
              </m:r>
              <m:r>
                <m:rPr>
                  <m:sty m:val="p"/>
                </m:rPr>
                <m:t>∣</m:t>
              </m:r>
              <m:sSub>
                <m:e>
                  <m:r>
                    <m:t>v</m:t>
                  </m:r>
                </m:e>
                <m:sub>
                  <m:r>
                    <m:rPr>
                      <m:nor/>
                      <m:sty m:val="p"/>
                    </m:rPr>
                    <m:t>homo</m:t>
                  </m:r>
                </m:sub>
              </m:sSub>
            </m:e>
          </m:d>
          <m:r>
            <m:rPr>
              <m:sty m:val="p"/>
            </m:rPr>
            <m:t>+</m:t>
          </m:r>
          <m:sSup>
            <m:e>
              <m:r>
                <m:t>D</m:t>
              </m:r>
            </m:e>
            <m:sup>
              <m:r>
                <m:t>2</m:t>
              </m:r>
            </m:sup>
          </m:sSup>
          <m:d>
            <m:dPr>
              <m:begChr m:val="("/>
              <m:sepChr m:val=""/>
              <m:endChr m:val=")"/>
              <m:grow/>
            </m:dPr>
            <m:e>
              <m:sSub>
                <m:e>
                  <m:r>
                    <m:t>v</m:t>
                  </m:r>
                </m:e>
                <m:sub>
                  <m:r>
                    <m:rPr>
                      <m:nor/>
                      <m:sty m:val="p"/>
                    </m:rPr>
                    <m:t>homo</m:t>
                  </m:r>
                </m:sub>
              </m:sSub>
              <m:r>
                <m:rPr>
                  <m:sty m:val="p"/>
                </m:rPr>
                <m:t>∣</m:t>
              </m:r>
              <m:r>
                <m:t>V</m:t>
              </m:r>
            </m:e>
          </m:d>
          <m:r>
            <m:rPr>
              <m:sty m:val="p"/>
            </m:rPr>
            <m:t>.</m:t>
          </m:r>
        </m:oMath>
      </m:oMathPara>
    </w:p>
    <w:p>
      <w:pPr>
        <w:pStyle w:val="FirstParagraph"/>
      </w:pPr>
      <w:r>
        <w:t xml:space="preserve">Le rôle de la pile est précisément d’homogénéiser les teneurs des blocs quotidiens qu’elle mélange, de sorte que</w:t>
      </w:r>
      <w:r>
        <w:t xml:space="preserve"> </w:t>
      </w:r>
      <m:oMath>
        <m:sSup>
          <m:e>
            <m:r>
              <m:t>D</m:t>
            </m:r>
          </m:e>
          <m:sup>
            <m:r>
              <m:t>2</m:t>
            </m:r>
          </m:sup>
        </m:sSup>
        <m:d>
          <m:dPr>
            <m:begChr m:val="("/>
            <m:sepChr m:val=""/>
            <m:endChr m:val=")"/>
            <m:grow/>
          </m:dPr>
          <m:e>
            <m:r>
              <m:t>v</m:t>
            </m:r>
            <m:r>
              <m:rPr>
                <m:sty m:val="p"/>
              </m:rPr>
              <m:t>∣</m:t>
            </m:r>
            <m:sSub>
              <m:e>
                <m:r>
                  <m:t>v</m:t>
                </m:r>
              </m:e>
              <m:sub>
                <m:r>
                  <m:rPr>
                    <m:nor/>
                    <m:sty m:val="p"/>
                  </m:rPr>
                  <m:t>homo</m:t>
                </m:r>
              </m:sub>
            </m:sSub>
          </m:e>
        </m:d>
        <m:r>
          <m:rPr>
            <m:sty m:val="p"/>
          </m:rPr>
          <m:t>≈</m:t>
        </m:r>
        <m:r>
          <m:t>0</m:t>
        </m:r>
      </m:oMath>
      <w:r>
        <w:t xml:space="preserve">. Il ne reste que la dispersion de la pile dans le panneau mensuel :</w:t>
      </w:r>
    </w:p>
    <w:p>
      <w:pPr>
        <w:pStyle w:val="BodyText"/>
      </w:pPr>
      <m:oMathPara>
        <m:oMathParaPr>
          <m:jc m:val="center"/>
        </m:oMathParaPr>
        <m:oMath>
          <m:sSup>
            <m:e>
              <m:r>
                <m:t>D</m:t>
              </m:r>
            </m:e>
            <m:sup>
              <m:r>
                <m:t>2</m:t>
              </m:r>
            </m:sup>
          </m:sSup>
          <m:d>
            <m:dPr>
              <m:begChr m:val="("/>
              <m:sepChr m:val=""/>
              <m:endChr m:val=")"/>
              <m:grow/>
            </m:dPr>
            <m:e>
              <m:r>
                <m:t>v</m:t>
              </m:r>
              <m:r>
                <m:rPr>
                  <m:sty m:val="p"/>
                </m:rPr>
                <m:t>∣</m:t>
              </m:r>
              <m:r>
                <m:t>V</m:t>
              </m:r>
            </m:e>
          </m:d>
          <m:r>
            <m:rPr>
              <m:sty m:val="p"/>
            </m:rPr>
            <m:t>=</m:t>
          </m:r>
          <m:sSup>
            <m:e>
              <m:r>
                <m:t>D</m:t>
              </m:r>
            </m:e>
            <m:sup>
              <m:r>
                <m:t>2</m:t>
              </m:r>
            </m:sup>
          </m:sSup>
          <m:d>
            <m:dPr>
              <m:begChr m:val="("/>
              <m:sepChr m:val=""/>
              <m:endChr m:val=")"/>
              <m:grow/>
            </m:dPr>
            <m:e>
              <m:sSub>
                <m:e>
                  <m:r>
                    <m:t>v</m:t>
                  </m:r>
                </m:e>
                <m:sub>
                  <m:r>
                    <m:rPr>
                      <m:nor/>
                      <m:sty m:val="p"/>
                    </m:rPr>
                    <m:t>homo</m:t>
                  </m:r>
                </m:sub>
              </m:sSub>
              <m:r>
                <m:rPr>
                  <m:sty m:val="p"/>
                </m:rPr>
                <m:t>∣</m:t>
              </m:r>
              <m:r>
                <m:t>V</m:t>
              </m:r>
            </m:e>
          </m:d>
          <m:r>
            <m:rPr>
              <m:sty m:val="p"/>
            </m:rPr>
            <m:t>=</m:t>
          </m:r>
          <m:r>
            <m:t>5</m:t>
          </m:r>
          <m:r>
            <m:t> </m:t>
          </m:r>
          <m:sSup>
            <m:e>
              <m:r>
                <m:rPr>
                  <m:sty m:val="p"/>
                </m:rPr>
                <m:t>%</m:t>
              </m:r>
            </m:e>
            <m:sup>
              <m:r>
                <m:t>2</m:t>
              </m:r>
            </m:sup>
          </m:sSup>
          <m:r>
            <m:rPr>
              <m:sty m:val="p"/>
            </m:rPr>
            <m:t>×</m:t>
          </m:r>
          <m:d>
            <m:dPr>
              <m:begChr m:val="("/>
              <m:sepChr m:val=""/>
              <m:endChr m:val=")"/>
              <m:grow/>
            </m:dPr>
            <m:e>
              <m:r>
                <m:t>F</m:t>
              </m:r>
              <m:d>
                <m:dPr>
                  <m:begChr m:val="("/>
                  <m:sepChr m:val=""/>
                  <m:endChr m:val=")"/>
                  <m:grow/>
                </m:dPr>
                <m:e>
                  <m:r>
                    <m:t>120</m:t>
                  </m:r>
                  <m:r>
                    <m:rPr>
                      <m:sty m:val="p"/>
                    </m:rPr>
                    <m:t>/</m:t>
                  </m:r>
                  <m:r>
                    <m:t>50</m:t>
                  </m:r>
                  <m:r>
                    <m:rPr>
                      <m:sty m:val="p"/>
                    </m:rPr>
                    <m:t>,</m:t>
                  </m:r>
                  <m:r>
                    <m:t> </m:t>
                  </m:r>
                  <m:r>
                    <m:t>50</m:t>
                  </m:r>
                  <m:r>
                    <m:rPr>
                      <m:sty m:val="p"/>
                    </m:rPr>
                    <m:t>/</m:t>
                  </m:r>
                  <m:r>
                    <m:t>50</m:t>
                  </m:r>
                </m:e>
              </m:d>
              <m:r>
                <m:rPr>
                  <m:sty m:val="p"/>
                </m:rPr>
                <m:t>−</m:t>
              </m:r>
              <m:r>
                <m:t>F</m:t>
              </m:r>
              <m:d>
                <m:dPr>
                  <m:begChr m:val="("/>
                  <m:sepChr m:val=""/>
                  <m:endChr m:val=")"/>
                  <m:grow/>
                </m:dPr>
                <m:e>
                  <m:r>
                    <m:t>50</m:t>
                  </m:r>
                  <m:r>
                    <m:rPr>
                      <m:sty m:val="p"/>
                    </m:rPr>
                    <m:t>/</m:t>
                  </m:r>
                  <m:r>
                    <m:t>50</m:t>
                  </m:r>
                  <m:r>
                    <m:rPr>
                      <m:sty m:val="p"/>
                    </m:rPr>
                    <m:t>,</m:t>
                  </m:r>
                  <m:r>
                    <m:t> </m:t>
                  </m:r>
                  <m:r>
                    <m:t>20</m:t>
                  </m:r>
                  <m:r>
                    <m:rPr>
                      <m:sty m:val="p"/>
                    </m:rPr>
                    <m:t>/</m:t>
                  </m:r>
                  <m:r>
                    <m:t>50</m:t>
                  </m:r>
                </m:e>
              </m:d>
            </m:e>
          </m:d>
          <m:r>
            <m:rPr>
              <m:sty m:val="p"/>
            </m:rPr>
            <m:t>=</m:t>
          </m:r>
          <m:r>
            <m:t>5</m:t>
          </m:r>
          <m:r>
            <m:t> </m:t>
          </m:r>
          <m:sSup>
            <m:e>
              <m:r>
                <m:rPr>
                  <m:sty m:val="p"/>
                </m:rPr>
                <m:t>%</m:t>
              </m:r>
            </m:e>
            <m:sup>
              <m:r>
                <m:t>2</m:t>
              </m:r>
            </m:sup>
          </m:sSup>
          <m:r>
            <m:rPr>
              <m:sty m:val="p"/>
            </m:rPr>
            <m:t>×</m:t>
          </m:r>
          <m:d>
            <m:dPr>
              <m:begChr m:val="("/>
              <m:sepChr m:val=""/>
              <m:endChr m:val=")"/>
              <m:grow/>
            </m:dPr>
            <m:e>
              <m:r>
                <m:t>0</m:t>
              </m:r>
              <m:r>
                <m:rPr>
                  <m:sty m:val="p"/>
                </m:rPr>
                <m:t>,</m:t>
              </m:r>
              <m:r>
                <m:t>83</m:t>
              </m:r>
              <m:r>
                <m:rPr>
                  <m:sty m:val="p"/>
                </m:rPr>
                <m:t>−</m:t>
              </m:r>
              <m:r>
                <m:t>0</m:t>
              </m:r>
              <m:r>
                <m:rPr>
                  <m:sty m:val="p"/>
                </m:rPr>
                <m:t>,</m:t>
              </m:r>
              <m:r>
                <m:t>52</m:t>
              </m:r>
            </m:e>
          </m:d>
          <m:r>
            <m:rPr>
              <m:sty m:val="p"/>
            </m:rPr>
            <m:t>=</m:t>
          </m:r>
          <m:r>
            <m:t>1</m:t>
          </m:r>
          <m:r>
            <m:rPr>
              <m:sty m:val="p"/>
            </m:rPr>
            <m:t>,</m:t>
          </m:r>
          <m:r>
            <m:t>55</m:t>
          </m:r>
          <m:r>
            <m:t> </m:t>
          </m:r>
          <m:sSup>
            <m:e>
              <m:r>
                <m:rPr>
                  <m:sty m:val="p"/>
                </m:rPr>
                <m:t>%</m:t>
              </m:r>
            </m:e>
            <m:sup>
              <m:r>
                <m:t>2</m:t>
              </m:r>
            </m:sup>
          </m:sSup>
          <m:r>
            <m:rPr>
              <m:sty m:val="p"/>
            </m:rPr>
            <m:t>.</m:t>
          </m:r>
        </m:oMath>
      </m:oMathPara>
    </w:p>
    <w:tbl>
      <w:tblPr>
        <w:tblStyle w:val="Table"/>
        <w:tblW w:type="pct" w:w="5000"/>
        <w:tblLayout w:type="fixed"/>
        <w:tblLook w:firstRow="0" w:lastRow="0" w:firstColumn="0" w:lastColumn="0" w:noHBand="0" w:noVBand="0" w:val="0000"/>
      </w:tblPr>
      <w:tblGrid>
        <w:gridCol w:w="7920"/>
      </w:tblGrid>
      <w:tr>
        <w:tc>
          <w:tcPr/>
          <w:bookmarkStart w:id="70" w:name="fig-homogeneite-pile"/>
          <w:p>
            <w:pPr>
              <w:pStyle w:val="Compact"/>
              <w:jc w:val="center"/>
            </w:pPr>
            <w:r>
              <w:drawing>
                <wp:inline>
                  <wp:extent cx="2933700" cy="2745879"/>
                  <wp:effectExtent b="0" l="0" r="0" t="0"/>
                  <wp:docPr descr="" title="" id="68" name="Picture"/>
                  <a:graphic>
                    <a:graphicData uri="http://schemas.openxmlformats.org/drawingml/2006/picture">
                      <pic:pic>
                        <pic:nvPicPr>
                          <pic:cNvPr descr="images/C8_Homogeneite_Pile.png" id="69" name="Picture"/>
                          <pic:cNvPicPr>
                            <a:picLocks noChangeArrowheads="1" noChangeAspect="1"/>
                          </pic:cNvPicPr>
                        </pic:nvPicPr>
                        <pic:blipFill>
                          <a:blip r:embed="rId67"/>
                          <a:stretch>
                            <a:fillRect/>
                          </a:stretch>
                        </pic:blipFill>
                        <pic:spPr bwMode="auto">
                          <a:xfrm>
                            <a:off x="0" y="0"/>
                            <a:ext cx="2933700" cy="2745879"/>
                          </a:xfrm>
                          <a:prstGeom prst="rect">
                            <a:avLst/>
                          </a:prstGeom>
                          <a:noFill/>
                          <a:ln w="9525">
                            <a:noFill/>
                            <a:headEnd/>
                            <a:tailEnd/>
                          </a:ln>
                        </pic:spPr>
                      </pic:pic>
                    </a:graphicData>
                  </a:graphic>
                </wp:inline>
              </w:drawing>
            </w:r>
          </w:p>
          <w:p>
            <w:pPr>
              <w:jc w:val="center"/>
            </w:pPr>
            <w:pPr>
              <w:jc w:val="left"/>
              <w:spacing w:before="200"/>
              <w:pStyle w:val="ImageCaption"/>
            </w:pPr>
            <w:r>
              <w:t xml:space="preserve">Figure 6: Représentation de la pile de 15 Kt (support intermédiaire</w:t>
            </w:r>
            <w:r>
              <w:t xml:space="preserve"> </w:t>
            </w:r>
            <m:oMath>
              <m:sSub>
                <m:e>
                  <m:r>
                    <m:t>v</m:t>
                  </m:r>
                </m:e>
                <m:sub>
                  <m:r>
                    <m:rPr>
                      <m:nor/>
                      <m:sty m:val="p"/>
                    </m:rPr>
                    <m:t>homo</m:t>
                  </m:r>
                </m:sub>
              </m:sSub>
              <m:r>
                <m:rPr>
                  <m:sty m:val="p"/>
                </m:rPr>
                <m:t>=</m:t>
              </m:r>
              <m:r>
                <m:t>50</m:t>
              </m:r>
              <m:r>
                <m:rPr>
                  <m:sty m:val="p"/>
                </m:rPr>
                <m:t>×</m:t>
              </m:r>
              <m:r>
                <m:t>20</m:t>
              </m:r>
              <m:r>
                <m:rPr>
                  <m:sty m:val="p"/>
                </m:rPr>
                <m:t>×</m:t>
              </m:r>
              <m:r>
                <m:t>5</m:t>
              </m:r>
            </m:oMath>
            <w:r>
              <w:t xml:space="preserve">) qui mélange les blocs quotidiens de 3 Kt à l’intérieur du panneau mensuel</w:t>
            </w:r>
            <w:r>
              <w:t xml:space="preserve"> </w:t>
            </w:r>
            <m:oMath>
              <m:r>
                <m:t>V</m:t>
              </m:r>
              <m:r>
                <m:rPr>
                  <m:sty m:val="p"/>
                </m:rPr>
                <m:t>=</m:t>
              </m:r>
              <m:r>
                <m:t>120</m:t>
              </m:r>
              <m:r>
                <m:rPr>
                  <m:sty m:val="p"/>
                </m:rPr>
                <m:t>×</m:t>
              </m:r>
              <m:r>
                <m:t>50</m:t>
              </m:r>
              <m:r>
                <m:rPr>
                  <m:sty m:val="p"/>
                </m:rPr>
                <m:t>×</m:t>
              </m:r>
              <m:r>
                <m:t>5</m:t>
              </m:r>
            </m:oMath>
            <w:r>
              <w:t xml:space="preserve">.</w:t>
            </w:r>
          </w:p>
          <w:bookmarkEnd w:id="70"/>
        </w:tc>
      </w:tr>
    </w:tbl>
    <w:bookmarkEnd w:id="71"/>
    <w:bookmarkStart w:id="72" w:name="X7c100086e0b50af665465b40c8dc813ea88e719"/>
    <w:p>
      <w:pPr>
        <w:pStyle w:val="Heading4"/>
      </w:pPr>
      <w:r>
        <w:t xml:space="preserve">Scénario 4 — pile d’homogénéisation de 90 Kt</w:t>
      </w:r>
    </w:p>
    <w:p>
      <w:pPr>
        <w:pStyle w:val="FirstParagraph"/>
      </w:pPr>
      <w:r>
        <w:t xml:space="preserve">Si la pile absorbe toute la production mensuelle, son support égale celui du panneau,</w:t>
      </w:r>
      <w:r>
        <w:t xml:space="preserve"> </w:t>
      </w:r>
      <m:oMath>
        <m:sSub>
          <m:e>
            <m:r>
              <m:t>v</m:t>
            </m:r>
          </m:e>
          <m:sub>
            <m:r>
              <m:rPr>
                <m:nor/>
                <m:sty m:val="p"/>
              </m:rPr>
              <m:t>homo</m:t>
            </m:r>
          </m:sub>
        </m:sSub>
        <m:r>
          <m:rPr>
            <m:sty m:val="p"/>
          </m:rPr>
          <m:t>=</m:t>
        </m:r>
        <m:r>
          <m:t>V</m:t>
        </m:r>
        <m:r>
          <m:rPr>
            <m:sty m:val="p"/>
          </m:rPr>
          <m:t>=</m:t>
        </m:r>
        <m:r>
          <m:t>120</m:t>
        </m:r>
        <m:r>
          <m:rPr>
            <m:sty m:val="p"/>
          </m:rPr>
          <m:t>×</m:t>
        </m:r>
        <m:r>
          <m:t>50</m:t>
        </m:r>
        <m:r>
          <m:rPr>
            <m:sty m:val="p"/>
          </m:rPr>
          <m:t>×</m:t>
        </m:r>
        <m:r>
          <m:t>5</m:t>
        </m:r>
      </m:oMath>
      <w:r>
        <w:t xml:space="preserve">. La dispersion résiduelle s’annule :</w:t>
      </w:r>
    </w:p>
    <w:p>
      <w:pPr>
        <w:pStyle w:val="BodyText"/>
      </w:pPr>
      <m:oMathPara>
        <m:oMathParaPr>
          <m:jc m:val="center"/>
        </m:oMathParaPr>
        <m:oMath>
          <m:sSup>
            <m:e>
              <m:r>
                <m:t>D</m:t>
              </m:r>
            </m:e>
            <m:sup>
              <m:r>
                <m:t>2</m:t>
              </m:r>
            </m:sup>
          </m:sSup>
          <m:d>
            <m:dPr>
              <m:begChr m:val="("/>
              <m:sepChr m:val=""/>
              <m:endChr m:val=")"/>
              <m:grow/>
            </m:dPr>
            <m:e>
              <m:r>
                <m:t>v</m:t>
              </m:r>
              <m:r>
                <m:rPr>
                  <m:sty m:val="p"/>
                </m:rPr>
                <m:t>∣</m:t>
              </m:r>
              <m:r>
                <m:t>V</m:t>
              </m:r>
            </m:e>
          </m:d>
          <m:r>
            <m:rPr>
              <m:sty m:val="p"/>
            </m:rPr>
            <m:t>=</m:t>
          </m:r>
          <m:r>
            <m:t>5</m:t>
          </m:r>
          <m:r>
            <m:t> </m:t>
          </m:r>
          <m:sSup>
            <m:e>
              <m:r>
                <m:rPr>
                  <m:sty m:val="p"/>
                </m:rPr>
                <m:t>%</m:t>
              </m:r>
            </m:e>
            <m:sup>
              <m:r>
                <m:t>2</m:t>
              </m:r>
            </m:sup>
          </m:sSup>
          <m:r>
            <m:rPr>
              <m:sty m:val="p"/>
            </m:rPr>
            <m:t>×</m:t>
          </m:r>
          <m:d>
            <m:dPr>
              <m:begChr m:val="("/>
              <m:sepChr m:val=""/>
              <m:endChr m:val=")"/>
              <m:grow/>
            </m:dPr>
            <m:e>
              <m:r>
                <m:t>F</m:t>
              </m:r>
              <m:d>
                <m:dPr>
                  <m:begChr m:val="("/>
                  <m:sepChr m:val=""/>
                  <m:endChr m:val=")"/>
                  <m:grow/>
                </m:dPr>
                <m:e>
                  <m:r>
                    <m:t>120</m:t>
                  </m:r>
                  <m:r>
                    <m:rPr>
                      <m:sty m:val="p"/>
                    </m:rPr>
                    <m:t>/</m:t>
                  </m:r>
                  <m:r>
                    <m:t>50</m:t>
                  </m:r>
                  <m:r>
                    <m:rPr>
                      <m:sty m:val="p"/>
                    </m:rPr>
                    <m:t>,</m:t>
                  </m:r>
                  <m:r>
                    <m:t> </m:t>
                  </m:r>
                  <m:r>
                    <m:t>50</m:t>
                  </m:r>
                  <m:r>
                    <m:rPr>
                      <m:sty m:val="p"/>
                    </m:rPr>
                    <m:t>/</m:t>
                  </m:r>
                  <m:r>
                    <m:t>50</m:t>
                  </m:r>
                </m:e>
              </m:d>
              <m:r>
                <m:rPr>
                  <m:sty m:val="p"/>
                </m:rPr>
                <m:t>−</m:t>
              </m:r>
              <m:r>
                <m:t>F</m:t>
              </m:r>
              <m:d>
                <m:dPr>
                  <m:begChr m:val="("/>
                  <m:sepChr m:val=""/>
                  <m:endChr m:val=")"/>
                  <m:grow/>
                </m:dPr>
                <m:e>
                  <m:r>
                    <m:t>120</m:t>
                  </m:r>
                  <m:r>
                    <m:rPr>
                      <m:sty m:val="p"/>
                    </m:rPr>
                    <m:t>/</m:t>
                  </m:r>
                  <m:r>
                    <m:t>50</m:t>
                  </m:r>
                  <m:r>
                    <m:rPr>
                      <m:sty m:val="p"/>
                    </m:rPr>
                    <m:t>,</m:t>
                  </m:r>
                  <m:r>
                    <m:t> </m:t>
                  </m:r>
                  <m:r>
                    <m:t>50</m:t>
                  </m:r>
                  <m:r>
                    <m:rPr>
                      <m:sty m:val="p"/>
                    </m:rPr>
                    <m:t>/</m:t>
                  </m:r>
                  <m:r>
                    <m:t>50</m:t>
                  </m:r>
                </m:e>
              </m:d>
            </m:e>
          </m:d>
          <m:r>
            <m:rPr>
              <m:sty m:val="p"/>
            </m:rPr>
            <m:t>=</m:t>
          </m:r>
          <m:r>
            <m:t>0</m:t>
          </m:r>
          <m:r>
            <m:t> </m:t>
          </m:r>
          <m:sSup>
            <m:e>
              <m:r>
                <m:rPr>
                  <m:sty m:val="p"/>
                </m:rPr>
                <m:t>%</m:t>
              </m:r>
            </m:e>
            <m:sup>
              <m:r>
                <m:t>2</m:t>
              </m:r>
            </m:sup>
          </m:sSup>
          <m:r>
            <m:rPr>
              <m:sty m:val="p"/>
            </m:rPr>
            <m:t>.</m:t>
          </m:r>
        </m:oMath>
      </m:oMathPara>
    </w:p>
    <w:p>
      <w:pPr>
        <w:pStyle w:val="FirstParagraph"/>
      </w:pPr>
      <w:r>
        <w:t xml:space="preserve">Une pile mensuelle mélange l’ensemble du minerai extrait sur le mois : la teneur livrée est alors constante, et la dispersion nulle.</w:t>
      </w:r>
    </w:p>
    <w:bookmarkEnd w:id="72"/>
    <w:bookmarkEnd w:id="73"/>
    <w:bookmarkStart w:id="74" w:name="analyse-des-résultats"/>
    <w:p>
      <w:pPr>
        <w:pStyle w:val="Heading3"/>
      </w:pPr>
      <w:r>
        <w:t xml:space="preserve">Analyse des résultats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Stratégie</w:t>
            </w:r>
          </w:p>
        </w:tc>
        <w:tc>
          <w:tcPr/>
          <w:p>
            <w:pPr>
              <w:pStyle w:val="Compact"/>
              <w:jc w:val="center"/>
            </w:pPr>
            <m:oMath>
              <m:sSup>
                <m:e>
                  <m:r>
                    <m:t>D</m:t>
                  </m:r>
                </m:e>
                <m:sup>
                  <m:r>
                    <m:t>2</m:t>
                  </m:r>
                </m:sup>
              </m:sSup>
              <m:d>
                <m:dPr>
                  <m:begChr m:val="("/>
                  <m:sepChr m:val=""/>
                  <m:endChr m:val=")"/>
                  <m:grow/>
                </m:dPr>
                <m:e>
                  <m:r>
                    <m:t>v</m:t>
                  </m:r>
                  <m:r>
                    <m:rPr>
                      <m:sty m:val="p"/>
                    </m:rPr>
                    <m:t>∣</m:t>
                  </m:r>
                  <m:r>
                    <m:t>V</m:t>
                  </m:r>
                </m:e>
              </m:d>
            </m:oMath>
            <w:r>
              <w:t xml:space="preserve"> </w:t>
            </w:r>
            <w:r>
              <w:t xml:space="preserve">(</w:t>
            </w:r>
            <m:oMath>
              <m:sSup>
                <m:e>
                  <m:r>
                    <m:rPr>
                      <m:sty m:val="p"/>
                    </m:rPr>
                    <m:t>%</m:t>
                  </m:r>
                </m:e>
                <m:sup>
                  <m:r>
                    <m:t>2</m:t>
                  </m:r>
                </m:sup>
              </m:sSup>
            </m:oMath>
            <w:r>
              <w:t xml:space="preserve">)</w:t>
            </w:r>
          </w:p>
        </w:tc>
      </w:tr>
      <w:tr>
        <w:tc>
          <w:tcPr/>
          <w:p>
            <w:pPr>
              <w:pStyle w:val="Compact"/>
              <w:jc w:val="left"/>
            </w:pPr>
            <w:r>
              <w:t xml:space="preserve">Une pelle</w:t>
            </w:r>
          </w:p>
        </w:tc>
        <w:tc>
          <w:tcPr/>
          <w:p>
            <w:pPr>
              <w:pStyle w:val="Compact"/>
              <w:jc w:val="center"/>
            </w:pPr>
            <w:r>
              <w:t xml:space="preserve">2,95</w:t>
            </w:r>
          </w:p>
        </w:tc>
      </w:tr>
      <w:tr>
        <w:tc>
          <w:tcPr/>
          <w:p>
            <w:pPr>
              <w:pStyle w:val="Compact"/>
              <w:jc w:val="left"/>
            </w:pPr>
            <w:r>
              <w:t xml:space="preserve">Deux pelles indépendantes</w:t>
            </w:r>
          </w:p>
        </w:tc>
        <w:tc>
          <w:tcPr/>
          <w:p>
            <w:pPr>
              <w:pStyle w:val="Compact"/>
              <w:jc w:val="center"/>
            </w:pPr>
            <w:r>
              <w:t xml:space="preserve">1,35</w:t>
            </w:r>
          </w:p>
        </w:tc>
      </w:tr>
      <w:tr>
        <w:tc>
          <w:tcPr/>
          <w:p>
            <w:pPr>
              <w:pStyle w:val="Compact"/>
              <w:jc w:val="left"/>
            </w:pPr>
            <w:r>
              <w:t xml:space="preserve">Pile d’homogénéisation de 15 Kt</w:t>
            </w:r>
          </w:p>
        </w:tc>
        <w:tc>
          <w:tcPr/>
          <w:p>
            <w:pPr>
              <w:pStyle w:val="Compact"/>
              <w:jc w:val="center"/>
            </w:pPr>
            <w:r>
              <w:t xml:space="preserve">1,55</w:t>
            </w:r>
          </w:p>
        </w:tc>
      </w:tr>
      <w:tr>
        <w:tc>
          <w:tcPr/>
          <w:p>
            <w:pPr>
              <w:pStyle w:val="Compact"/>
              <w:jc w:val="left"/>
            </w:pPr>
            <w:r>
              <w:t xml:space="preserve">Pile d’homogénéisation de 90 Kt</w:t>
            </w:r>
          </w:p>
        </w:tc>
        <w:tc>
          <w:tcPr/>
          <w:p>
            <w:pPr>
              <w:pStyle w:val="Compact"/>
              <w:jc w:val="center"/>
            </w:pPr>
            <m:oMath>
              <m:r>
                <m:rPr>
                  <m:sty m:val="p"/>
                </m:rPr>
                <m:t>≈</m:t>
              </m:r>
              <m:r>
                <m:t>0</m:t>
              </m:r>
            </m:oMath>
          </w:p>
        </w:tc>
      </w:tr>
    </w:tbl>
    <w:p>
      <w:pPr>
        <w:pStyle w:val="BodyText"/>
      </w:pPr>
      <w:r>
        <w:t xml:space="preserve">Trois enseignements se dégagent. D’abord, exploiter simultanément deux zones décorrélées — deux pelles distantes de plus d’une portée — réduit fortement la variabilité livrée : moyenner deux teneurs indépendantes divise par deux la variance du bloc quotidien, ce qui abaisse la dispersion de 2,95 à 1,35</w:t>
      </w:r>
      <w:r>
        <w:t xml:space="preserve"> </w:t>
      </w:r>
      <m:oMath>
        <m:sSup>
          <m:e>
            <m:r>
              <m:rPr>
                <m:sty m:val="p"/>
              </m:rPr>
              <m:t>%</m:t>
            </m:r>
          </m:e>
          <m:sup>
            <m:r>
              <m:t>2</m:t>
            </m:r>
          </m:sup>
        </m:sSup>
      </m:oMath>
      <w:r>
        <w:t xml:space="preserve">. Ensuite, une pile d’homogénéisation abaisse d’autant plus la dispersion que sa capacité est grande ; une pile contenant toute la production mensuelle ramène la variabilité à zéro. Enfin, résultat le plus instructif sur le plan opérationnel, deux pelles indépendantes (1,35</w:t>
      </w:r>
      <w:r>
        <w:t xml:space="preserve"> </w:t>
      </w:r>
      <m:oMath>
        <m:sSup>
          <m:e>
            <m:r>
              <m:rPr>
                <m:sty m:val="p"/>
              </m:rPr>
              <m:t>%</m:t>
            </m:r>
          </m:e>
          <m:sup>
            <m:r>
              <m:t>2</m:t>
            </m:r>
          </m:sup>
        </m:sSup>
      </m:oMath>
      <w:r>
        <w:t xml:space="preserve">) font ici mieux qu’une pile de 15 Kt (1,55</w:t>
      </w:r>
      <w:r>
        <w:t xml:space="preserve"> </w:t>
      </w:r>
      <m:oMath>
        <m:sSup>
          <m:e>
            <m:r>
              <m:rPr>
                <m:sty m:val="p"/>
              </m:rPr>
              <m:t>%</m:t>
            </m:r>
          </m:e>
          <m:sup>
            <m:r>
              <m:t>2</m:t>
            </m:r>
          </m:sup>
        </m:sSup>
      </m:oMath>
      <w:r>
        <w:t xml:space="preserve">) : décorréler spatialement l’extraction est un levier simple et peu coûteux, parfois plus efficace qu’un ouvrage de stockage de capacité modeste.</w:t>
      </w:r>
    </w:p>
    <w:bookmarkEnd w:id="74"/>
    <w:bookmarkEnd w:id="75"/>
    <w:bookmarkStart w:id="76" w:name="X1df2af4c612885fb405942e8782defff1c4a7e4"/>
    <w:p>
      <w:pPr>
        <w:pStyle w:val="Heading2"/>
      </w:pPr>
      <w:r>
        <w:t xml:space="preserve">🧮 Atelier interactif 8.3 — Homogénéité du minerai</w:t>
      </w:r>
    </w:p>
    <w:p>
      <w:pPr>
        <w:pStyle w:val="FirstParagraph"/>
      </w:pPr>
      <w:r>
        <w:t xml:space="preserve">Cet atelier interactif est disponible uniquement dans la version web du chapitre.</w:t>
      </w:r>
    </w:p>
    <w:bookmarkEnd w:id="76"/>
    <w:bookmarkStart w:id="101" w:name="variance-destimation"/>
    <w:p>
      <w:pPr>
        <w:pStyle w:val="Heading2"/>
      </w:pPr>
      <w:r>
        <w:t xml:space="preserve">5 Variance d’estimation</w:t>
      </w:r>
    </w:p>
    <w:p>
      <w:pPr>
        <w:pStyle w:val="FirstParagraph"/>
      </w:pPr>
      <w:r>
        <w:t xml:space="preserve">Quand on estime la teneur moyenne d’un bloc ou d’une zone à partir de quelques échantillons, on commet une erreur. Cette erreur est d’autant plus grande que les données sont rares, mal placées, ou que le gisement est erratique. Tout l’intérêt, en pratique, c’est de pouvoir chiffrer cette erreur avant même de connaître les teneurs, pour juger si une maille d’échantillonnage est suffisante. On cherche donc ici à mesurer la précision d’une estimation obtenue par une méthode quelconque, généralement linéaire.</w:t>
      </w:r>
    </w:p>
    <w:p>
      <w:pPr>
        <w:pStyle w:val="BodyText"/>
      </w:pPr>
      <w:r>
        <w:t xml:space="preserve">Soit une variable aléatoire</w:t>
      </w:r>
      <w:r>
        <w:t xml:space="preserve"> </w:t>
      </w:r>
      <m:oMath>
        <m:sSub>
          <m:e>
            <m:r>
              <m:t>Z</m:t>
            </m:r>
          </m:e>
          <m:sub>
            <m:r>
              <m:t>v</m:t>
            </m:r>
          </m:sub>
        </m:sSub>
      </m:oMath>
      <w:r>
        <w:t xml:space="preserve"> </w:t>
      </w:r>
      <w:r>
        <w:t xml:space="preserve">qu’on veut estimer par une combinaison linéaire des valeurs observées :</w:t>
      </w:r>
    </w:p>
    <w:p>
      <w:pPr>
        <w:pStyle w:val="BodyText"/>
      </w:pPr>
      <m:oMathPara>
        <m:oMathParaPr>
          <m:jc m:val="center"/>
        </m:oMathParaPr>
        <m:oMath>
          <m:sSubSup>
            <m:e>
              <m:r>
                <m:t>Z</m:t>
              </m:r>
            </m:e>
            <m:sub>
              <m:r>
                <m:t>v</m:t>
              </m:r>
            </m:sub>
            <m:sup>
              <m:r>
                <m:rPr>
                  <m:sty m:val="p"/>
                </m:rPr>
                <m:t>*</m:t>
              </m:r>
            </m:sup>
          </m:sSubSup>
          <m:r>
            <m:rPr>
              <m:sty m:val="p"/>
            </m:rPr>
            <m:t>=</m:t>
          </m:r>
          <m:nary>
            <m:naryPr>
              <m:chr m:val="∑"/>
              <m:limLoc m:val="undOvr"/>
              <m:subHide m:val="off"/>
              <m:supHide m:val="off"/>
            </m:naryPr>
            <m:sub>
              <m:r>
                <m:t>i</m:t>
              </m:r>
              <m:r>
                <m:rPr>
                  <m:sty m:val="p"/>
                </m:rPr>
                <m:t>=</m:t>
              </m:r>
              <m:r>
                <m:t>1</m:t>
              </m:r>
            </m:sub>
            <m:sup>
              <m:r>
                <m:t>n</m:t>
              </m:r>
            </m:sup>
            <m:e>
              <m:sSub>
                <m:e>
                  <m:r>
                    <m:t>λ</m:t>
                  </m:r>
                </m:e>
                <m:sub>
                  <m:r>
                    <m:t>i</m:t>
                  </m:r>
                </m:sub>
              </m:sSub>
            </m:e>
          </m:nary>
          <m:r>
            <m:t>Z</m:t>
          </m:r>
          <m:d>
            <m:dPr>
              <m:begChr m:val="("/>
              <m:sepChr m:val=""/>
              <m:endChr m:val=")"/>
              <m:grow/>
            </m:dPr>
            <m:e>
              <m:sSub>
                <m:e>
                  <m:r>
                    <m:rPr>
                      <m:sty m:val="b"/>
                    </m:rPr>
                    <m:t>x</m:t>
                  </m:r>
                </m:e>
                <m:sub>
                  <m:r>
                    <m:t>i</m:t>
                  </m:r>
                </m:sub>
              </m:sSub>
            </m:e>
          </m:d>
          <m:r>
            <m:rPr>
              <m:sty m:val="p"/>
            </m:rPr>
            <m:t>=</m:t>
          </m:r>
          <m:nary>
            <m:naryPr>
              <m:chr m:val="∑"/>
              <m:limLoc m:val="undOvr"/>
              <m:subHide m:val="off"/>
              <m:supHide m:val="off"/>
            </m:naryPr>
            <m:sub>
              <m:r>
                <m:t>i</m:t>
              </m:r>
              <m:r>
                <m:rPr>
                  <m:sty m:val="p"/>
                </m:rPr>
                <m:t>=</m:t>
              </m:r>
              <m:r>
                <m:t>1</m:t>
              </m:r>
            </m:sub>
            <m:sup>
              <m:r>
                <m:t>n</m:t>
              </m:r>
            </m:sup>
            <m:e>
              <m:sSub>
                <m:e>
                  <m:r>
                    <m:t>λ</m:t>
                  </m:r>
                </m:e>
                <m:sub>
                  <m:r>
                    <m:t>i</m:t>
                  </m:r>
                </m:sub>
              </m:sSub>
            </m:e>
          </m:nary>
          <m:sSub>
            <m:e>
              <m:r>
                <m:t>Z</m:t>
              </m:r>
            </m:e>
            <m:sub>
              <m:r>
                <m:t>i</m:t>
              </m:r>
            </m:sub>
          </m:sSub>
        </m:oMath>
      </m:oMathPara>
    </w:p>
    <w:p>
      <w:pPr>
        <w:pStyle w:val="FirstParagraph"/>
      </w:pPr>
      <w:r>
        <w:t xml:space="preserve">où</w:t>
      </w:r>
      <w:r>
        <w:t xml:space="preserve"> </w:t>
      </w:r>
      <m:oMath>
        <m:sSub>
          <m:e>
            <m:r>
              <m:t>Z</m:t>
            </m:r>
          </m:e>
          <m:sub>
            <m:r>
              <m:t>i</m:t>
            </m:r>
          </m:sub>
        </m:sSub>
      </m:oMath>
      <w:r>
        <w:t xml:space="preserve"> </w:t>
      </w:r>
      <w:r>
        <w:t xml:space="preserve">est la valeur observée au point</w:t>
      </w:r>
      <w:r>
        <w:t xml:space="preserve"> </w:t>
      </w:r>
      <m:oMath>
        <m:sSub>
          <m:e>
            <m:r>
              <m:rPr>
                <m:sty m:val="b"/>
              </m:rPr>
              <m:t>x</m:t>
            </m:r>
          </m:e>
          <m:sub>
            <m:r>
              <m:t>i</m:t>
            </m:r>
          </m:sub>
        </m:sSub>
      </m:oMath>
      <w:r>
        <w:t xml:space="preserve">,</w:t>
      </w:r>
      <w:r>
        <w:t xml:space="preserve"> </w:t>
      </w:r>
      <m:oMath>
        <m:sSubSup>
          <m:e>
            <m:r>
              <m:t>Z</m:t>
            </m:r>
          </m:e>
          <m:sub>
            <m:r>
              <m:t>v</m:t>
            </m:r>
          </m:sub>
          <m:sup>
            <m:r>
              <m:rPr>
                <m:sty m:val="p"/>
              </m:rPr>
              <m:t>*</m:t>
            </m:r>
          </m:sup>
        </m:sSubSup>
      </m:oMath>
      <w:r>
        <w:t xml:space="preserve"> </w:t>
      </w:r>
      <w:r>
        <w:t xml:space="preserve">l’estimateur de</w:t>
      </w:r>
      <w:r>
        <w:t xml:space="preserve"> </w:t>
      </w:r>
      <m:oMath>
        <m:sSub>
          <m:e>
            <m:r>
              <m:t>Z</m:t>
            </m:r>
          </m:e>
          <m:sub>
            <m:r>
              <m:t>v</m:t>
            </m:r>
          </m:sub>
        </m:sSub>
      </m:oMath>
      <w:r>
        <w:t xml:space="preserve">, et</w:t>
      </w:r>
      <w:r>
        <w:t xml:space="preserve"> </w:t>
      </w:r>
      <m:oMath>
        <m:sSub>
          <m:e>
            <m:r>
              <m:t>λ</m:t>
            </m:r>
          </m:e>
          <m:sub>
            <m:r>
              <m:t>i</m:t>
            </m:r>
          </m:sub>
        </m:sSub>
      </m:oMath>
      <w:r>
        <w:t xml:space="preserve"> </w:t>
      </w:r>
      <w:r>
        <w:t xml:space="preserve">le poids associé à la donnée</w:t>
      </w:r>
      <w:r>
        <w:t xml:space="preserve"> </w:t>
      </w:r>
      <m:oMath>
        <m:sSub>
          <m:e>
            <m:r>
              <m:t>Z</m:t>
            </m:r>
          </m:e>
          <m:sub>
            <m:r>
              <m:t>i</m:t>
            </m:r>
          </m:sub>
        </m:sSub>
      </m:oMath>
      <w:r>
        <w:t xml:space="preserve">.</w:t>
      </w:r>
    </w:p>
    <w:p>
      <w:pPr>
        <w:pStyle w:val="BodyText"/>
      </w:pPr>
      <w:r>
        <w:t xml:space="preserve">L’erreur d’estimation est la différence entre la valeur estimée et la valeur réelle :</w:t>
      </w:r>
    </w:p>
    <w:p>
      <w:pPr>
        <w:pStyle w:val="BodyText"/>
      </w:pPr>
      <m:oMathPara>
        <m:oMathParaPr>
          <m:jc m:val="center"/>
        </m:oMathParaPr>
        <m:oMath>
          <m:r>
            <m:t>e</m:t>
          </m:r>
          <m:r>
            <m:rPr>
              <m:sty m:val="p"/>
            </m:rPr>
            <m:t>=</m:t>
          </m:r>
          <m:sSubSup>
            <m:e>
              <m:r>
                <m:t>Z</m:t>
              </m:r>
            </m:e>
            <m:sub>
              <m:r>
                <m:t>v</m:t>
              </m:r>
            </m:sub>
            <m:sup>
              <m:r>
                <m:rPr>
                  <m:sty m:val="p"/>
                </m:rPr>
                <m:t>*</m:t>
              </m:r>
            </m:sup>
          </m:sSubSup>
          <m:r>
            <m:rPr>
              <m:sty m:val="p"/>
            </m:rPr>
            <m:t>−</m:t>
          </m:r>
          <m:sSub>
            <m:e>
              <m:r>
                <m:t>Z</m:t>
              </m:r>
            </m:e>
            <m:sub>
              <m:r>
                <m:t>v</m:t>
              </m:r>
            </m:sub>
          </m:sSub>
        </m:oMath>
      </m:oMathPara>
    </w:p>
    <w:p>
      <w:pPr>
        <w:pStyle w:val="FirstParagraph"/>
      </w:pPr>
      <w:r>
        <w:t xml:space="preserve">La variance de cette erreur, la</w:t>
      </w:r>
      <w:r>
        <w:t xml:space="preserve"> </w:t>
      </w:r>
      <w:r>
        <w:rPr>
          <w:b/>
          <w:bCs/>
        </w:rPr>
        <w:t xml:space="preserve">variance d’estimation</w:t>
      </w:r>
      <w:r>
        <w:t xml:space="preserve">, se développe ainsi :</w:t>
      </w:r>
    </w:p>
    <w:p>
      <w:pPr>
        <w:pStyle w:val="BodyText"/>
      </w:pPr>
      <m:oMathPara>
        <m:oMathParaPr>
          <m:jc m:val="center"/>
        </m:oMathParaPr>
        <m:oMath>
          <m:sSubSup>
            <m:e>
              <m:r>
                <m:t>σ</m:t>
              </m:r>
            </m:e>
            <m:sub>
              <m:r>
                <m:t>e</m:t>
              </m:r>
            </m:sub>
            <m:sup>
              <m:r>
                <m:t>2</m:t>
              </m:r>
            </m:sup>
          </m:sSubSup>
          <m:r>
            <m:rPr>
              <m:sty m:val="p"/>
            </m:rPr>
            <m:t>=</m:t>
          </m:r>
          <m:r>
            <m:rPr>
              <m:sty m:val="p"/>
            </m:rPr>
            <m:t>Var</m:t>
          </m:r>
          <m:d>
            <m:dPr>
              <m:begChr m:val="("/>
              <m:sepChr m:val=""/>
              <m:endChr m:val=")"/>
              <m:grow/>
            </m:dPr>
            <m:e>
              <m:r>
                <m:t>e</m:t>
              </m:r>
            </m:e>
          </m:d>
          <m:r>
            <m:rPr>
              <m:sty m:val="p"/>
            </m:rPr>
            <m:t>=</m:t>
          </m:r>
          <m:r>
            <m:rPr>
              <m:sty m:val="p"/>
            </m:rPr>
            <m:t>Var</m:t>
          </m:r>
          <m:d>
            <m:dPr>
              <m:begChr m:val="("/>
              <m:sepChr m:val=""/>
              <m:endChr m:val=")"/>
              <m:grow/>
            </m:dPr>
            <m:e>
              <m:sSubSup>
                <m:e>
                  <m:r>
                    <m:t>Z</m:t>
                  </m:r>
                </m:e>
                <m:sub>
                  <m:r>
                    <m:t>v</m:t>
                  </m:r>
                </m:sub>
                <m:sup>
                  <m:r>
                    <m:rPr>
                      <m:sty m:val="p"/>
                    </m:rPr>
                    <m:t>*</m:t>
                  </m:r>
                </m:sup>
              </m:sSubSup>
              <m:r>
                <m:rPr>
                  <m:sty m:val="p"/>
                </m:rPr>
                <m:t>−</m:t>
              </m:r>
              <m:sSub>
                <m:e>
                  <m:r>
                    <m:t>Z</m:t>
                  </m:r>
                </m:e>
                <m:sub>
                  <m:r>
                    <m:t>v</m:t>
                  </m:r>
                </m:sub>
              </m:sSub>
            </m:e>
          </m:d>
          <m:r>
            <m:rPr>
              <m:sty m:val="p"/>
            </m:rPr>
            <m:t>=</m:t>
          </m:r>
          <m:r>
            <m:rPr>
              <m:sty m:val="p"/>
            </m:rPr>
            <m:t>Var</m:t>
          </m:r>
          <m:d>
            <m:dPr>
              <m:begChr m:val="("/>
              <m:sepChr m:val=""/>
              <m:endChr m:val=")"/>
              <m:grow/>
            </m:dPr>
            <m:e>
              <m:sSubSup>
                <m:e>
                  <m:r>
                    <m:t>Z</m:t>
                  </m:r>
                </m:e>
                <m:sub>
                  <m:r>
                    <m:t>v</m:t>
                  </m:r>
                </m:sub>
                <m:sup>
                  <m:r>
                    <m:rPr>
                      <m:sty m:val="p"/>
                    </m:rPr>
                    <m:t>*</m:t>
                  </m:r>
                </m:sup>
              </m:sSubSup>
            </m:e>
          </m:d>
          <m:r>
            <m:rPr>
              <m:sty m:val="p"/>
            </m:rPr>
            <m:t>+</m:t>
          </m:r>
          <m:r>
            <m:rPr>
              <m:sty m:val="p"/>
            </m:rPr>
            <m:t>Var</m:t>
          </m:r>
          <m:d>
            <m:dPr>
              <m:begChr m:val="("/>
              <m:sepChr m:val=""/>
              <m:endChr m:val=")"/>
              <m:grow/>
            </m:dPr>
            <m:e>
              <m:sSub>
                <m:e>
                  <m:r>
                    <m:t>Z</m:t>
                  </m:r>
                </m:e>
                <m:sub>
                  <m:r>
                    <m:t>v</m:t>
                  </m:r>
                </m:sub>
              </m:sSub>
            </m:e>
          </m:d>
          <m:r>
            <m:rPr>
              <m:sty m:val="p"/>
            </m:rPr>
            <m:t>−</m:t>
          </m:r>
          <m:r>
            <m:t>2</m:t>
          </m:r>
          <m:r>
            <m:t> </m:t>
          </m:r>
          <m:r>
            <m:rPr>
              <m:sty m:val="p"/>
            </m:rPr>
            <m:t>Cov</m:t>
          </m:r>
          <m:d>
            <m:dPr>
              <m:begChr m:val="("/>
              <m:sepChr m:val=""/>
              <m:endChr m:val=")"/>
              <m:grow/>
            </m:dPr>
            <m:e>
              <m:sSubSup>
                <m:e>
                  <m:r>
                    <m:t>Z</m:t>
                  </m:r>
                </m:e>
                <m:sub>
                  <m:r>
                    <m:t>v</m:t>
                  </m:r>
                </m:sub>
                <m:sup>
                  <m:r>
                    <m:rPr>
                      <m:sty m:val="p"/>
                    </m:rPr>
                    <m:t>*</m:t>
                  </m:r>
                </m:sup>
              </m:sSubSup>
              <m:r>
                <m:rPr>
                  <m:sty m:val="p"/>
                </m:rPr>
                <m:t>,</m:t>
              </m:r>
              <m:sSub>
                <m:e>
                  <m:r>
                    <m:t>Z</m:t>
                  </m:r>
                </m:e>
                <m:sub>
                  <m:r>
                    <m:t>v</m:t>
                  </m:r>
                </m:sub>
              </m:sSub>
            </m:e>
          </m:d>
        </m:oMath>
      </m:oMathPara>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C:\Users\danyl\AppData\Local\Programs\Quarto\share\formats\docx\note.png" id="78"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Rappel : Propriété de la variance sur une combinaison linéaire</w:t>
            </w:r>
          </w:p>
        </w:tc>
      </w:tr>
      <w:tr>
        <w:trPr>
          <w:cantSplit/>
        </w:trPr>
        <w:tc>
          <w:tcPr>
            <w:tcMar>
              <w:top w:w="108" w:type="dxa"/>
              <w:bottom w:w="108" w:type="dxa"/>
            </w:tcMar>
          </w:tcPr>
          <w:p>
            <w:pPr>
              <w:pStyle w:val="BodyText"/>
            </w:pPr>
            <w:pPr>
              <w:spacing w:before="16"/>
            </w:pPr>
            <w:r>
              <w:t xml:space="preserve">On rappelle que la variance d’une combinaison linéaire de variables aléatoires est donnée par :</w:t>
            </w:r>
          </w:p>
          <w:p>
            <w:pPr>
              <w:pStyle w:val="BodyText"/>
            </w:pPr>
            <m:oMathPara>
              <m:oMathParaPr>
                <m:jc m:val="center"/>
              </m:oMathParaPr>
              <m:oMath>
                <m:r>
                  <m:rPr>
                    <m:sty m:val="p"/>
                  </m:rPr>
                  <m:t>Var</m:t>
                </m:r>
                <m:d>
                  <m:dPr>
                    <m:begChr m:val="("/>
                    <m:sepChr m:val=""/>
                    <m:endChr m:val=")"/>
                    <m:grow/>
                  </m:dPr>
                  <m:e>
                    <m:nary>
                      <m:naryPr>
                        <m:chr m:val="∑"/>
                        <m:limLoc m:val="undOvr"/>
                        <m:subHide m:val="off"/>
                        <m:supHide m:val="off"/>
                      </m:naryPr>
                      <m:sub>
                        <m:r>
                          <m:t>i</m:t>
                        </m:r>
                        <m:r>
                          <m:rPr>
                            <m:sty m:val="p"/>
                          </m:rPr>
                          <m:t>=</m:t>
                        </m:r>
                        <m:r>
                          <m:t>1</m:t>
                        </m:r>
                      </m:sub>
                      <m:sup>
                        <m:r>
                          <m:t>n</m:t>
                        </m:r>
                      </m:sup>
                      <m:e>
                        <m:sSub>
                          <m:e>
                            <m:r>
                              <m:t>λ</m:t>
                            </m:r>
                          </m:e>
                          <m:sub>
                            <m:r>
                              <m:t>i</m:t>
                            </m:r>
                          </m:sub>
                        </m:sSub>
                      </m:e>
                    </m:nary>
                    <m:sSub>
                      <m:e>
                        <m:r>
                          <m:t>Z</m:t>
                        </m:r>
                      </m:e>
                      <m:sub>
                        <m:r>
                          <m:t>i</m:t>
                        </m:r>
                      </m:sub>
                    </m:sSub>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n</m:t>
                        </m:r>
                      </m:sup>
                      <m:e>
                        <m:sSub>
                          <m:e>
                            <m:r>
                              <m:t>λ</m:t>
                            </m:r>
                          </m:e>
                          <m:sub>
                            <m:r>
                              <m:t>i</m:t>
                            </m:r>
                          </m:sub>
                        </m:sSub>
                      </m:e>
                    </m:nary>
                  </m:e>
                </m:nary>
                <m:sSub>
                  <m:e>
                    <m:r>
                      <m:t>λ</m:t>
                    </m:r>
                  </m:e>
                  <m:sub>
                    <m:r>
                      <m:t>j</m:t>
                    </m:r>
                  </m:sub>
                </m:sSub>
                <m:r>
                  <m:t> </m:t>
                </m:r>
                <m:r>
                  <m:rPr>
                    <m:sty m:val="p"/>
                  </m:rPr>
                  <m:t>Cov</m:t>
                </m:r>
                <m:d>
                  <m:dPr>
                    <m:begChr m:val="("/>
                    <m:sepChr m:val=""/>
                    <m:endChr m:val=")"/>
                    <m:grow/>
                  </m:dPr>
                  <m:e>
                    <m:sSub>
                      <m:e>
                        <m:r>
                          <m:t>Z</m:t>
                        </m:r>
                      </m:e>
                      <m:sub>
                        <m:r>
                          <m:t>i</m:t>
                        </m:r>
                      </m:sub>
                    </m:sSub>
                    <m:r>
                      <m:rPr>
                        <m:sty m:val="p"/>
                      </m:rPr>
                      <m:t>,</m:t>
                    </m:r>
                    <m:sSub>
                      <m:e>
                        <m:r>
                          <m:t>Z</m:t>
                        </m:r>
                      </m:e>
                      <m:sub>
                        <m:r>
                          <m:t>j</m:t>
                        </m:r>
                      </m:sub>
                    </m:sSub>
                  </m:e>
                </m:d>
              </m:oMath>
            </m:oMathPara>
          </w:p>
          <w:p>
            <w:pPr>
              <w:pStyle w:val="FirstParagraph"/>
            </w:pPr>
            <w:r>
              <w:t xml:space="preserve">et que</w:t>
            </w:r>
          </w:p>
          <w:p>
            <w:pPr>
              <w:pStyle w:val="BodyText"/>
            </w:pPr>
            <w:pPr>
              <w:spacing w:after="16"/>
            </w:pPr>
          </w:p>
          <w:p>
            <w:pPr>
              <w:pStyle w:val="BodyText"/>
            </w:pPr>
            <m:oMathPara>
              <m:oMathParaPr>
                <m:jc m:val="center"/>
              </m:oMathParaPr>
              <m:oMath>
                <m:r>
                  <m:rPr>
                    <m:sty m:val="p"/>
                  </m:rPr>
                  <m:t>Cov</m:t>
                </m:r>
                <m:d>
                  <m:dPr>
                    <m:begChr m:val="("/>
                    <m:sepChr m:val=""/>
                    <m:endChr m:val=")"/>
                    <m:grow/>
                  </m:dPr>
                  <m:e>
                    <m:sSub>
                      <m:e>
                        <m:r>
                          <m:t>Z</m:t>
                        </m:r>
                      </m:e>
                      <m:sub>
                        <m:r>
                          <m:t>i</m:t>
                        </m:r>
                      </m:sub>
                    </m:sSub>
                    <m:r>
                      <m:rPr>
                        <m:sty m:val="p"/>
                      </m:rPr>
                      <m:t>,</m:t>
                    </m:r>
                    <m:sSub>
                      <m:e>
                        <m:r>
                          <m:t>Z</m:t>
                        </m:r>
                      </m:e>
                      <m:sub>
                        <m:r>
                          <m:t>i</m:t>
                        </m:r>
                      </m:sub>
                    </m:sSub>
                  </m:e>
                </m:d>
                <m:r>
                  <m:rPr>
                    <m:sty m:val="p"/>
                  </m:rPr>
                  <m:t>=</m:t>
                </m:r>
                <m:r>
                  <m:rPr>
                    <m:sty m:val="p"/>
                  </m:rPr>
                  <m:t>Var</m:t>
                </m:r>
                <m:d>
                  <m:dPr>
                    <m:begChr m:val="("/>
                    <m:sepChr m:val=""/>
                    <m:endChr m:val=")"/>
                    <m:grow/>
                  </m:dPr>
                  <m:e>
                    <m:sSub>
                      <m:e>
                        <m:r>
                          <m:t>Z</m:t>
                        </m:r>
                      </m:e>
                      <m:sub>
                        <m:r>
                          <m:t>i</m:t>
                        </m:r>
                      </m:sub>
                    </m:sSub>
                  </m:e>
                </m:d>
              </m:oMath>
            </m:oMathPara>
          </w:p>
          <w:p/>
        </w:tc>
      </w:tr>
    </w:tbl>
    <w:p>
      <w:pPr>
        <w:pStyle w:val="FirstParagraph"/>
      </w:pPr>
      <w:r>
        <w:t xml:space="preserve">En remplaçant</w:t>
      </w:r>
      <w:r>
        <w:t xml:space="preserve"> </w:t>
      </w:r>
      <m:oMath>
        <m:sSubSup>
          <m:e>
            <m:r>
              <m:t>Z</m:t>
            </m:r>
          </m:e>
          <m:sub>
            <m:r>
              <m:t>v</m:t>
            </m:r>
          </m:sub>
          <m:sup>
            <m:r>
              <m:rPr>
                <m:sty m:val="p"/>
              </m:rPr>
              <m:t>*</m:t>
            </m:r>
          </m:sup>
        </m:sSubSup>
      </m:oMath>
      <w:r>
        <w:t xml:space="preserve"> </w:t>
      </w:r>
      <w:r>
        <w:t xml:space="preserve">par son expression, on obtient :</w:t>
      </w:r>
    </w:p>
    <w:p>
      <w:pPr>
        <w:pStyle w:val="BodyText"/>
      </w:pPr>
      <m:oMathPara>
        <m:oMathParaPr>
          <m:jc m:val="center"/>
        </m:oMathParaPr>
        <m:oMath>
          <m:sSubSup>
            <m:e>
              <m:r>
                <m:t>σ</m:t>
              </m:r>
            </m:e>
            <m:sub>
              <m:r>
                <m:t>e</m:t>
              </m:r>
            </m:sub>
            <m:sup>
              <m:r>
                <m:t>2</m:t>
              </m:r>
            </m:sup>
          </m:sSubSup>
          <m:r>
            <m:rPr>
              <m:sty m:val="p"/>
            </m:rPr>
            <m:t>=</m:t>
          </m:r>
          <m:r>
            <m:rPr>
              <m:sty m:val="p"/>
            </m:rPr>
            <m:t>Var</m:t>
          </m:r>
          <m:d>
            <m:dPr>
              <m:begChr m:val="("/>
              <m:sepChr m:val=""/>
              <m:endChr m:val=")"/>
              <m:grow/>
            </m:dPr>
            <m:e>
              <m:sSub>
                <m:e>
                  <m:r>
                    <m:t>Z</m:t>
                  </m:r>
                </m:e>
                <m:sub>
                  <m:r>
                    <m:t>v</m:t>
                  </m:r>
                </m:sub>
              </m:sSub>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n</m:t>
                  </m:r>
                </m:sup>
                <m:e>
                  <m:sSub>
                    <m:e>
                      <m:r>
                        <m:t>λ</m:t>
                      </m:r>
                    </m:e>
                    <m:sub>
                      <m:r>
                        <m:t>i</m:t>
                      </m:r>
                    </m:sub>
                  </m:sSub>
                </m:e>
              </m:nary>
            </m:e>
          </m:nary>
          <m:sSub>
            <m:e>
              <m:r>
                <m:t>λ</m:t>
              </m:r>
            </m:e>
            <m:sub>
              <m:r>
                <m:t>j</m:t>
              </m:r>
            </m:sub>
          </m:sSub>
          <m:r>
            <m:rPr>
              <m:sty m:val="p"/>
            </m:rPr>
            <m:t>Cov</m:t>
          </m:r>
          <m:d>
            <m:dPr>
              <m:begChr m:val="("/>
              <m:sepChr m:val=""/>
              <m:endChr m:val=")"/>
              <m:grow/>
            </m:dPr>
            <m:e>
              <m:sSub>
                <m:e>
                  <m:r>
                    <m:t>Z</m:t>
                  </m:r>
                </m:e>
                <m:sub>
                  <m:r>
                    <m:t>i</m:t>
                  </m:r>
                </m:sub>
              </m:sSub>
              <m:r>
                <m:rPr>
                  <m:sty m:val="p"/>
                </m:rPr>
                <m:t>,</m:t>
              </m:r>
              <m:sSub>
                <m:e>
                  <m:r>
                    <m:t>Z</m:t>
                  </m:r>
                </m:e>
                <m:sub>
                  <m:r>
                    <m:t>j</m:t>
                  </m:r>
                </m:sub>
              </m:sSub>
            </m:e>
          </m:d>
          <m:r>
            <m:rPr>
              <m:sty m:val="p"/>
            </m:rPr>
            <m:t>−</m:t>
          </m:r>
          <m:r>
            <m:t>2</m:t>
          </m:r>
          <m:nary>
            <m:naryPr>
              <m:chr m:val="∑"/>
              <m:limLoc m:val="undOvr"/>
              <m:subHide m:val="off"/>
              <m:supHide m:val="off"/>
            </m:naryPr>
            <m:sub>
              <m:r>
                <m:t>i</m:t>
              </m:r>
              <m:r>
                <m:rPr>
                  <m:sty m:val="p"/>
                </m:rPr>
                <m:t>=</m:t>
              </m:r>
              <m:r>
                <m:t>1</m:t>
              </m:r>
            </m:sub>
            <m:sup>
              <m:r>
                <m:t>n</m:t>
              </m:r>
            </m:sup>
            <m:e>
              <m:sSub>
                <m:e>
                  <m:r>
                    <m:t>λ</m:t>
                  </m:r>
                </m:e>
                <m:sub>
                  <m:r>
                    <m:t>i</m:t>
                  </m:r>
                </m:sub>
              </m:sSub>
            </m:e>
          </m:nary>
          <m:r>
            <m:rPr>
              <m:sty m:val="p"/>
            </m:rPr>
            <m:t>Cov</m:t>
          </m:r>
          <m:d>
            <m:dPr>
              <m:begChr m:val="("/>
              <m:sepChr m:val=""/>
              <m:endChr m:val=")"/>
              <m:grow/>
            </m:dPr>
            <m:e>
              <m:sSub>
                <m:e>
                  <m:r>
                    <m:t>Z</m:t>
                  </m:r>
                </m:e>
                <m:sub>
                  <m:r>
                    <m:t>i</m:t>
                  </m:r>
                </m:sub>
              </m:sSub>
              <m:r>
                <m:rPr>
                  <m:sty m:val="p"/>
                </m:rPr>
                <m:t>,</m:t>
              </m:r>
              <m:sSub>
                <m:e>
                  <m:r>
                    <m:t>Z</m:t>
                  </m:r>
                </m:e>
                <m:sub>
                  <m:r>
                    <m:t>v</m:t>
                  </m:r>
                </m:sub>
              </m:sSub>
            </m:e>
          </m:d>
        </m:oMath>
      </m:oMathPara>
    </w:p>
    <w:bookmarkStart w:id="83" w:name="interprétation"/>
    <w:p>
      <w:pPr>
        <w:pStyle w:val="Heading3"/>
      </w:pPr>
      <w:r>
        <w:t xml:space="preserve">Interprétation</w:t>
      </w:r>
    </w:p>
    <w:p>
      <w:pPr>
        <w:pStyle w:val="FirstParagraph"/>
      </w:pPr>
      <w:r>
        <w:t xml:space="preserve">La variance d’estimation se compose donc de trois termes, et chacun a une interprétation très concrète.</w:t>
      </w:r>
    </w:p>
    <w:p>
      <w:pPr>
        <w:numPr>
          <w:ilvl w:val="0"/>
          <w:numId w:val="1011"/>
        </w:numPr>
      </w:pPr>
      <m:oMath>
        <m:r>
          <m:rPr>
            <m:sty m:val="p"/>
          </m:rPr>
          <m:t>Var</m:t>
        </m:r>
        <m:d>
          <m:dPr>
            <m:begChr m:val="("/>
            <m:sepChr m:val=""/>
            <m:endChr m:val=")"/>
            <m:grow/>
          </m:dPr>
          <m:e>
            <m:sSub>
              <m:e>
                <m:r>
                  <m:t>Z</m:t>
                </m:r>
              </m:e>
              <m:sub>
                <m:r>
                  <m:t>v</m:t>
                </m:r>
              </m:sub>
            </m:sSub>
          </m:e>
        </m:d>
      </m:oMath>
      <w:r>
        <w:t xml:space="preserve"> </w:t>
      </w:r>
      <w:r>
        <w:t xml:space="preserve">:</w:t>
      </w:r>
      <w:r>
        <w:t xml:space="preserve"> </w:t>
      </w:r>
      <w:r>
        <w:rPr>
          <w:i/>
          <w:iCs/>
        </w:rPr>
        <w:t xml:space="preserve">le phénomène est-il variable en lui-même ?</w:t>
      </w:r>
      <w:r>
        <w:t xml:space="preserve"> </w:t>
      </w:r>
      <w:r>
        <w:t xml:space="preserve">Plus le phénomène étudié est variable, plus les erreurs d’estimation le seront aussi. Estimer une teneur dans un champ constant est facile : la variance est nulle. Estimer dans un champ très erratique, proche d’un bruit blanc, est autrement plus difficile.</w:t>
      </w:r>
    </w:p>
    <w:p>
      <w:pPr>
        <w:numPr>
          <w:ilvl w:val="0"/>
          <w:numId w:val="1011"/>
        </w:numPr>
      </w:pPr>
      <m:oMath>
        <m:nary>
          <m:naryPr>
            <m:chr m:val="∑"/>
            <m:limLoc m:val="undOvr"/>
            <m:subHide m:val="off"/>
            <m:supHide m:val="on"/>
          </m:naryPr>
          <m:sub>
            <m:r>
              <m:t>i</m:t>
            </m:r>
          </m:sub>
          <m:sup>
            <m:r>
              <m:t>​</m:t>
            </m:r>
          </m:sup>
          <m:e>
            <m:nary>
              <m:naryPr>
                <m:chr m:val="∑"/>
                <m:limLoc m:val="undOvr"/>
                <m:subHide m:val="off"/>
                <m:supHide m:val="on"/>
              </m:naryPr>
              <m:sub>
                <m:r>
                  <m:t>j</m:t>
                </m:r>
              </m:sub>
              <m:sup>
                <m:r>
                  <m:t>​</m:t>
                </m:r>
              </m:sup>
              <m:e>
                <m:sSub>
                  <m:e>
                    <m:r>
                      <m:t>λ</m:t>
                    </m:r>
                  </m:e>
                  <m:sub>
                    <m:r>
                      <m:t>i</m:t>
                    </m:r>
                  </m:sub>
                </m:sSub>
              </m:e>
            </m:nary>
          </m:e>
        </m:nary>
        <m:sSub>
          <m:e>
            <m:r>
              <m:t>λ</m:t>
            </m:r>
          </m:e>
          <m:sub>
            <m:r>
              <m:t>j</m:t>
            </m:r>
          </m:sub>
        </m:sSub>
        <m:r>
          <m:rPr>
            <m:sty m:val="p"/>
          </m:rPr>
          <m:t>Cov</m:t>
        </m:r>
        <m:d>
          <m:dPr>
            <m:begChr m:val="("/>
            <m:sepChr m:val=""/>
            <m:endChr m:val=")"/>
            <m:grow/>
          </m:dPr>
          <m:e>
            <m:sSub>
              <m:e>
                <m:r>
                  <m:t>Z</m:t>
                </m:r>
              </m:e>
              <m:sub>
                <m:r>
                  <m:t>i</m:t>
                </m:r>
              </m:sub>
            </m:sSub>
            <m:r>
              <m:rPr>
                <m:sty m:val="p"/>
              </m:rPr>
              <m:t>,</m:t>
            </m:r>
            <m:sSub>
              <m:e>
                <m:r>
                  <m:t>Z</m:t>
                </m:r>
              </m:e>
              <m:sub>
                <m:r>
                  <m:t>j</m:t>
                </m:r>
              </m:sub>
            </m:sSub>
          </m:e>
        </m:d>
      </m:oMath>
      <w:r>
        <w:t xml:space="preserve"> </w:t>
      </w:r>
      <w:r>
        <w:t xml:space="preserve">:</w:t>
      </w:r>
      <w:r>
        <w:t xml:space="preserve"> </w:t>
      </w:r>
      <w:r>
        <w:rPr>
          <w:i/>
          <w:iCs/>
        </w:rPr>
        <w:t xml:space="preserve">quelle est la redondance entre les observations ?</w:t>
      </w:r>
      <w:r>
        <w:t xml:space="preserve"> </w:t>
      </w:r>
      <w:r>
        <w:t xml:space="preserve">Ce terme mesure la redondance des données. L’estimation est meilleure quand les données sont bien réparties (</w:t>
      </w:r>
      <w:hyperlink w:anchor="fig-c8-proximite-redondance">
        <w:r>
          <w:rPr>
            <w:rStyle w:val="Hyperlink"/>
          </w:rPr>
          <w:t xml:space="preserve">Figure 7</w:t>
        </w:r>
      </w:hyperlink>
      <w:r>
        <w:t xml:space="preserve">). Des données trop rapprochées ont une forte covariance entre elles : elles répètent la même information et n’aident pas autant à réduire la variance que des données espacées. Inutile d’avoir cent données concentrées dans la même zone.</w:t>
      </w:r>
    </w:p>
    <w:p>
      <w:pPr>
        <w:numPr>
          <w:ilvl w:val="0"/>
          <w:numId w:val="1011"/>
        </w:numPr>
      </w:pPr>
      <m:oMath>
        <m:nary>
          <m:naryPr>
            <m:chr m:val="∑"/>
            <m:limLoc m:val="undOvr"/>
            <m:subHide m:val="off"/>
            <m:supHide m:val="on"/>
          </m:naryPr>
          <m:sub>
            <m:r>
              <m:t>i</m:t>
            </m:r>
          </m:sub>
          <m:sup>
            <m:r>
              <m:t>​</m:t>
            </m:r>
          </m:sup>
          <m:e>
            <m:sSub>
              <m:e>
                <m:r>
                  <m:t>λ</m:t>
                </m:r>
              </m:e>
              <m:sub>
                <m:r>
                  <m:t>i</m:t>
                </m:r>
              </m:sub>
            </m:sSub>
          </m:e>
        </m:nary>
        <m:r>
          <m:rPr>
            <m:sty m:val="p"/>
          </m:rPr>
          <m:t>Cov</m:t>
        </m:r>
        <m:d>
          <m:dPr>
            <m:begChr m:val="("/>
            <m:sepChr m:val=""/>
            <m:endChr m:val=")"/>
            <m:grow/>
          </m:dPr>
          <m:e>
            <m:sSub>
              <m:e>
                <m:r>
                  <m:t>Z</m:t>
                </m:r>
              </m:e>
              <m:sub>
                <m:r>
                  <m:t>i</m:t>
                </m:r>
              </m:sub>
            </m:sSub>
            <m:r>
              <m:rPr>
                <m:sty m:val="p"/>
              </m:rPr>
              <m:t>,</m:t>
            </m:r>
            <m:sSub>
              <m:e>
                <m:r>
                  <m:t>Z</m:t>
                </m:r>
              </m:e>
              <m:sub>
                <m:r>
                  <m:t>v</m:t>
                </m:r>
              </m:sub>
            </m:sSub>
          </m:e>
        </m:d>
      </m:oMath>
      <w:r>
        <w:t xml:space="preserve"> </w:t>
      </w:r>
      <w:r>
        <w:t xml:space="preserve">:</w:t>
      </w:r>
      <w:r>
        <w:t xml:space="preserve"> </w:t>
      </w:r>
      <w:r>
        <w:rPr>
          <w:i/>
          <w:iCs/>
        </w:rPr>
        <w:t xml:space="preserve">les observations sont-elles bien placées par rapport à la cible ?</w:t>
      </w:r>
      <w:r>
        <w:t xml:space="preserve"> </w:t>
      </w:r>
      <w:r>
        <w:t xml:space="preserve">C’est le terme de proximité. Si les données sont proches du bloc à estimer, la covariance</w:t>
      </w:r>
      <w:r>
        <w:t xml:space="preserve"> </w:t>
      </w:r>
      <m:oMath>
        <m:r>
          <m:rPr>
            <m:sty m:val="p"/>
          </m:rPr>
          <m:t>Cov</m:t>
        </m:r>
        <m:d>
          <m:dPr>
            <m:begChr m:val="("/>
            <m:sepChr m:val=""/>
            <m:endChr m:val=")"/>
            <m:grow/>
          </m:dPr>
          <m:e>
            <m:sSub>
              <m:e>
                <m:r>
                  <m:t>Z</m:t>
                </m:r>
              </m:e>
              <m:sub>
                <m:r>
                  <m:t>i</m:t>
                </m:r>
              </m:sub>
            </m:sSub>
            <m:r>
              <m:rPr>
                <m:sty m:val="p"/>
              </m:rPr>
              <m:t>,</m:t>
            </m:r>
            <m:sSub>
              <m:e>
                <m:r>
                  <m:t>Z</m:t>
                </m:r>
              </m:e>
              <m:sub>
                <m:r>
                  <m:t>v</m:t>
                </m:r>
              </m:sub>
            </m:sSub>
          </m:e>
        </m:d>
      </m:oMath>
      <w:r>
        <w:t xml:space="preserve"> </w:t>
      </w:r>
      <w:r>
        <w:t xml:space="preserve">est élevée ; comme ce terme est soustrait, il fait chuter la variance d’estimation. À l’inverse, des données très éloignées n’apportent presque rien.</w:t>
      </w:r>
    </w:p>
    <w:tbl>
      <w:tblPr>
        <w:tblStyle w:val="Table"/>
        <w:tblW w:type="pct" w:w="5000"/>
        <w:tblLayout w:type="fixed"/>
        <w:tblLook w:firstRow="0" w:lastRow="0" w:firstColumn="0" w:lastColumn="0" w:noHBand="0" w:noVBand="0" w:val="0000"/>
      </w:tblPr>
      <w:tblGrid>
        <w:gridCol w:w="7920"/>
      </w:tblGrid>
      <w:tr>
        <w:tc>
          <w:tcPr/>
          <w:bookmarkStart w:id="82" w:name="fig-c8-proximite-redondance"/>
          <w:p>
            <w:pPr>
              <w:pStyle w:val="Compact"/>
              <w:jc w:val="center"/>
            </w:pPr>
            <w:r>
              <w:drawing>
                <wp:inline>
                  <wp:extent cx="5334000" cy="3284361"/>
                  <wp:effectExtent b="0" l="0" r="0" t="0"/>
                  <wp:docPr descr="" title="" id="80" name="Picture"/>
                  <a:graphic>
                    <a:graphicData uri="http://schemas.openxmlformats.org/drawingml/2006/picture">
                      <pic:pic>
                        <pic:nvPicPr>
                          <pic:cNvPr descr="images/c8_08_proximite_redondance.png" id="81" name="Picture"/>
                          <pic:cNvPicPr>
                            <a:picLocks noChangeArrowheads="1" noChangeAspect="1"/>
                          </pic:cNvPicPr>
                        </pic:nvPicPr>
                        <pic:blipFill>
                          <a:blip r:embed="rId79"/>
                          <a:stretch>
                            <a:fillRect/>
                          </a:stretch>
                        </pic:blipFill>
                        <pic:spPr bwMode="auto">
                          <a:xfrm>
                            <a:off x="0" y="0"/>
                            <a:ext cx="5334000" cy="3284361"/>
                          </a:xfrm>
                          <a:prstGeom prst="rect">
                            <a:avLst/>
                          </a:prstGeom>
                          <a:noFill/>
                          <a:ln w="9525">
                            <a:noFill/>
                            <a:headEnd/>
                            <a:tailEnd/>
                          </a:ln>
                        </pic:spPr>
                      </pic:pic>
                    </a:graphicData>
                  </a:graphic>
                </wp:inline>
              </w:drawing>
            </w:r>
          </w:p>
          <w:p>
            <w:pPr>
              <w:jc w:val="center"/>
            </w:pPr>
            <w:pPr>
              <w:jc w:val="left"/>
              <w:spacing w:before="200"/>
              <w:pStyle w:val="ImageCaption"/>
            </w:pPr>
            <w:r>
              <w:t xml:space="preserve">Figure 7: Variance d’estimation d’un bloc selon la configuration des données (agglomérées, bien réparties, peu/beaucoup de données, petit/grand bloc).</w:t>
            </w:r>
          </w:p>
          <w:bookmarkEnd w:id="82"/>
        </w:tc>
      </w:tr>
    </w:tbl>
    <w:bookmarkEnd w:id="83"/>
    <w:bookmarkStart w:id="84" w:name="remarques-importantes"/>
    <w:p>
      <w:pPr>
        <w:pStyle w:val="Heading3"/>
      </w:pPr>
      <w:r>
        <w:t xml:space="preserve">Remarques importantes</w:t>
      </w:r>
    </w:p>
    <w:p>
      <w:pPr>
        <w:pStyle w:val="Compact"/>
        <w:numPr>
          <w:ilvl w:val="0"/>
          <w:numId w:val="1012"/>
        </w:numPr>
      </w:pPr>
      <w:r>
        <w:t xml:space="preserve">On reconnaît trois composantes : un terme lié au bloc (</w:t>
      </w:r>
      <m:oMath>
        <m:acc>
          <m:accPr>
            <m:chr m:val="‾"/>
          </m:accPr>
          <m:e>
            <m:r>
              <m:t>γ</m:t>
            </m:r>
          </m:e>
        </m:acc>
        <m:d>
          <m:dPr>
            <m:begChr m:val="("/>
            <m:sepChr m:val=""/>
            <m:endChr m:val=")"/>
            <m:grow/>
          </m:dPr>
          <m:e>
            <m:r>
              <m:t>v</m:t>
            </m:r>
            <m:r>
              <m:rPr>
                <m:sty m:val="p"/>
              </m:rPr>
              <m:t>,</m:t>
            </m:r>
            <m:r>
              <m:t>v</m:t>
            </m:r>
          </m:e>
        </m:d>
      </m:oMath>
      <w:r>
        <w:t xml:space="preserve">), un terme lié aux points (</w:t>
      </w:r>
      <m:oMath>
        <m:acc>
          <m:accPr>
            <m:chr m:val="‾"/>
          </m:accPr>
          <m:e>
            <m:r>
              <m:t>γ</m:t>
            </m:r>
          </m:e>
        </m:acc>
        <m:d>
          <m:dPr>
            <m:begChr m:val="("/>
            <m:sepChr m:val=""/>
            <m:endChr m:val=")"/>
            <m:grow/>
          </m:dPr>
          <m:e>
            <m:sSub>
              <m:e>
                <m:r>
                  <m:rPr>
                    <m:sty m:val="b"/>
                  </m:rPr>
                  <m:t>x</m:t>
                </m:r>
              </m:e>
              <m:sub>
                <m:r>
                  <m:t>i</m:t>
                </m:r>
              </m:sub>
            </m:sSub>
            <m:r>
              <m:rPr>
                <m:sty m:val="p"/>
              </m:rPr>
              <m:t>,</m:t>
            </m:r>
            <m:sSub>
              <m:e>
                <m:r>
                  <m:rPr>
                    <m:sty m:val="b"/>
                  </m:rPr>
                  <m:t>x</m:t>
                </m:r>
              </m:e>
              <m:sub>
                <m:r>
                  <m:t>j</m:t>
                </m:r>
              </m:sub>
            </m:sSub>
          </m:e>
        </m:d>
      </m:oMath>
      <w:r>
        <w:t xml:space="preserve">) et un terme croisé (</w:t>
      </w:r>
      <m:oMath>
        <m:acc>
          <m:accPr>
            <m:chr m:val="‾"/>
          </m:accPr>
          <m:e>
            <m:r>
              <m:t>γ</m:t>
            </m:r>
          </m:e>
        </m:acc>
        <m:d>
          <m:dPr>
            <m:begChr m:val="("/>
            <m:sepChr m:val=""/>
            <m:endChr m:val=")"/>
            <m:grow/>
          </m:dPr>
          <m:e>
            <m:sSub>
              <m:e>
                <m:r>
                  <m:rPr>
                    <m:sty m:val="b"/>
                  </m:rPr>
                  <m:t>x</m:t>
                </m:r>
              </m:e>
              <m:sub>
                <m:r>
                  <m:t>i</m:t>
                </m:r>
              </m:sub>
            </m:sSub>
            <m:r>
              <m:rPr>
                <m:sty m:val="p"/>
              </m:rPr>
              <m:t>,</m:t>
            </m:r>
            <m:r>
              <m:t>v</m:t>
            </m:r>
          </m:e>
        </m:d>
      </m:oMath>
      <w:r>
        <w:t xml:space="preserve">).</w:t>
      </w:r>
    </w:p>
    <w:p>
      <w:pPr>
        <w:pStyle w:val="Compact"/>
        <w:numPr>
          <w:ilvl w:val="0"/>
          <w:numId w:val="1012"/>
        </w:numPr>
      </w:pPr>
      <w:r>
        <w:t xml:space="preserve">La variance d’estimation est une mesure de précision moyenne, pour une configuration géométrique donnée. Elle ne dépend pas des teneurs mesurées, seulement de la géométrie et du variogramme.</w:t>
      </w:r>
    </w:p>
    <w:p>
      <w:pPr>
        <w:pStyle w:val="Compact"/>
        <w:numPr>
          <w:ilvl w:val="0"/>
          <w:numId w:val="1012"/>
        </w:numPr>
      </w:pPr>
      <w:r>
        <w:t xml:space="preserve">Le krigeage, justement, consiste à choisir les poids</w:t>
      </w:r>
      <w:r>
        <w:t xml:space="preserve"> </w:t>
      </w:r>
      <m:oMath>
        <m:sSub>
          <m:e>
            <m:r>
              <m:t>λ</m:t>
            </m:r>
          </m:e>
          <m:sub>
            <m:r>
              <m:t>i</m:t>
            </m:r>
          </m:sub>
        </m:sSub>
      </m:oMath>
      <w:r>
        <w:t xml:space="preserve"> </w:t>
      </w:r>
      <w:r>
        <w:t xml:space="preserve">qui minimisent cette variance</w:t>
      </w:r>
      <w:r>
        <w:t xml:space="preserve"> </w:t>
      </w:r>
      <m:oMath>
        <m:sSubSup>
          <m:e>
            <m:r>
              <m:t>σ</m:t>
            </m:r>
          </m:e>
          <m:sub>
            <m:r>
              <m:t>e</m:t>
            </m:r>
          </m:sub>
          <m:sup>
            <m:r>
              <m:t>2</m:t>
            </m:r>
          </m:sup>
        </m:sSubSup>
      </m:oMath>
      <w:r>
        <w:t xml:space="preserve">.</w:t>
      </w:r>
    </w:p>
    <w:bookmarkEnd w:id="84"/>
    <w:bookmarkStart w:id="85" w:name="formulation-avec-le-variogramme"/>
    <w:p>
      <w:pPr>
        <w:pStyle w:val="Heading3"/>
      </w:pPr>
      <w:r>
        <w:t xml:space="preserve">Formulation avec le variogramme</w:t>
      </w:r>
    </w:p>
    <w:p>
      <w:pPr>
        <w:pStyle w:val="FirstParagraph"/>
      </w:pPr>
      <w:r>
        <w:t xml:space="preserve">En utilisant la relation</w:t>
      </w:r>
      <w:r>
        <w:t xml:space="preserve"> </w:t>
      </w:r>
      <m:oMath>
        <m:r>
          <m:rPr>
            <m:sty m:val="p"/>
          </m:rPr>
          <m:t>Cov</m:t>
        </m:r>
        <m:d>
          <m:dPr>
            <m:begChr m:val="("/>
            <m:sepChr m:val=""/>
            <m:endChr m:val=")"/>
            <m:grow/>
          </m:dPr>
          <m:e>
            <m:sSub>
              <m:e>
                <m:r>
                  <m:t>Z</m:t>
                </m:r>
              </m:e>
              <m:sub>
                <m:r>
                  <m:t>i</m:t>
                </m:r>
              </m:sub>
            </m:sSub>
            <m:r>
              <m:rPr>
                <m:sty m:val="p"/>
              </m:rPr>
              <m:t>,</m:t>
            </m:r>
            <m:sSub>
              <m:e>
                <m:r>
                  <m:t>Z</m:t>
                </m:r>
              </m:e>
              <m:sub>
                <m:r>
                  <m:t>j</m:t>
                </m:r>
              </m:sub>
            </m:sSub>
          </m:e>
        </m:d>
        <m:r>
          <m:rPr>
            <m:sty m:val="p"/>
          </m:rPr>
          <m:t>=</m:t>
        </m:r>
        <m:sSup>
          <m:e>
            <m:r>
              <m:t>σ</m:t>
            </m:r>
          </m:e>
          <m:sup>
            <m:r>
              <m:t>2</m:t>
            </m:r>
          </m:sup>
        </m:sSup>
        <m:r>
          <m:rPr>
            <m:sty m:val="p"/>
          </m:rPr>
          <m:t>−</m:t>
        </m:r>
        <m:r>
          <m:t>γ</m:t>
        </m:r>
        <m:d>
          <m:dPr>
            <m:begChr m:val="("/>
            <m:sepChr m:val=""/>
            <m:endChr m:val=")"/>
            <m:grow/>
          </m:dPr>
          <m:e>
            <m:sSub>
              <m:e>
                <m:r>
                  <m:rPr>
                    <m:sty m:val="b"/>
                  </m:rPr>
                  <m:t>x</m:t>
                </m:r>
              </m:e>
              <m:sub>
                <m:r>
                  <m:t>i</m:t>
                </m:r>
              </m:sub>
            </m:sSub>
            <m:r>
              <m:rPr>
                <m:sty m:val="p"/>
              </m:rPr>
              <m:t>−</m:t>
            </m:r>
            <m:sSub>
              <m:e>
                <m:r>
                  <m:rPr>
                    <m:sty m:val="b"/>
                  </m:rPr>
                  <m:t>x</m:t>
                </m:r>
              </m:e>
              <m:sub>
                <m:r>
                  <m:t>j</m:t>
                </m:r>
              </m:sub>
            </m:sSub>
          </m:e>
        </m:d>
      </m:oMath>
      <w:r>
        <w:t xml:space="preserve">, la variance d’estimation se réécrit avec le variogramme moyen</w:t>
      </w:r>
      <w:r>
        <w:t xml:space="preserve"> </w:t>
      </w:r>
      <m:oMath>
        <m:acc>
          <m:accPr>
            <m:chr m:val="‾"/>
          </m:accPr>
          <m:e>
            <m:r>
              <m:t>γ</m:t>
            </m:r>
          </m:e>
        </m:acc>
      </m:oMath>
      <w:r>
        <w:t xml:space="preserve"> </w:t>
      </w:r>
      <w:r>
        <w:t xml:space="preserve">introduit plus haut :</w:t>
      </w:r>
    </w:p>
    <w:p>
      <w:pPr>
        <w:pStyle w:val="BodyText"/>
      </w:pPr>
      <m:oMathPara>
        <m:oMathParaPr>
          <m:jc m:val="center"/>
        </m:oMathParaPr>
        <m:oMath>
          <m:sSubSup>
            <m:e>
              <m:r>
                <m:t>σ</m:t>
              </m:r>
            </m:e>
            <m:sub>
              <m:r>
                <m:t>e</m:t>
              </m:r>
            </m:sub>
            <m:sup>
              <m:r>
                <m:t>2</m:t>
              </m:r>
            </m:sup>
          </m:sSubSup>
          <m:r>
            <m:rPr>
              <m:sty m:val="p"/>
            </m:rPr>
            <m:t>=</m:t>
          </m:r>
          <m:r>
            <m:t>2</m:t>
          </m:r>
          <m:nary>
            <m:naryPr>
              <m:chr m:val="∑"/>
              <m:limLoc m:val="undOvr"/>
              <m:subHide m:val="off"/>
              <m:supHide m:val="on"/>
            </m:naryPr>
            <m:sub>
              <m:r>
                <m:t>i</m:t>
              </m:r>
            </m:sub>
            <m:sup>
              <m:r>
                <m:t>​</m:t>
              </m:r>
            </m:sup>
            <m:e>
              <m:sSub>
                <m:e>
                  <m:r>
                    <m:t>λ</m:t>
                  </m:r>
                </m:e>
                <m:sub>
                  <m:r>
                    <m:t>i</m:t>
                  </m:r>
                </m:sub>
              </m:sSub>
            </m:e>
          </m:nary>
          <m:acc>
            <m:accPr>
              <m:chr m:val="‾"/>
            </m:accPr>
            <m:e>
              <m:r>
                <m:t>γ</m:t>
              </m:r>
            </m:e>
          </m:acc>
          <m:d>
            <m:dPr>
              <m:begChr m:val="("/>
              <m:sepChr m:val=""/>
              <m:endChr m:val=")"/>
              <m:grow/>
            </m:dPr>
            <m:e>
              <m:sSub>
                <m:e>
                  <m:r>
                    <m:rPr>
                      <m:sty m:val="b"/>
                    </m:rPr>
                    <m:t>x</m:t>
                  </m:r>
                </m:e>
                <m:sub>
                  <m:r>
                    <m:t>i</m:t>
                  </m:r>
                </m:sub>
              </m:sSub>
              <m:r>
                <m:rPr>
                  <m:sty m:val="p"/>
                </m:rPr>
                <m:t>,</m:t>
              </m:r>
              <m:r>
                <m:t>v</m:t>
              </m:r>
            </m:e>
          </m:d>
          <m:r>
            <m:rPr>
              <m:sty m:val="p"/>
            </m:rPr>
            <m:t>−</m:t>
          </m:r>
          <m:nary>
            <m:naryPr>
              <m:chr m:val="∑"/>
              <m:limLoc m:val="undOvr"/>
              <m:subHide m:val="off"/>
              <m:supHide m:val="on"/>
            </m:naryPr>
            <m:sub>
              <m:r>
                <m:t>i</m:t>
              </m:r>
              <m:r>
                <m:rPr>
                  <m:sty m:val="p"/>
                </m:rPr>
                <m:t>,</m:t>
              </m:r>
              <m:r>
                <m:t>j</m:t>
              </m:r>
            </m:sub>
            <m:sup>
              <m:r>
                <m:t>​</m:t>
              </m:r>
            </m:sup>
            <m:e>
              <m:sSub>
                <m:e>
                  <m:r>
                    <m:t>λ</m:t>
                  </m:r>
                </m:e>
                <m:sub>
                  <m:r>
                    <m:t>i</m:t>
                  </m:r>
                </m:sub>
              </m:sSub>
            </m:e>
          </m:nary>
          <m:sSub>
            <m:e>
              <m:r>
                <m:t>λ</m:t>
              </m:r>
            </m:e>
            <m:sub>
              <m:r>
                <m:t>j</m:t>
              </m:r>
            </m:sub>
          </m:sSub>
          <m:acc>
            <m:accPr>
              <m:chr m:val="‾"/>
            </m:accPr>
            <m:e>
              <m:r>
                <m:t>γ</m:t>
              </m:r>
            </m:e>
          </m:acc>
          <m:d>
            <m:dPr>
              <m:begChr m:val="("/>
              <m:sepChr m:val=""/>
              <m:endChr m:val=")"/>
              <m:grow/>
            </m:dPr>
            <m:e>
              <m:sSub>
                <m:e>
                  <m:r>
                    <m:rPr>
                      <m:sty m:val="b"/>
                    </m:rPr>
                    <m:t>x</m:t>
                  </m:r>
                </m:e>
                <m:sub>
                  <m:r>
                    <m:t>i</m:t>
                  </m:r>
                </m:sub>
              </m:sSub>
              <m:r>
                <m:rPr>
                  <m:sty m:val="p"/>
                </m:rPr>
                <m:t>,</m:t>
              </m:r>
              <m:sSub>
                <m:e>
                  <m:r>
                    <m:rPr>
                      <m:sty m:val="b"/>
                    </m:rPr>
                    <m:t>x</m:t>
                  </m:r>
                </m:e>
                <m:sub>
                  <m:r>
                    <m:t>j</m:t>
                  </m:r>
                </m:sub>
              </m:sSub>
            </m:e>
          </m:d>
          <m:r>
            <m:rPr>
              <m:sty m:val="p"/>
            </m:rPr>
            <m:t>−</m:t>
          </m:r>
          <m:acc>
            <m:accPr>
              <m:chr m:val="‾"/>
            </m:accPr>
            <m:e>
              <m:r>
                <m:t>γ</m:t>
              </m:r>
            </m:e>
          </m:acc>
          <m:d>
            <m:dPr>
              <m:begChr m:val="("/>
              <m:sepChr m:val=""/>
              <m:endChr m:val=")"/>
              <m:grow/>
            </m:dPr>
            <m:e>
              <m:r>
                <m:t>v</m:t>
              </m:r>
              <m:r>
                <m:rPr>
                  <m:sty m:val="p"/>
                </m:rPr>
                <m:t>,</m:t>
              </m:r>
              <m:r>
                <m:t>v</m:t>
              </m:r>
            </m:e>
          </m:d>
        </m:oMath>
      </m:oMathPara>
    </w:p>
    <w:bookmarkEnd w:id="85"/>
    <w:bookmarkStart w:id="86" w:name="variance-dextension"/>
    <w:p>
      <w:pPr>
        <w:pStyle w:val="Heading3"/>
      </w:pPr>
      <w:r>
        <w:t xml:space="preserve">Variance d’extension</w:t>
      </w:r>
    </w:p>
    <w:p>
      <w:pPr>
        <w:pStyle w:val="FirstParagraph"/>
      </w:pPr>
      <w:r>
        <w:t xml:space="preserve">La</w:t>
      </w:r>
      <w:r>
        <w:t xml:space="preserve"> </w:t>
      </w:r>
      <w:r>
        <w:rPr>
          <w:b/>
          <w:bCs/>
        </w:rPr>
        <w:t xml:space="preserve">variance d’extension</w:t>
      </w:r>
      <w:r>
        <w:t xml:space="preserve"> </w:t>
      </w:r>
      <w:r>
        <w:t xml:space="preserve">est le cas particulier où l’on étend la valeur d’un support</w:t>
      </w:r>
      <w:r>
        <w:t xml:space="preserve"> </w:t>
      </w:r>
      <m:oMath>
        <m:r>
          <m:t>v</m:t>
        </m:r>
      </m:oMath>
      <w:r>
        <w:t xml:space="preserve"> </w:t>
      </w:r>
      <w:r>
        <w:t xml:space="preserve">(point, segment, surface) à un volume supérieur</w:t>
      </w:r>
      <w:r>
        <w:t xml:space="preserve"> </w:t>
      </w:r>
      <m:oMath>
        <m:r>
          <m:t>V</m:t>
        </m:r>
      </m:oMath>
      <w:r>
        <w:t xml:space="preserve">, sans optimiser les poids : on donne à</w:t>
      </w:r>
      <w:r>
        <w:t xml:space="preserve"> </w:t>
      </w:r>
      <m:oMath>
        <m:r>
          <m:t>v</m:t>
        </m:r>
      </m:oMath>
      <w:r>
        <w:t xml:space="preserve"> </w:t>
      </w:r>
      <w:r>
        <w:t xml:space="preserve">un poids unitaire, au lieu de chercher les</w:t>
      </w:r>
      <w:r>
        <w:t xml:space="preserve"> </w:t>
      </w:r>
      <m:oMath>
        <m:sSub>
          <m:e>
            <m:r>
              <m:t>λ</m:t>
            </m:r>
          </m:e>
          <m:sub>
            <m:r>
              <m:t>i</m:t>
            </m:r>
          </m:sub>
        </m:sSub>
      </m:oMath>
      <w:r>
        <w:t xml:space="preserve"> </w:t>
      </w:r>
      <w:r>
        <w:t xml:space="preserve">du krigeage. L’expression précédente se réduit alors à</w:t>
      </w:r>
    </w:p>
    <w:p>
      <w:pPr>
        <w:pStyle w:val="BodyText"/>
      </w:pPr>
      <m:oMathPara>
        <m:oMathParaPr>
          <m:jc m:val="center"/>
        </m:oMathParaPr>
        <m:oMath>
          <m:sSubSup>
            <m:e>
              <m:r>
                <m:t>σ</m:t>
              </m:r>
            </m:e>
            <m:sub>
              <m:r>
                <m:t>e</m:t>
              </m:r>
            </m:sub>
            <m:sup>
              <m:r>
                <m:t>2</m:t>
              </m:r>
            </m:sup>
          </m:sSubSup>
          <m:r>
            <m:rPr>
              <m:sty m:val="p"/>
            </m:rPr>
            <m:t>=</m:t>
          </m:r>
          <m:r>
            <m:t>2</m:t>
          </m:r>
          <m:r>
            <m:t> </m:t>
          </m:r>
          <m:acc>
            <m:accPr>
              <m:chr m:val="‾"/>
            </m:accPr>
            <m:e>
              <m:r>
                <m:t>γ</m:t>
              </m:r>
            </m:e>
          </m:acc>
          <m:d>
            <m:dPr>
              <m:begChr m:val="("/>
              <m:sepChr m:val=""/>
              <m:endChr m:val=")"/>
              <m:grow/>
            </m:dPr>
            <m:e>
              <m:r>
                <m:t>v</m:t>
              </m:r>
              <m:r>
                <m:rPr>
                  <m:sty m:val="p"/>
                </m:rPr>
                <m:t>,</m:t>
              </m:r>
              <m:r>
                <m:t>V</m:t>
              </m:r>
            </m:e>
          </m:d>
          <m:r>
            <m:rPr>
              <m:sty m:val="p"/>
            </m:rPr>
            <m:t>−</m:t>
          </m:r>
          <m:acc>
            <m:accPr>
              <m:chr m:val="‾"/>
            </m:accPr>
            <m:e>
              <m:r>
                <m:t>γ</m:t>
              </m:r>
            </m:e>
          </m:acc>
          <m:d>
            <m:dPr>
              <m:begChr m:val="("/>
              <m:sepChr m:val=""/>
              <m:endChr m:val=")"/>
              <m:grow/>
            </m:dPr>
            <m:e>
              <m:r>
                <m:t>v</m:t>
              </m:r>
              <m:r>
                <m:rPr>
                  <m:sty m:val="p"/>
                </m:rPr>
                <m:t>,</m:t>
              </m:r>
              <m:r>
                <m:t>v</m:t>
              </m:r>
            </m:e>
          </m:d>
          <m:r>
            <m:rPr>
              <m:sty m:val="p"/>
            </m:rPr>
            <m:t>−</m:t>
          </m:r>
          <m:acc>
            <m:accPr>
              <m:chr m:val="‾"/>
            </m:accPr>
            <m:e>
              <m:r>
                <m:t>γ</m:t>
              </m:r>
            </m:e>
          </m:acc>
          <m:d>
            <m:dPr>
              <m:begChr m:val="("/>
              <m:sepChr m:val=""/>
              <m:endChr m:val=")"/>
              <m:grow/>
            </m:dPr>
            <m:e>
              <m:r>
                <m:t>V</m:t>
              </m:r>
              <m:r>
                <m:rPr>
                  <m:sty m:val="p"/>
                </m:rPr>
                <m:t>,</m:t>
              </m:r>
              <m:r>
                <m:t>V</m:t>
              </m:r>
            </m:e>
          </m:d>
          <m:r>
            <m:rPr>
              <m:sty m:val="p"/>
            </m:rPr>
            <m:t>,</m:t>
          </m:r>
        </m:oMath>
      </m:oMathPara>
    </w:p>
    <w:p>
      <w:pPr>
        <w:pStyle w:val="FirstParagraph"/>
      </w:pPr>
      <w:r>
        <w:t xml:space="preserve">une forme symétrique en</w:t>
      </w:r>
      <w:r>
        <w:t xml:space="preserve"> </w:t>
      </w:r>
      <m:oMath>
        <m:acc>
          <m:accPr>
            <m:chr m:val="‾"/>
          </m:accPr>
          <m:e>
            <m:r>
              <m:t>γ</m:t>
            </m:r>
          </m:e>
        </m:acc>
      </m:oMath>
      <w:r>
        <w:t xml:space="preserve">, qui ne dépend que de la géométrie des deux supports. Ces situations simples se prêtent bien à l’usage d’abaques pour évaluer rapidement la précision.</w:t>
      </w:r>
    </w:p>
    <w:bookmarkEnd w:id="86"/>
    <w:bookmarkStart w:id="100" w:name="combinaison-derreurs-élémentaires"/>
    <w:p>
      <w:pPr>
        <w:pStyle w:val="Heading3"/>
      </w:pPr>
      <w:r>
        <w:t xml:space="preserve">Combinaison d’erreurs élémentaires</w:t>
      </w:r>
    </w:p>
    <w:p>
      <w:pPr>
        <w:pStyle w:val="FirstParagraph"/>
      </w:pPr>
      <w:r>
        <w:t xml:space="preserve">Pour estimer un grand volume</w:t>
      </w:r>
      <w:r>
        <w:t xml:space="preserve"> </w:t>
      </w:r>
      <m:oMath>
        <m:r>
          <m:t>V</m:t>
        </m:r>
      </m:oMath>
      <w:r>
        <w:t xml:space="preserve"> </w:t>
      </w:r>
      <w:r>
        <w:t xml:space="preserve">à partir de nombreuses données, le calcul direct oblige à inverser un grand système de krigeage. L’idée de la combinaison d’erreurs est d’éviter ce calcul global : on découpe le domaine en</w:t>
      </w:r>
      <w:r>
        <w:t xml:space="preserve"> </w:t>
      </w:r>
      <m:oMath>
        <m:r>
          <m:t>n</m:t>
        </m:r>
      </m:oMath>
      <w:r>
        <w:t xml:space="preserve"> </w:t>
      </w:r>
      <w:r>
        <w:t xml:space="preserve">sous-domaines</w:t>
      </w:r>
      <w:r>
        <w:t xml:space="preserve"> </w:t>
      </w:r>
      <m:oMath>
        <m:sSub>
          <m:e>
            <m:r>
              <m:t>v</m:t>
            </m:r>
          </m:e>
          <m:sub>
            <m:r>
              <m:t>i</m:t>
            </m:r>
          </m:sub>
        </m:sSub>
      </m:oMath>
      <w:r>
        <w:t xml:space="preserve">, on évalue l’erreur élémentaire sur chacun, et l’erreur globale s’obtient par simple somme, à condition que les erreurs élémentaires soient indépendantes. La forme de cette somme dépend du plan d’échantillonnage (</w:t>
      </w:r>
      <w:hyperlink w:anchor="fig-c8-patrons">
        <w:r>
          <w:rPr>
            <w:rStyle w:val="Hyperlink"/>
          </w:rPr>
          <w:t xml:space="preserve">Figure 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90" w:name="fig-c8-patrons"/>
          <w:p>
            <w:pPr>
              <w:pStyle w:val="Compact"/>
              <w:jc w:val="center"/>
            </w:pPr>
            <w:r>
              <w:drawing>
                <wp:inline>
                  <wp:extent cx="4800600" cy="1702526"/>
                  <wp:effectExtent b="0" l="0" r="0" t="0"/>
                  <wp:docPr descr="" title="" id="88" name="Picture"/>
                  <a:graphic>
                    <a:graphicData uri="http://schemas.openxmlformats.org/drawingml/2006/picture">
                      <pic:pic>
                        <pic:nvPicPr>
                          <pic:cNvPr descr="images/c8_03_patrons.png" id="89" name="Picture"/>
                          <pic:cNvPicPr>
                            <a:picLocks noChangeArrowheads="1" noChangeAspect="1"/>
                          </pic:cNvPicPr>
                        </pic:nvPicPr>
                        <pic:blipFill>
                          <a:blip r:embed="rId87"/>
                          <a:stretch>
                            <a:fillRect/>
                          </a:stretch>
                        </pic:blipFill>
                        <pic:spPr bwMode="auto">
                          <a:xfrm>
                            <a:off x="0" y="0"/>
                            <a:ext cx="4800600" cy="1702526"/>
                          </a:xfrm>
                          <a:prstGeom prst="rect">
                            <a:avLst/>
                          </a:prstGeom>
                          <a:noFill/>
                          <a:ln w="9525">
                            <a:noFill/>
                            <a:headEnd/>
                            <a:tailEnd/>
                          </a:ln>
                        </pic:spPr>
                      </pic:pic>
                    </a:graphicData>
                  </a:graphic>
                </wp:inline>
              </w:drawing>
            </w:r>
          </w:p>
          <w:p>
            <w:pPr>
              <w:jc w:val="center"/>
            </w:pPr>
            <w:pPr>
              <w:jc w:val="left"/>
              <w:spacing w:before="200"/>
              <w:pStyle w:val="ImageCaption"/>
            </w:pPr>
            <w:r>
              <w:t xml:space="preserve">Figure 8: Trois plans d’échantillonnage : grille régulière, aléatoire stratifié et quelconque.</w:t>
            </w:r>
          </w:p>
          <w:bookmarkEnd w:id="90"/>
        </w:tc>
      </w:tr>
    </w:tbl>
    <w:bookmarkStart w:id="91" w:name="i.-grille-régulière-square-grid"/>
    <w:p>
      <w:pPr>
        <w:pStyle w:val="Heading4"/>
      </w:pPr>
      <w:r>
        <w:t xml:space="preserve">i. Grille régulière (</w:t>
      </w:r>
      <w:r>
        <w:rPr>
          <w:i/>
          <w:iCs/>
        </w:rPr>
        <w:t xml:space="preserve">square grid</w:t>
      </w:r>
      <w:r>
        <w:t xml:space="preserve">)</w:t>
      </w:r>
    </w:p>
    <w:p>
      <w:pPr>
        <w:pStyle w:val="FirstParagraph"/>
      </w:pPr>
      <w:r>
        <w:t xml:space="preserve">Si chaque point</w:t>
      </w:r>
      <w:r>
        <w:t xml:space="preserve"> </w:t>
      </w:r>
      <m:oMath>
        <m:sSub>
          <m:e>
            <m:r>
              <m:t>Z</m:t>
            </m:r>
          </m:e>
          <m:sub>
            <m:r>
              <m:t>i</m:t>
            </m:r>
          </m:sub>
        </m:sSub>
      </m:oMath>
      <w:r>
        <w:t xml:space="preserve"> </w:t>
      </w:r>
      <w:r>
        <w:t xml:space="preserve">représente un bloc de même taille, de variance d’erreur</w:t>
      </w:r>
      <w:r>
        <w:t xml:space="preserve"> </w:t>
      </w:r>
      <m:oMath>
        <m:sSubSup>
          <m:e>
            <m:r>
              <m:t>σ</m:t>
            </m:r>
          </m:e>
          <m:sub>
            <m:r>
              <m:t>e</m:t>
            </m:r>
          </m:sub>
          <m:sup>
            <m:r>
              <m:t>2</m:t>
            </m:r>
          </m:sup>
        </m:sSubSup>
      </m:oMath>
      <w:r>
        <w:t xml:space="preserve">, alors :</w:t>
      </w:r>
    </w:p>
    <w:p>
      <w:pPr>
        <w:pStyle w:val="BodyText"/>
      </w:pPr>
      <m:oMathPara>
        <m:oMathParaPr>
          <m:jc m:val="center"/>
        </m:oMathParaPr>
        <m:oMath>
          <m:sSubSup>
            <m:e>
              <m:r>
                <m:t>σ</m:t>
              </m:r>
            </m:e>
            <m:sub>
              <m:r>
                <m:t>e</m:t>
              </m:r>
            </m:sub>
            <m:sup>
              <m:r>
                <m:t>2</m:t>
              </m:r>
            </m:sup>
          </m:sSubSup>
          <m:d>
            <m:dPr>
              <m:begChr m:val="("/>
              <m:sepChr m:val=""/>
              <m:endChr m:val=")"/>
              <m:grow/>
            </m:dPr>
            <m:e>
              <m:r>
                <m:rPr>
                  <m:nor/>
                  <m:sty m:val="p"/>
                </m:rPr>
                <m:t>globale</m:t>
              </m:r>
            </m:e>
          </m:d>
          <m:r>
            <m:rPr>
              <m:sty m:val="p"/>
            </m:rPr>
            <m:t>=</m:t>
          </m:r>
          <m:f>
            <m:fPr>
              <m:type m:val="bar"/>
            </m:fPr>
            <m:num>
              <m:sSubSup>
                <m:e>
                  <m:r>
                    <m:t>σ</m:t>
                  </m:r>
                </m:e>
                <m:sub>
                  <m:r>
                    <m:t>e</m:t>
                  </m:r>
                </m:sub>
                <m:sup>
                  <m:r>
                    <m:t>2</m:t>
                  </m:r>
                </m:sup>
              </m:sSubSup>
            </m:num>
            <m:den>
              <m:r>
                <m:t>n</m:t>
              </m:r>
            </m:den>
          </m:f>
        </m:oMath>
      </m:oMathPara>
    </w:p>
    <w:bookmarkEnd w:id="91"/>
    <w:bookmarkStart w:id="92" w:name="X9cc877d1d028f2840f82e8ef208c43c9e2b36d6"/>
    <w:p>
      <w:pPr>
        <w:pStyle w:val="Heading4"/>
      </w:pPr>
      <w:r>
        <w:t xml:space="preserve">ii. Échantillonnage aléatoire stratifié (</w:t>
      </w:r>
      <w:r>
        <w:rPr>
          <w:i/>
          <w:iCs/>
        </w:rPr>
        <w:t xml:space="preserve">stratified random</w:t>
      </w:r>
      <w:r>
        <w:t xml:space="preserve">)</w:t>
      </w:r>
    </w:p>
    <w:p>
      <w:pPr>
        <w:pStyle w:val="FirstParagraph"/>
      </w:pPr>
      <w:r>
        <w:t xml:space="preserve">Si le point est placé au hasard dans le bloc</w:t>
      </w:r>
      <w:r>
        <w:t xml:space="preserve"> </w:t>
      </w:r>
      <m:oMath>
        <m:sSub>
          <m:e>
            <m:r>
              <m:t>v</m:t>
            </m:r>
          </m:e>
          <m:sub>
            <m:r>
              <m:t>i</m:t>
            </m:r>
          </m:sub>
        </m:sSub>
      </m:oMath>
      <w:r>
        <w:t xml:space="preserve"> </w:t>
      </w:r>
      <w:r>
        <w:t xml:space="preserve">:</w:t>
      </w:r>
    </w:p>
    <w:p>
      <w:pPr>
        <w:pStyle w:val="BodyText"/>
      </w:pPr>
      <m:oMathPara>
        <m:oMathParaPr>
          <m:jc m:val="center"/>
        </m:oMathParaPr>
        <m:oMath>
          <m:sSubSup>
            <m:e>
              <m:r>
                <m:t>σ</m:t>
              </m:r>
            </m:e>
            <m:sub>
              <m:r>
                <m:t>e</m:t>
              </m:r>
            </m:sub>
            <m:sup>
              <m:r>
                <m:t>2</m:t>
              </m:r>
            </m:sup>
          </m:sSubSup>
          <m:d>
            <m:dPr>
              <m:begChr m:val="("/>
              <m:sepChr m:val=""/>
              <m:endChr m:val=")"/>
              <m:grow/>
            </m:dPr>
            <m:e>
              <m:r>
                <m:rPr>
                  <m:nor/>
                  <m:sty m:val="p"/>
                </m:rPr>
                <m:t>globale</m:t>
              </m:r>
            </m:e>
          </m:d>
          <m:r>
            <m:rPr>
              <m:sty m:val="p"/>
            </m:rPr>
            <m:t>=</m:t>
          </m:r>
          <m:f>
            <m:fPr>
              <m:type m:val="bar"/>
            </m:fPr>
            <m:num>
              <m:sSup>
                <m:e>
                  <m:r>
                    <m:t>D</m:t>
                  </m:r>
                </m:e>
                <m:sup>
                  <m:r>
                    <m:t>2</m:t>
                  </m:r>
                </m:sup>
              </m:sSup>
              <m:d>
                <m:dPr>
                  <m:begChr m:val="("/>
                  <m:sepChr m:val=""/>
                  <m:endChr m:val=")"/>
                  <m:grow/>
                </m:dPr>
                <m:e>
                  <m:r>
                    <m:rPr>
                      <m:sty m:val="p"/>
                    </m:rPr>
                    <m:t>⋅</m:t>
                  </m:r>
                  <m:r>
                    <m:rPr>
                      <m:sty m:val="p"/>
                    </m:rPr>
                    <m:t>∣</m:t>
                  </m:r>
                  <m:r>
                    <m:t>v</m:t>
                  </m:r>
                </m:e>
              </m:d>
            </m:num>
            <m:den>
              <m:r>
                <m:t>n</m:t>
              </m:r>
            </m:den>
          </m:f>
        </m:oMath>
      </m:oMathPara>
    </w:p>
    <w:bookmarkEnd w:id="92"/>
    <w:bookmarkStart w:id="93" w:name="iii.-échantillonnage-quelconque"/>
    <w:p>
      <w:pPr>
        <w:pStyle w:val="Heading4"/>
      </w:pPr>
      <w:r>
        <w:t xml:space="preserve">iii. Échantillonnage quelconque</w:t>
      </w:r>
    </w:p>
    <w:p>
      <w:pPr>
        <w:pStyle w:val="FirstParagraph"/>
      </w:pPr>
      <w:r>
        <w:t xml:space="preserve">Pour un domaine</w:t>
      </w:r>
      <w:r>
        <w:t xml:space="preserve"> </w:t>
      </w:r>
      <m:oMath>
        <m:r>
          <m:t>V</m:t>
        </m:r>
      </m:oMath>
      <w:r>
        <w:t xml:space="preserve"> </w:t>
      </w:r>
      <w:r>
        <w:t xml:space="preserve">découpé en parcelles</w:t>
      </w:r>
      <w:r>
        <w:t xml:space="preserve"> </w:t>
      </w:r>
      <m:oMath>
        <m:sSub>
          <m:e>
            <m:r>
              <m:t>v</m:t>
            </m:r>
          </m:e>
          <m:sub>
            <m:r>
              <m:t>i</m:t>
            </m:r>
          </m:sub>
        </m:sSub>
      </m:oMath>
      <w:r>
        <w:t xml:space="preserve">, chacune estimée avec ses propres données :</w:t>
      </w:r>
    </w:p>
    <w:p>
      <w:pPr>
        <w:pStyle w:val="BodyText"/>
      </w:pPr>
      <m:oMathPara>
        <m:oMathParaPr>
          <m:jc m:val="center"/>
        </m:oMathParaPr>
        <m:oMath>
          <m:sSubSup>
            <m:e>
              <m:r>
                <m:t>σ</m:t>
              </m:r>
            </m:e>
            <m:sub>
              <m:r>
                <m:t>e</m:t>
              </m:r>
            </m:sub>
            <m:sup>
              <m:r>
                <m:t>2</m:t>
              </m:r>
            </m:sup>
          </m:sSubSup>
          <m:r>
            <m:rPr>
              <m:sty m:val="p"/>
            </m:rPr>
            <m:t>=</m:t>
          </m:r>
          <m:f>
            <m:fPr>
              <m:type m:val="bar"/>
            </m:fPr>
            <m:num>
              <m:r>
                <m:t>1</m:t>
              </m:r>
            </m:num>
            <m:den>
              <m:sSup>
                <m:e>
                  <m:r>
                    <m:t>V</m:t>
                  </m:r>
                </m:e>
                <m:sup>
                  <m:r>
                    <m:t>2</m:t>
                  </m:r>
                </m:sup>
              </m:sSup>
            </m:den>
          </m:f>
          <m:nary>
            <m:naryPr>
              <m:chr m:val="∑"/>
              <m:limLoc m:val="undOvr"/>
              <m:subHide m:val="off"/>
              <m:supHide m:val="off"/>
            </m:naryPr>
            <m:sub>
              <m:r>
                <m:t>i</m:t>
              </m:r>
              <m:r>
                <m:rPr>
                  <m:sty m:val="p"/>
                </m:rPr>
                <m:t>=</m:t>
              </m:r>
              <m:r>
                <m:t>1</m:t>
              </m:r>
            </m:sub>
            <m:sup>
              <m:r>
                <m:t>n</m:t>
              </m:r>
            </m:sup>
            <m:e>
              <m:sSubSup>
                <m:e>
                  <m:r>
                    <m:t>v</m:t>
                  </m:r>
                </m:e>
                <m:sub>
                  <m:r>
                    <m:t>i</m:t>
                  </m:r>
                </m:sub>
                <m:sup>
                  <m:r>
                    <m:t>2</m:t>
                  </m:r>
                </m:sup>
              </m:sSubSup>
            </m:e>
          </m:nary>
          <m:sSubSup>
            <m:e>
              <m:r>
                <m:t>σ</m:t>
              </m:r>
            </m:e>
            <m:sub>
              <m:sSub>
                <m:e>
                  <m:r>
                    <m:t>e</m:t>
                  </m:r>
                </m:e>
                <m:sub>
                  <m:r>
                    <m:t>i</m:t>
                  </m:r>
                </m:sub>
              </m:sSub>
            </m:sub>
            <m:sup>
              <m:r>
                <m:t>2</m:t>
              </m:r>
            </m:sup>
          </m:sSubSup>
        </m:oMath>
      </m:oMathPara>
    </w:p>
    <w:bookmarkEnd w:id="93"/>
    <w:bookmarkStart w:id="94" w:name="remarques"/>
    <w:p>
      <w:pPr>
        <w:pStyle w:val="Heading4"/>
      </w:pPr>
      <w:r>
        <w:t xml:space="preserve">Remarques</w:t>
      </w:r>
    </w:p>
    <w:p>
      <w:pPr>
        <w:pStyle w:val="Compact"/>
        <w:numPr>
          <w:ilvl w:val="0"/>
          <w:numId w:val="1013"/>
        </w:numPr>
      </w:pPr>
      <w:r>
        <w:t xml:space="preserve">La méthode d’estimation (krigeage, polygones, etc.) influence peu l’estimation globale d’un grand champ, mais elle est déterminante pour la précision locale.</w:t>
      </w:r>
    </w:p>
    <w:p>
      <w:pPr>
        <w:pStyle w:val="Compact"/>
        <w:numPr>
          <w:ilvl w:val="0"/>
          <w:numId w:val="1013"/>
        </w:numPr>
      </w:pPr>
      <w:r>
        <w:t xml:space="preserve">Pour que cette simplification tienne, il ne faut pas partager de données entre deux blocs voisins : sinon, les erreurs ne sont plus indépendantes.</w:t>
      </w:r>
    </w:p>
    <w:bookmarkEnd w:id="94"/>
    <w:bookmarkStart w:id="99" w:name="exemple"/>
    <w:p>
      <w:pPr>
        <w:pStyle w:val="Heading4"/>
      </w:pPr>
      <w:r>
        <w:t xml:space="preserve">Exemple</w:t>
      </w:r>
    </w:p>
    <w:p>
      <w:pPr>
        <w:pStyle w:val="FirstParagraph"/>
      </w:pPr>
      <w:r>
        <w:t xml:space="preserve">Une zone a été estimée directement par krigeage (variance de 0,36), puis par combinaison de 4 parcelles (</w:t>
      </w:r>
      <w:hyperlink w:anchor="fig-VarEstimation">
        <w:r>
          <w:rPr>
            <w:rStyle w:val="Hyperlink"/>
          </w:rPr>
          <w:t xml:space="preserve">Figure 9</w:t>
        </w:r>
      </w:hyperlink>
      <w:r>
        <w:t xml:space="preserve">). Les résultats par subdivision sont quasi identiques à ceux du calcul direct, ce qui valide l’approche par combinaison d’erreurs.</w:t>
      </w:r>
    </w:p>
    <w:tbl>
      <w:tblPr>
        <w:tblStyle w:val="Table"/>
        <w:tblW w:type="pct" w:w="5000"/>
        <w:tblLayout w:type="fixed"/>
        <w:tblLook w:firstRow="0" w:lastRow="0" w:firstColumn="0" w:lastColumn="0" w:noHBand="0" w:noVBand="0" w:val="0000"/>
      </w:tblPr>
      <w:tblGrid>
        <w:gridCol w:w="7920"/>
      </w:tblGrid>
      <w:tr>
        <w:tc>
          <w:tcPr/>
          <w:bookmarkStart w:id="98" w:name="fig-VarEstimation"/>
          <w:p>
            <w:pPr>
              <w:pStyle w:val="Compact"/>
              <w:jc w:val="center"/>
            </w:pPr>
            <w:r>
              <w:drawing>
                <wp:inline>
                  <wp:extent cx="2589734" cy="2052604"/>
                  <wp:effectExtent b="0" l="0" r="0" t="0"/>
                  <wp:docPr descr="" title="" id="96" name="Picture"/>
                  <a:graphic>
                    <a:graphicData uri="http://schemas.openxmlformats.org/drawingml/2006/picture">
                      <pic:pic>
                        <pic:nvPicPr>
                          <pic:cNvPr descr="images/C8_VarEstimation.PNG" id="97" name="Picture"/>
                          <pic:cNvPicPr>
                            <a:picLocks noChangeArrowheads="1" noChangeAspect="1"/>
                          </pic:cNvPicPr>
                        </pic:nvPicPr>
                        <pic:blipFill>
                          <a:blip r:embed="rId95"/>
                          <a:stretch>
                            <a:fillRect/>
                          </a:stretch>
                        </pic:blipFill>
                        <pic:spPr bwMode="auto">
                          <a:xfrm>
                            <a:off x="0" y="0"/>
                            <a:ext cx="2589734" cy="2052604"/>
                          </a:xfrm>
                          <a:prstGeom prst="rect">
                            <a:avLst/>
                          </a:prstGeom>
                          <a:noFill/>
                          <a:ln w="9525">
                            <a:noFill/>
                            <a:headEnd/>
                            <a:tailEnd/>
                          </a:ln>
                        </pic:spPr>
                      </pic:pic>
                    </a:graphicData>
                  </a:graphic>
                </wp:inline>
              </w:drawing>
            </w:r>
          </w:p>
          <w:p>
            <w:pPr>
              <w:jc w:val="center"/>
            </w:pPr>
            <w:pPr>
              <w:jc w:val="left"/>
              <w:spacing w:before="200"/>
              <w:pStyle w:val="ImageCaption"/>
            </w:pPr>
            <w:r>
              <w:t xml:space="preserve">Figure 9: Comparaison de l’estimation directe et de la combinaison par parcelles.</w:t>
            </w:r>
          </w:p>
          <w:bookmarkEnd w:id="98"/>
        </w:tc>
      </w:tr>
    </w:tbl>
    <w:bookmarkEnd w:id="99"/>
    <w:bookmarkEnd w:id="100"/>
    <w:bookmarkEnd w:id="101"/>
    <w:bookmarkStart w:id="102" w:name="X9a5c85143112479e24f0d2bfeeeccaf9e4f0d8e"/>
    <w:p>
      <w:pPr>
        <w:pStyle w:val="Heading2"/>
      </w:pPr>
      <w:r>
        <w:t xml:space="preserve">🧮 Atelier interactif 8.4 — Variance d’estimation d’un bloc</w:t>
      </w:r>
    </w:p>
    <w:p>
      <w:pPr>
        <w:pStyle w:val="FirstParagraph"/>
      </w:pPr>
      <w:r>
        <w:t xml:space="preserve">Cet atelier interactif n’est disponible que dans la version web du chapitre.</w:t>
      </w:r>
    </w:p>
    <w:bookmarkEnd w:id="1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30" Target="media/rId30.png" /><Relationship Type="http://schemas.openxmlformats.org/officeDocument/2006/relationships/image" Id="rId35" Target="media/rId35.png" /><Relationship Type="http://schemas.openxmlformats.org/officeDocument/2006/relationships/image" Id="rId67" Target="media/rId67.png" /><Relationship Type="http://schemas.openxmlformats.org/officeDocument/2006/relationships/image" Id="rId61" Target="media/rId61.png" /><Relationship Type="http://schemas.openxmlformats.org/officeDocument/2006/relationships/image" Id="rId95" Target="media/rId95.png" /><Relationship Type="http://schemas.openxmlformats.org/officeDocument/2006/relationships/image" Id="rId41" Target="media/rId41.png" /><Relationship Type="http://schemas.openxmlformats.org/officeDocument/2006/relationships/image" Id="rId87" Target="media/rId87.png" /><Relationship Type="http://schemas.openxmlformats.org/officeDocument/2006/relationships/image" Id="rId48" Target="media/rId48.png" /><Relationship Type="http://schemas.openxmlformats.org/officeDocument/2006/relationships/image" Id="rId79" Target="media/rId7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Variance de blocs, de dispersion et d’estimation</dc:title>
  <dc:creator/>
  <dc:language>fr</dc:language>
  <cp:keywords/>
  <dcterms:created xsi:type="dcterms:W3CDTF">2026-08-01T15:52:38Z</dcterms:created>
  <dcterms:modified xsi:type="dcterms:W3CDTF">2026-08-01T15:52:38Z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Ce chapitre présente la variance de bloc, la variance de dispersion et la variance d’estimation. Il vise à montrer comment la variabilité des teneurs évolue lorsque l’analyse porte non plus uniquement sur des échantillons ponctuels, mais également sur des blocs, des panneaux ou des volumes de plus grande taille. À partir du variogramme, cette variabilité peut être reliée à la continuité spatiale du gisement et quantifiée au moyen de différents calculs, parfois réalisés à l’aide d’abaques. Ces notions sont ensuite mobilisées pour examiner des problèmes plus pratiques, notamment l’homogénéisation du minerai, la variabilité du matériau envoyé au concentrateur et l’effet de la configuration de l’échantillonnage.</vt:lpwstr>
  </property>
  <property fmtid="{D5CDD505-2E9C-101B-9397-08002B2CF9AE}" pid="3" name="biblio-config">
    <vt:lpwstr>True</vt:lpwstr>
  </property>
  <property fmtid="{D5CDD505-2E9C-101B-9397-08002B2CF9AE}" pid="4" name="bibliography">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link-citations">
    <vt:lpwstr>True</vt:lpwstr>
  </property>
  <property fmtid="{D5CDD505-2E9C-101B-9397-08002B2CF9AE}" pid="10" name="number-depth">
    <vt:lpwstr>2</vt:lpwstr>
  </property>
  <property fmtid="{D5CDD505-2E9C-101B-9397-08002B2CF9AE}" pid="11" name="number-equations">
    <vt:lpwstr>True</vt:lpwstr>
  </property>
  <property fmtid="{D5CDD505-2E9C-101B-9397-08002B2CF9AE}" pid="12" name="toc-title">
    <vt:lpwstr>Table des matieres</vt:lpwstr>
  </property>
</Properties>
</file>