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28.png" ContentType="image/png"/>
  <Override PartName="/word/media/rId211.png" ContentType="image/png"/>
  <Override PartName="/word/media/rId201.png" ContentType="image/png"/>
  <Override PartName="/word/media/rId196.png" ContentType="image/png"/>
  <Override PartName="/word/media/rId30.png" ContentType="image/png"/>
  <Override PartName="/word/media/rId206.png" ContentType="image/png"/>
  <Override PartName="/word/media/rId221.png" ContentType="image/png"/>
  <Override PartName="/word/media/rId147.png" ContentType="image/png"/>
  <Override PartName="/word/media/rId143.png" ContentType="image/png"/>
  <Override PartName="/word/media/rId26.png" ContentType="image/png"/>
  <Override PartName="/word/media/rId93.png" ContentType="image/png"/>
  <Override PartName="/word/media/rId133.png" ContentType="image/png"/>
  <Override PartName="/word/media/rId216.png" ContentType="image/png"/>
  <Override PartName="/word/media/rId233.png" ContentType="image/png"/>
  <Override PartName="/word/media/rId114.png" ContentType="image/png"/>
  <Override PartName="/word/media/rId86.png" ContentType="image/png"/>
  <Override PartName="/word/media/rId42.png" ContentType="image/png"/>
  <Override PartName="/word/media/rId118.png" ContentType="image/png"/>
  <Override PartName="/word/media/rId60.png" ContentType="image/png"/>
  <Override PartName="/word/media/rId56.png" ContentType="image/png"/>
  <Override PartName="/word/media/rId64.png" ContentType="image/png"/>
  <Override PartName="/word/media/rId122.png" ContentType="image/png"/>
  <Override PartName="/word/media/rId51.png" ContentType="image/png"/>
  <Override PartName="/word/media/rId178.png" ContentType="image/png"/>
  <Override PartName="/word/media/rId1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Variogramme</w:t>
      </w:r>
    </w:p>
    <w:p>
      <w:pPr>
        <w:pStyle w:val="AbstractTitle"/>
      </w:pPr>
      <w:r>
        <w:t xml:space="preserve">Résumé</w:t>
      </w:r>
    </w:p>
    <w:p>
      <w:pPr>
        <w:pStyle w:val="Abstract"/>
      </w:pPr>
      <w:r>
        <w:t xml:space="preserve">Ce chapitre introduit le variogramme, l’un des outils fondamentaux de la géostatistique. Il permet de décrire la manière dont une variable évolue dans l’espace à partir des données observées. Le calcul du variogramme expérimental est d’abord présenté, suivi de l’ajustement d’un modèle théorique. Cette étape est essentielle, puisque ce modèle est ensuite utilisé dans les méthodes d’estimation et de simulation. Le chapitre aborde également l’anisotropie ainsi que la relation entre le variogramme et la covariance.</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vous serez en mesure de :</w:t>
            </w:r>
          </w:p>
          <w:p>
            <w:pPr>
              <w:numPr>
                <w:ilvl w:val="0"/>
                <w:numId w:val="1001"/>
              </w:numPr>
            </w:pPr>
            <w:r>
              <w:t xml:space="preserve">Définir ce qu’est un variogramme et expliquer son rôle dans la mesure de la continuité spatiale d’une variable régionalisée ;</w:t>
            </w:r>
          </w:p>
          <w:p>
            <w:pPr>
              <w:numPr>
                <w:ilvl w:val="0"/>
                <w:numId w:val="1001"/>
              </w:numPr>
            </w:pPr>
            <w:r>
              <w:t xml:space="preserve">Distinguer le variogramme expérimental du modèle théorique et justifier l’utilisation d’un modèle ajusté ;</w:t>
            </w:r>
          </w:p>
          <w:p>
            <w:pPr>
              <w:numPr>
                <w:ilvl w:val="0"/>
                <w:numId w:val="1001"/>
              </w:numPr>
            </w:pPr>
            <w:r>
              <w:t xml:space="preserve">Calculer un variogramme expérimental à partir de données spatiales ;</w:t>
            </w:r>
          </w:p>
          <w:p>
            <w:pPr>
              <w:numPr>
                <w:ilvl w:val="0"/>
                <w:numId w:val="1001"/>
              </w:numPr>
            </w:pPr>
            <w:r>
              <w:t xml:space="preserve">Ajuster un modèle théorique à un variogramme expérimental ;</w:t>
            </w:r>
          </w:p>
          <w:p>
            <w:pPr>
              <w:numPr>
                <w:ilvl w:val="0"/>
                <w:numId w:val="1001"/>
              </w:numPr>
            </w:pPr>
            <w:r>
              <w:t xml:space="preserve">Intégrer les effets d’anisotropie dans le calcul du variogramme et de la covariance ;</w:t>
            </w:r>
          </w:p>
          <w:p>
            <w:pPr>
              <w:numPr>
                <w:ilvl w:val="0"/>
                <w:numId w:val="1001"/>
              </w:numPr>
            </w:pPr>
            <w:r>
              <w:t xml:space="preserve">Utiliser un modèle de variogramme pour calculer la covariance entre deux points ;</w:t>
            </w:r>
          </w:p>
          <w:p>
            <w:pPr>
              <w:numPr>
                <w:ilvl w:val="0"/>
                <w:numId w:val="1001"/>
              </w:numPr>
            </w:pPr>
            <w:r>
              <w:t xml:space="preserve">Identifier et décrire les principales familles de modèles de variogrammes utilisés en pratique.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w:t>
            </w:r>
          </w:p>
        </w:tc>
      </w:tr>
      <w:tr>
        <w:trPr>
          <w:cantSplit/>
        </w:trPr>
        <w:tc>
          <w:tcPr>
            <w:tcMar>
              <w:top w:w="108" w:type="dxa"/>
              <w:bottom w:w="108" w:type="dxa"/>
            </w:tcMar>
          </w:tcPr>
          <w:p>
            <w:pPr>
              <w:pStyle w:val="BodyText"/>
            </w:pPr>
            <w:pPr>
              <w:spacing w:before="16"/>
            </w:pPr>
            <w:r>
              <w:t xml:space="preserve">Ce chapitre s’appuie principalement sur le livre suivant :</w:t>
            </w:r>
          </w:p>
          <w:p>
            <w:pPr>
              <w:pStyle w:val="BodyText"/>
            </w:pPr>
            <w:pPr>
              <w:spacing w:after="16"/>
            </w:pPr>
            <w:r>
              <w:t xml:space="preserve">Chilès, J., &amp; Delfiner, P. (2012). Geostatistics: Modeling Spatial Uncertainty. John Wiley &amp; Sons.</w:t>
            </w:r>
          </w:p>
          <w:p/>
        </w:tc>
      </w:tr>
    </w:tbl>
    <w:bookmarkStart w:id="35" w:name="principe-général"/>
    <w:p>
      <w:pPr>
        <w:pStyle w:val="Heading2"/>
      </w:pPr>
      <w:r>
        <w:t xml:space="preserve">1 Principe général</w:t>
      </w:r>
    </w:p>
    <w:p>
      <w:pPr>
        <w:pStyle w:val="FirstParagraph"/>
      </w:pPr>
      <w:r>
        <w:t xml:space="preserve">Le variogramme repose sur l’idée que la relation entre deux valeurs dépend de leur séparation dans l’espace. Cette notion rejoint la première loi de la géographie formulée par Waldo Tobler :</w:t>
      </w:r>
    </w:p>
    <w:p>
      <w:pPr>
        <w:pStyle w:val="BlockText"/>
      </w:pPr>
      <w:r>
        <w:t xml:space="preserve">« Toutes choses sont liées, mais elles le sont d’autant plus qu’elles sont proches »</w:t>
      </w:r>
    </w:p>
    <w:p>
      <w:pPr>
        <w:pStyle w:val="FirstParagraph"/>
      </w:pPr>
      <w:r>
        <w:t xml:space="preserve">Dans de nombreux phénomènes naturels, deux observations rapprochées tendent ainsi à présenter des valeurs plus semblables que deux observations éloignées. Cette propriété n’est toutefois ni systématique ni identique dans toutes les directions : elle dépend de l’organisation spatiale du phénomène étudié.</w:t>
      </w:r>
    </w:p>
    <w:p>
      <w:pPr>
        <w:pStyle w:val="BodyText"/>
      </w:pPr>
      <w:r>
        <w:t xml:space="preserve">En géostatistique, cette organisation est décrite par la continuité spatiale. Lorsqu’une teneur élevée est observée à une position donnée, les teneurs voisines peuvent être similaires si la minéralisation présente une continuité suffisante. À mesure que la distance augmente, cette similarité tend généralement à diminuer.</w:t>
      </w:r>
    </w:p>
    <w:p>
      <w:pPr>
        <w:pStyle w:val="BodyText"/>
      </w:pPr>
      <w:r>
        <w:t xml:space="preserve">Le relief fournit un exemple intuitif. Dans une plaine, l’altitude varie peu entre deux positions rapprochées, ce qui traduit une forte continuité spatiale. Dans un relief accidenté, elle peut changer rapidement sur de courtes distances, ce qui indique une continuité plus faible. Le variogramme permet de quantifier cette évolution de la variabilité en fonction de la distance et de l’orientation.</w:t>
      </w:r>
    </w:p>
    <w:p>
      <w:pPr>
        <w:pStyle w:val="BodyText"/>
      </w:pPr>
      <w:r>
        <w:t xml:space="preserve">La carte topographique du Québec présentée à la</w:t>
      </w:r>
      <w:r>
        <w:t xml:space="preserve"> </w:t>
      </w:r>
      <w:hyperlink w:anchor="fig-topographie">
        <w:r>
          <w:rPr>
            <w:rStyle w:val="Hyperlink"/>
          </w:rPr>
          <w:t xml:space="preserve">Figure 1</w:t>
        </w:r>
      </w:hyperlink>
      <w:r>
        <w:t xml:space="preserve"> </w:t>
      </w:r>
      <w:r>
        <w:t xml:space="preserve">illustre cette organisation spatiale. Les plaines, les régions montagneuses et certaines grandes structures géologiques se distinguent par leurs formes, leurs orientations et leurs échelles de variation. L’observation de la distribution spatiale de l’altitude permet ainsi d’identifier différentes structures du relief.</w:t>
      </w:r>
    </w:p>
    <w:tbl>
      <w:tblPr>
        <w:tblStyle w:val="Table"/>
        <w:tblW w:type="pct" w:w="5000"/>
        <w:tblLayout w:type="fixed"/>
        <w:tblLook w:firstRow="0" w:lastRow="0" w:firstColumn="0" w:lastColumn="0" w:noHBand="0" w:noVBand="0" w:val="0000"/>
      </w:tblPr>
      <w:tblGrid>
        <w:gridCol w:w="7920"/>
      </w:tblGrid>
      <w:tr>
        <w:tc>
          <w:tcPr/>
          <w:bookmarkStart w:id="29" w:name="fig-topographie"/>
          <w:p>
            <w:pPr>
              <w:pStyle w:val="Compact"/>
              <w:jc w:val="center"/>
            </w:pPr>
            <w:r>
              <w:drawing>
                <wp:inline>
                  <wp:extent cx="3459373" cy="4533633"/>
                  <wp:effectExtent b="0" l="0" r="0" t="0"/>
                  <wp:docPr descr="" title="" id="27" name="Picture"/>
                  <a:graphic>
                    <a:graphicData uri="http://schemas.openxmlformats.org/drawingml/2006/picture">
                      <pic:pic>
                        <pic:nvPicPr>
                          <pic:cNvPr descr="images/C7_TopographieQuebec.PNG" id="28" name="Picture"/>
                          <pic:cNvPicPr>
                            <a:picLocks noChangeArrowheads="1" noChangeAspect="1"/>
                          </pic:cNvPicPr>
                        </pic:nvPicPr>
                        <pic:blipFill>
                          <a:blip r:embed="rId26"/>
                          <a:stretch>
                            <a:fillRect/>
                          </a:stretch>
                        </pic:blipFill>
                        <pic:spPr bwMode="auto">
                          <a:xfrm>
                            <a:off x="0" y="0"/>
                            <a:ext cx="3459373" cy="45336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Carte d’altitude du Québec.</w:t>
            </w:r>
          </w:p>
          <w:bookmarkEnd w:id="29"/>
        </w:tc>
      </w:tr>
    </w:tbl>
    <w:p>
      <w:pPr>
        <w:pStyle w:val="BodyText"/>
      </w:pPr>
      <w:r>
        <w:t xml:space="preserve">Dans un gisement, l’objectif est similaire : il s’agit de caractériser l’organisation spatiale des teneurs. Le gisement présente-t-il une variabilité faible ou élevée? Les teneurs varient-elles progressivement ou de manière discontinue? Certaines directions présentent-elles une continuité plus importante que d’autres?</w:t>
      </w:r>
    </w:p>
    <w:p>
      <w:pPr>
        <w:pStyle w:val="BodyText"/>
      </w:pPr>
      <w:r>
        <w:t xml:space="preserve">Chaque phénomène géologique possède une organisation spatiale particulière, définie notamment par ses échelles de variabilité, ses directions privilégiées et son degré de continuité. Le variogramme constitue l’un des principaux outils utilisés pour caractériser cette organisation. Il décrit comment la dissimilarité entre les valeurs évolue avec leur séparation spatiale et fournit ainsi l’information nécessaire aux méthodes géostatistiques d’estimation et de simulation.</w:t>
      </w:r>
    </w:p>
    <w:bookmarkStart w:id="34" w:name="exemple-de-continuité-spatiale"/>
    <w:p>
      <w:pPr>
        <w:pStyle w:val="Heading3"/>
      </w:pPr>
      <w:r>
        <w:t xml:space="preserve">Exemple de continuité spatiale</w:t>
      </w:r>
    </w:p>
    <w:p>
      <w:pPr>
        <w:pStyle w:val="FirstParagraph"/>
      </w:pPr>
      <w:r>
        <w:t xml:space="preserve">Considérons quatre positions</w:t>
      </w:r>
      <w:r>
        <w:t xml:space="preserve"> </w:t>
      </w:r>
      <m:oMath>
        <m:sSub>
          <m:e>
            <m:r>
              <m:rPr>
                <m:sty m:val="b"/>
              </m:rPr>
              <m:t>x</m:t>
            </m:r>
          </m:e>
          <m:sub>
            <m:r>
              <m:t>0</m:t>
            </m:r>
          </m:sub>
        </m:sSub>
      </m:oMath>
      <w:r>
        <w:t xml:space="preserve">,</w:t>
      </w:r>
      <w:r>
        <w:t xml:space="preserve"> </w:t>
      </w:r>
      <m:oMath>
        <m:sSub>
          <m:e>
            <m:r>
              <m:rPr>
                <m:sty m:val="b"/>
              </m:rPr>
              <m:t>x</m:t>
            </m:r>
          </m:e>
          <m:sub>
            <m:r>
              <m:t>1</m:t>
            </m:r>
          </m:sub>
        </m:sSub>
      </m:oMath>
      <w:r>
        <w:t xml:space="preserve">,</w:t>
      </w:r>
      <w:r>
        <w:t xml:space="preserve"> </w:t>
      </w:r>
      <m:oMath>
        <m:sSub>
          <m:e>
            <m:r>
              <m:rPr>
                <m:sty m:val="b"/>
              </m:rPr>
              <m:t>x</m:t>
            </m:r>
          </m:e>
          <m:sub>
            <m:r>
              <m:t>2</m:t>
            </m:r>
          </m:sub>
        </m:sSub>
      </m:oMath>
      <w:r>
        <w:t xml:space="preserve"> </w:t>
      </w:r>
      <w:r>
        <w:t xml:space="preserve">et</w:t>
      </w:r>
      <w:r>
        <w:t xml:space="preserve"> </w:t>
      </w:r>
      <m:oMath>
        <m:sSub>
          <m:e>
            <m:r>
              <m:rPr>
                <m:sty m:val="b"/>
              </m:rPr>
              <m:t>x</m:t>
            </m:r>
          </m:e>
          <m:sub>
            <m:r>
              <m:t>3</m:t>
            </m:r>
          </m:sub>
        </m:sSub>
      </m:oMath>
      <w:r>
        <w:t xml:space="preserve"> </w:t>
      </w:r>
      <w:r>
        <w:t xml:space="preserve">présentées à la</w:t>
      </w:r>
      <w:r>
        <w:t xml:space="preserve"> </w:t>
      </w:r>
      <w:hyperlink w:anchor="fig-gisement">
        <w:r>
          <w:rPr>
            <w:rStyle w:val="Hyperlink"/>
          </w:rPr>
          <w:t xml:space="preserve">Figure 2</w:t>
        </w:r>
      </w:hyperlink>
      <w:r>
        <w:t xml:space="preserve">. La teneur est observée aux positions</w:t>
      </w:r>
      <w:r>
        <w:t xml:space="preserve"> </w:t>
      </w:r>
      <m:oMath>
        <m:sSub>
          <m:e>
            <m:r>
              <m:rPr>
                <m:sty m:val="b"/>
              </m:rPr>
              <m:t>x</m:t>
            </m:r>
          </m:e>
          <m:sub>
            <m:r>
              <m:t>1</m:t>
            </m:r>
          </m:sub>
        </m:sSub>
      </m:oMath>
      <w:r>
        <w:t xml:space="preserve">,</w:t>
      </w:r>
      <w:r>
        <w:t xml:space="preserve"> </w:t>
      </w:r>
      <m:oMath>
        <m:sSub>
          <m:e>
            <m:r>
              <m:rPr>
                <m:sty m:val="b"/>
              </m:rPr>
              <m:t>x</m:t>
            </m:r>
          </m:e>
          <m:sub>
            <m:r>
              <m:t>2</m:t>
            </m:r>
          </m:sub>
        </m:sSub>
      </m:oMath>
      <w:r>
        <w:t xml:space="preserve"> </w:t>
      </w:r>
      <w:r>
        <w:t xml:space="preserve">et</w:t>
      </w:r>
      <w:r>
        <w:t xml:space="preserve"> </w:t>
      </w:r>
      <m:oMath>
        <m:sSub>
          <m:e>
            <m:r>
              <m:rPr>
                <m:sty m:val="b"/>
              </m:rPr>
              <m:t>x</m:t>
            </m:r>
          </m:e>
          <m:sub>
            <m:r>
              <m:t>3</m:t>
            </m:r>
          </m:sub>
        </m:sSub>
      </m:oMath>
      <w:r>
        <w:t xml:space="preserve">, mais elle est inconnue en</w:t>
      </w:r>
      <w:r>
        <w:t xml:space="preserve"> </w:t>
      </w:r>
      <m:oMath>
        <m:sSub>
          <m:e>
            <m:r>
              <m:rPr>
                <m:sty m:val="b"/>
              </m:rPr>
              <m:t>x</m:t>
            </m:r>
          </m:e>
          <m:sub>
            <m:r>
              <m:t>0</m:t>
            </m:r>
          </m:sub>
        </m:sSub>
      </m:oMath>
      <w:r>
        <w:t xml:space="preserve">.</w:t>
      </w:r>
    </w:p>
    <w:p>
      <w:pPr>
        <w:pStyle w:val="BodyText"/>
      </w:pPr>
      <w:r>
        <w:t xml:space="preserve">En notant la variable régionalisée par</w:t>
      </w:r>
      <w:r>
        <w:t xml:space="preserve"> </w:t>
      </w:r>
      <m:oMath>
        <m:r>
          <m:t>z</m:t>
        </m:r>
        <m:d>
          <m:dPr>
            <m:begChr m:val="("/>
            <m:sepChr m:val=""/>
            <m:endChr m:val=")"/>
            <m:grow/>
          </m:dPr>
          <m:e>
            <m:r>
              <m:rPr>
                <m:sty m:val="b"/>
              </m:rPr>
              <m:t>x</m:t>
            </m:r>
          </m:e>
        </m:d>
      </m:oMath>
      <w:r>
        <w:t xml:space="preserve">, le problème consiste à estimer</w:t>
      </w:r>
      <w:r>
        <w:t xml:space="preserve"> </w:t>
      </w:r>
      <m:oMath>
        <m:r>
          <m:t>z</m:t>
        </m:r>
        <m:d>
          <m:dPr>
            <m:begChr m:val="("/>
            <m:sepChr m:val=""/>
            <m:endChr m:val=")"/>
            <m:grow/>
          </m:dPr>
          <m:e>
            <m:sSub>
              <m:e>
                <m:r>
                  <m:rPr>
                    <m:sty m:val="b"/>
                  </m:rPr>
                  <m:t>x</m:t>
                </m:r>
              </m:e>
              <m:sub>
                <m:r>
                  <m:t>0</m:t>
                </m:r>
              </m:sub>
            </m:sSub>
          </m:e>
        </m:d>
      </m:oMath>
      <w:r>
        <w:t xml:space="preserve"> </w:t>
      </w:r>
      <w:r>
        <w:t xml:space="preserve">à partir des valeurs observées</w:t>
      </w:r>
      <w:r>
        <w:t xml:space="preserve"> </w:t>
      </w:r>
      <m:oMath>
        <m:r>
          <m:t>z</m:t>
        </m:r>
        <m:d>
          <m:dPr>
            <m:begChr m:val="("/>
            <m:sepChr m:val=""/>
            <m:endChr m:val=")"/>
            <m:grow/>
          </m:dPr>
          <m:e>
            <m:sSub>
              <m:e>
                <m:r>
                  <m:rPr>
                    <m:sty m:val="b"/>
                  </m:rPr>
                  <m:t>x</m:t>
                </m:r>
              </m:e>
              <m:sub>
                <m:r>
                  <m:t>1</m:t>
                </m:r>
              </m:sub>
            </m:sSub>
          </m:e>
        </m:d>
      </m:oMath>
      <w:r>
        <w:t xml:space="preserve">,</w:t>
      </w:r>
      <w:r>
        <w:t xml:space="preserve"> </w:t>
      </w:r>
      <m:oMath>
        <m:r>
          <m:t>z</m:t>
        </m:r>
        <m:d>
          <m:dPr>
            <m:begChr m:val="("/>
            <m:sepChr m:val=""/>
            <m:endChr m:val=")"/>
            <m:grow/>
          </m:dPr>
          <m:e>
            <m:sSub>
              <m:e>
                <m:r>
                  <m:rPr>
                    <m:sty m:val="b"/>
                  </m:rPr>
                  <m:t>x</m:t>
                </m:r>
              </m:e>
              <m:sub>
                <m:r>
                  <m:t>2</m:t>
                </m:r>
              </m:sub>
            </m:sSub>
          </m:e>
        </m:d>
      </m:oMath>
      <w:r>
        <w:t xml:space="preserve"> </w:t>
      </w:r>
      <w:r>
        <w:t xml:space="preserve">et</w:t>
      </w:r>
      <w:r>
        <w:t xml:space="preserve"> </w:t>
      </w:r>
      <m:oMath>
        <m:r>
          <m:t>z</m:t>
        </m:r>
        <m:d>
          <m:dPr>
            <m:begChr m:val="("/>
            <m:sepChr m:val=""/>
            <m:endChr m:val=")"/>
            <m:grow/>
          </m:dPr>
          <m:e>
            <m:sSub>
              <m:e>
                <m:r>
                  <m:rPr>
                    <m:sty m:val="b"/>
                  </m:rPr>
                  <m:t>x</m:t>
                </m:r>
              </m:e>
              <m:sub>
                <m:r>
                  <m:t>3</m:t>
                </m:r>
              </m:sub>
            </m:sSub>
          </m:e>
        </m:d>
      </m:oMath>
      <w:r>
        <w:t xml:space="preserve">.</w:t>
      </w:r>
    </w:p>
    <w:p>
      <w:pPr>
        <w:pStyle w:val="BodyText"/>
      </w:pPr>
      <w:r>
        <w:t xml:space="preserve">Une première approche pourrait consister à accorder davantage de poids à</w:t>
      </w:r>
      <w:r>
        <w:t xml:space="preserve"> </w:t>
      </w:r>
      <m:oMath>
        <m:sSub>
          <m:e>
            <m:r>
              <m:rPr>
                <m:sty m:val="b"/>
              </m:rPr>
              <m:t>x</m:t>
            </m:r>
          </m:e>
          <m:sub>
            <m:r>
              <m:t>2</m:t>
            </m:r>
          </m:sub>
        </m:sSub>
      </m:oMath>
      <w:r>
        <w:t xml:space="preserve">, puisqu’il s’agit du point géométriquement le plus proche de</w:t>
      </w:r>
      <w:r>
        <w:t xml:space="preserve"> </w:t>
      </w:r>
      <m:oMath>
        <m:sSub>
          <m:e>
            <m:r>
              <m:rPr>
                <m:sty m:val="b"/>
              </m:rPr>
              <m:t>x</m:t>
            </m:r>
          </m:e>
          <m:sub>
            <m:r>
              <m:t>0</m:t>
            </m:r>
          </m:sub>
        </m:sSub>
      </m:oMath>
      <w:r>
        <w:t xml:space="preserve">. Cette décision suppose toutefois que la continuité spatiale soit identique dans toutes les directions.</w:t>
      </w:r>
    </w:p>
    <w:p>
      <w:pPr>
        <w:pStyle w:val="BodyText"/>
      </w:pPr>
      <w:r>
        <w:t xml:space="preserve">Considérons plutôt un gisement tabulaire dont la continuité principale est orientée verticalement. Dans ce cas, la valeur observée en</w:t>
      </w:r>
      <w:r>
        <w:t xml:space="preserve"> </w:t>
      </w:r>
      <m:oMath>
        <m:sSub>
          <m:e>
            <m:r>
              <m:rPr>
                <m:sty m:val="b"/>
              </m:rPr>
              <m:t>x</m:t>
            </m:r>
          </m:e>
          <m:sub>
            <m:r>
              <m:t>1</m:t>
            </m:r>
          </m:sub>
        </m:sSub>
      </m:oMath>
      <w:r>
        <w:t xml:space="preserve"> </w:t>
      </w:r>
      <w:r>
        <w:t xml:space="preserve">peut être plus représentative de la teneur en</w:t>
      </w:r>
      <w:r>
        <w:t xml:space="preserve"> </w:t>
      </w:r>
      <m:oMath>
        <m:sSub>
          <m:e>
            <m:r>
              <m:rPr>
                <m:sty m:val="b"/>
              </m:rPr>
              <m:t>x</m:t>
            </m:r>
          </m:e>
          <m:sub>
            <m:r>
              <m:t>0</m:t>
            </m:r>
          </m:sub>
        </m:sSub>
      </m:oMath>
      <w:r>
        <w:t xml:space="preserve"> </w:t>
      </w:r>
      <w:r>
        <w:t xml:space="preserve">que celle observée en</w:t>
      </w:r>
      <w:r>
        <w:t xml:space="preserve"> </w:t>
      </w:r>
      <m:oMath>
        <m:sSub>
          <m:e>
            <m:r>
              <m:rPr>
                <m:sty m:val="b"/>
              </m:rPr>
              <m:t>x</m:t>
            </m:r>
          </m:e>
          <m:sub>
            <m:r>
              <m:t>2</m:t>
            </m:r>
          </m:sub>
        </m:sSub>
      </m:oMath>
      <w:r>
        <w:t xml:space="preserve">, même si</w:t>
      </w:r>
      <w:r>
        <w:t xml:space="preserve"> </w:t>
      </w:r>
      <m:oMath>
        <m:sSub>
          <m:e>
            <m:r>
              <m:rPr>
                <m:sty m:val="b"/>
              </m:rPr>
              <m:t>x</m:t>
            </m:r>
          </m:e>
          <m:sub>
            <m:r>
              <m:t>1</m:t>
            </m:r>
          </m:sub>
        </m:sSub>
      </m:oMath>
      <w:r>
        <w:t xml:space="preserve"> </w:t>
      </w:r>
      <w:r>
        <w:t xml:space="preserve">est situé à une plus grande distance euclidienne.</w:t>
      </w:r>
    </w:p>
    <w:p>
      <w:pPr>
        <w:pStyle w:val="BodyText"/>
      </w:pPr>
      <w:r>
        <w:t xml:space="preserve">La distance géométrique ne suffit donc pas à déterminer l’information apportée par une observation. Il faut également tenir compte de l’orientation et de l’intensité de la continuité spatiale. Le variogramme permet précisément de quantifier cette dépendance en fonction du vecteur de séparation entre les positions. Cette information sera ensuite utilisée pour déterminer les poids attribués aux données lors de l’estimation.</w:t>
      </w:r>
    </w:p>
    <w:tbl>
      <w:tblPr>
        <w:tblStyle w:val="Table"/>
        <w:tblW w:type="pct" w:w="5000"/>
        <w:tblLayout w:type="fixed"/>
        <w:tblLook w:firstRow="0" w:lastRow="0" w:firstColumn="0" w:lastColumn="0" w:noHBand="0" w:noVBand="0" w:val="0000"/>
      </w:tblPr>
      <w:tblGrid>
        <w:gridCol w:w="7920"/>
      </w:tblGrid>
      <w:tr>
        <w:tc>
          <w:tcPr/>
          <w:bookmarkStart w:id="33" w:name="fig-gisement"/>
          <w:p>
            <w:pPr>
              <w:pStyle w:val="Compact"/>
              <w:jc w:val="center"/>
            </w:pPr>
            <w:r>
              <w:drawing>
                <wp:inline>
                  <wp:extent cx="3663994" cy="2851904"/>
                  <wp:effectExtent b="0" l="0" r="0" t="0"/>
                  <wp:docPr descr="" title="" id="31" name="Picture"/>
                  <a:graphic>
                    <a:graphicData uri="http://schemas.openxmlformats.org/drawingml/2006/picture">
                      <pic:pic>
                        <pic:nvPicPr>
                          <pic:cNvPr descr="images/C7_Gisement.PNG" id="32" name="Picture"/>
                          <pic:cNvPicPr>
                            <a:picLocks noChangeArrowheads="1" noChangeAspect="1"/>
                          </pic:cNvPicPr>
                        </pic:nvPicPr>
                        <pic:blipFill>
                          <a:blip r:embed="rId30"/>
                          <a:stretch>
                            <a:fillRect/>
                          </a:stretch>
                        </pic:blipFill>
                        <pic:spPr bwMode="auto">
                          <a:xfrm>
                            <a:off x="0" y="0"/>
                            <a:ext cx="3663994" cy="285190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Illustration des localisations considérées dans l’exemple.</w:t>
            </w:r>
          </w:p>
          <w:bookmarkEnd w:id="33"/>
        </w:tc>
      </w:tr>
    </w:tbl>
    <w:bookmarkEnd w:id="34"/>
    <w:bookmarkEnd w:id="35"/>
    <w:bookmarkStart w:id="70" w:name="variogramme-et-nuée-variographique"/>
    <w:p>
      <w:pPr>
        <w:pStyle w:val="Heading2"/>
      </w:pPr>
      <w:r>
        <w:t xml:space="preserve">2 Variogramme et nuée variographique</w:t>
      </w:r>
    </w:p>
    <w:bookmarkStart w:id="46" w:name="définition-du-variogramme"/>
    <w:p>
      <w:pPr>
        <w:pStyle w:val="Heading3"/>
      </w:pPr>
      <w:r>
        <w:t xml:space="preserve">Définition du variogramme</w:t>
      </w:r>
    </w:p>
    <w:p>
      <w:pPr>
        <w:pStyle w:val="FirstParagraph"/>
      </w:pPr>
      <w:r>
        <w:t xml:space="preserve">Dans de nombreux phénomènes spatiaux, les valeurs observées à faible distance tendent à être plus semblables que celles observées à grande distance. La question est alors la suivante : comment quantifier cette continuité spatiale?</w:t>
      </w:r>
    </w:p>
    <w:p>
      <w:pPr>
        <w:pStyle w:val="BodyText"/>
      </w:pPr>
      <w:r>
        <w:t xml:space="preserve">Une approche consiste à comparer les valeurs prises par la variable régionalisée à différentes positions et à étudier comment leurs écarts évoluent en fonction de la distance et de la direction qui séparent ces positions.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Users\danyl\AppData\Local\Programs\Quarto\share\formats\docx\note.png" id="3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Variogramme</w:t>
            </w:r>
          </w:p>
        </w:tc>
      </w:tr>
      <w:tr>
        <w:trPr>
          <w:cantSplit/>
        </w:trPr>
        <w:tc>
          <w:tcPr>
            <w:tcMar>
              <w:top w:w="108" w:type="dxa"/>
              <w:bottom w:w="108" w:type="dxa"/>
            </w:tcMar>
          </w:tcPr>
          <w:p>
            <w:pPr>
              <w:pStyle w:val="BodyText"/>
            </w:pPr>
            <w:pPr>
              <w:spacing w:before="16" w:after="16"/>
            </w:pPr>
            <w:r>
              <w:t xml:space="preserve">Le variogramme est une fonction qui caractérise la structure spatiale d’une variable régionalisée. Il décrit comment la dissimilarité moyenne entre deux valeurs évolue en fonction de la distance et de la direction de séparation entre elles.</w:t>
            </w:r>
          </w:p>
          <w:p/>
        </w:tc>
      </w:tr>
    </w:tbl>
    <w:p>
      <w:pPr>
        <w:pStyle w:val="BodyText"/>
      </w:pPr>
      <w:r>
        <w:t xml:space="preserve">Considérons une fonction aléatoire</w:t>
      </w:r>
      <w:r>
        <w:t xml:space="preserve"> </w:t>
      </w:r>
      <m:oMath>
        <m:r>
          <m:t>Z</m:t>
        </m:r>
        <m:d>
          <m:dPr>
            <m:begChr m:val="("/>
            <m:sepChr m:val=""/>
            <m:endChr m:val=")"/>
            <m:grow/>
          </m:dPr>
          <m:e>
            <m:r>
              <m:rPr>
                <m:sty m:val="b"/>
              </m:rPr>
              <m:t>x</m:t>
            </m:r>
          </m:e>
        </m:d>
      </m:oMath>
      <w:r>
        <w:t xml:space="preserve">. En pratique, nous ne disposons pas de plusieurs réalisations indépendantes du même gisement, mais d’une seule réalisation observée à un nombre limité de positions.</w:t>
      </w:r>
    </w:p>
    <w:p>
      <w:pPr>
        <w:pStyle w:val="BodyText"/>
      </w:pPr>
      <w:r>
        <w:t xml:space="preserve">Pour estimer la structure spatiale à partir de ces données, il faut pouvoir considérer que des paires séparées par un même vecteur</w:t>
      </w:r>
      <w:r>
        <w:t xml:space="preserve"> </w:t>
      </w:r>
      <m:oMath>
        <m:r>
          <m:rPr>
            <m:sty m:val="b"/>
          </m:rPr>
          <m:t>h</m:t>
        </m:r>
      </m:oMath>
      <w:r>
        <w:t xml:space="preserve"> </w:t>
      </w:r>
      <w:r>
        <w:t xml:space="preserve">renseignent sur une même relation spatiale, même si elles se trouvent à différents endroits du domaine. Cette propriété nécessite certaines hypothèses de stationnarité.</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C:\Users\danyl\AppData\Local\Programs\Quarto\share\formats\docx\note.png" id="3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Hypothèse — Stationnarité d’ordre 2</w:t>
            </w:r>
          </w:p>
        </w:tc>
      </w:tr>
      <w:tr>
        <w:trPr>
          <w:cantSplit/>
        </w:trPr>
        <w:tc>
          <w:tcPr>
            <w:tcMar>
              <w:top w:w="108" w:type="dxa"/>
              <w:bottom w:w="108" w:type="dxa"/>
            </w:tcMar>
          </w:tcPr>
          <w:p>
            <w:pPr>
              <w:pStyle w:val="BodyText"/>
            </w:pPr>
            <w:pPr>
              <w:spacing w:before="16"/>
            </w:pPr>
            <w:r>
              <w:t xml:space="preserve">La fonction aléatoire</w:t>
            </w:r>
            <w:r>
              <w:t xml:space="preserve"> </w:t>
            </w:r>
            <m:oMath>
              <m:r>
                <m:t>Z</m:t>
              </m:r>
              <m:d>
                <m:dPr>
                  <m:begChr m:val="("/>
                  <m:sepChr m:val=""/>
                  <m:endChr m:val=")"/>
                  <m:grow/>
                </m:dPr>
                <m:e>
                  <m:r>
                    <m:rPr>
                      <m:sty m:val="b"/>
                    </m:rPr>
                    <m:t>x</m:t>
                  </m:r>
                </m:e>
              </m:d>
            </m:oMath>
            <w:r>
              <w:t xml:space="preserve"> </w:t>
            </w:r>
            <w:r>
              <w:t xml:space="preserve">est dite stationnaire d’ordre 2 lorsque :</w:t>
            </w:r>
          </w:p>
          <w:p>
            <w:pPr>
              <w:pStyle w:val="Compact"/>
              <w:numPr>
                <w:ilvl w:val="0"/>
                <w:numId w:val="1002"/>
              </w:numPr>
            </w:pPr>
            <w:r>
              <w:t xml:space="preserve">son espérance est constante dans le domaine :</w:t>
            </w:r>
          </w:p>
          <w:p>
            <w:pPr>
              <w:pStyle w:val="FirstParagraph"/>
            </w:pPr>
            <m:oMathPara>
              <m:oMathParaPr>
                <m:jc m:val="center"/>
              </m:oMathParaPr>
              <m:oMath>
                <m:r>
                  <m:rPr>
                    <m:sty m:val="p"/>
                    <m:scr m:val="double-struck"/>
                  </m:rPr>
                  <m:t>E</m:t>
                </m:r>
                <m:d>
                  <m:dPr>
                    <m:begChr m:val="["/>
                    <m:sepChr m:val=""/>
                    <m:endChr m:val="]"/>
                    <m:grow/>
                  </m:dPr>
                  <m:e>
                    <m:r>
                      <m:t>Z</m:t>
                    </m:r>
                    <m:d>
                      <m:dPr>
                        <m:begChr m:val="("/>
                        <m:sepChr m:val=""/>
                        <m:endChr m:val=")"/>
                        <m:grow/>
                      </m:dPr>
                      <m:e>
                        <m:r>
                          <m:rPr>
                            <m:sty m:val="b"/>
                          </m:rPr>
                          <m:t>x</m:t>
                        </m:r>
                      </m:e>
                    </m:d>
                  </m:e>
                </m:d>
                <m:r>
                  <m:rPr>
                    <m:sty m:val="p"/>
                  </m:rPr>
                  <m:t>=</m:t>
                </m:r>
                <m:r>
                  <m:t>m</m:t>
                </m:r>
                <m:r>
                  <m:rPr>
                    <m:sty m:val="p"/>
                  </m:rPr>
                  <m:t>;</m:t>
                </m:r>
              </m:oMath>
            </m:oMathPara>
          </w:p>
          <w:p>
            <w:pPr>
              <w:pStyle w:val="Compact"/>
              <w:numPr>
                <w:ilvl w:val="0"/>
                <w:numId w:val="1003"/>
              </w:numPr>
            </w:pPr>
            <w:r>
              <w:t xml:space="preserve">sa covariance entre deux positions dépend uniquement de leur vecteur de séparation</w:t>
            </w:r>
            <w:r>
              <w:t xml:space="preserve"> </w:t>
            </w:r>
            <m:oMath>
              <m:r>
                <m:rPr>
                  <m:sty m:val="b"/>
                </m:rPr>
                <m:t>h</m:t>
              </m:r>
            </m:oMath>
            <w:r>
              <w:t xml:space="preserve">, et non de leur position absolue :</w:t>
            </w:r>
          </w:p>
          <w:p>
            <w:pPr>
              <w:pStyle w:val="FirstParagraph"/>
            </w:pPr>
            <m:oMathPara>
              <m:oMathParaPr>
                <m:jc m:val="center"/>
              </m:oMathParaPr>
              <m:oMath>
                <m:r>
                  <m:rPr>
                    <m:sty m:val="p"/>
                  </m:rPr>
                  <m:t>Cov</m:t>
                </m:r>
                <m:d>
                  <m:dPr>
                    <m:begChr m:val="["/>
                    <m:sepChr m:val=""/>
                    <m:endChr m:val="]"/>
                    <m:grow/>
                  </m:dPr>
                  <m:e>
                    <m:r>
                      <m:t>Z</m:t>
                    </m:r>
                    <m:d>
                      <m:dPr>
                        <m:begChr m:val="("/>
                        <m:sepChr m:val=""/>
                        <m:endChr m:val=")"/>
                        <m:grow/>
                      </m:dPr>
                      <m:e>
                        <m:r>
                          <m:rPr>
                            <m:sty m:val="b"/>
                          </m:rPr>
                          <m:t>x</m:t>
                        </m:r>
                      </m:e>
                    </m:d>
                    <m:r>
                      <m:rPr>
                        <m:sty m:val="p"/>
                      </m:rPr>
                      <m:t>,</m:t>
                    </m:r>
                    <m:r>
                      <m:t>Z</m:t>
                    </m:r>
                    <m:d>
                      <m:dPr>
                        <m:begChr m:val="("/>
                        <m:sepChr m:val=""/>
                        <m:endChr m:val=")"/>
                        <m:grow/>
                      </m:dPr>
                      <m:e>
                        <m:r>
                          <m:rPr>
                            <m:sty m:val="b"/>
                          </m:rPr>
                          <m:t>x</m:t>
                        </m:r>
                        <m:r>
                          <m:rPr>
                            <m:sty m:val="p"/>
                          </m:rPr>
                          <m:t>+</m:t>
                        </m:r>
                        <m:r>
                          <m:rPr>
                            <m:sty m:val="b"/>
                          </m:rPr>
                          <m:t>h</m:t>
                        </m:r>
                      </m:e>
                    </m:d>
                  </m:e>
                </m:d>
                <m:r>
                  <m:rPr>
                    <m:sty m:val="p"/>
                  </m:rPr>
                  <m:t>=</m:t>
                </m:r>
                <m:r>
                  <m:t>C</m:t>
                </m:r>
                <m:d>
                  <m:dPr>
                    <m:begChr m:val="("/>
                    <m:sepChr m:val=""/>
                    <m:endChr m:val=")"/>
                    <m:grow/>
                  </m:dPr>
                  <m:e>
                    <m:r>
                      <m:rPr>
                        <m:sty m:val="b"/>
                      </m:rPr>
                      <m:t>h</m:t>
                    </m:r>
                  </m:e>
                </m:d>
                <m:r>
                  <m:rPr>
                    <m:sty m:val="p"/>
                  </m:rPr>
                  <m:t>.</m:t>
                </m:r>
              </m:oMath>
            </m:oMathPara>
          </w:p>
          <w:p>
            <w:pPr>
              <w:pStyle w:val="FirstParagraph"/>
            </w:pPr>
            <w:r>
              <w:t xml:space="preserve">La variance est alors finie et constante :</w:t>
            </w:r>
          </w:p>
          <w:p>
            <w:pPr>
              <w:pStyle w:val="BodyText"/>
            </w:pPr>
            <w:pPr>
              <w:spacing w:after="16"/>
            </w:pPr>
          </w:p>
          <w:p>
            <w:pPr>
              <w:pStyle w:val="BodyText"/>
            </w:pPr>
            <m:oMathPara>
              <m:oMathParaPr>
                <m:jc m:val="center"/>
              </m:oMathParaPr>
              <m:oMath>
                <m:r>
                  <m:t>C</m:t>
                </m:r>
                <m:d>
                  <m:dPr>
                    <m:begChr m:val="("/>
                    <m:sepChr m:val=""/>
                    <m:endChr m:val=")"/>
                    <m:grow/>
                  </m:dPr>
                  <m:e>
                    <m:r>
                      <m:rPr>
                        <m:sty m:val="b"/>
                      </m:rPr>
                      <m:t>0</m:t>
                    </m:r>
                  </m:e>
                </m:d>
                <m:r>
                  <m:rPr>
                    <m:sty m:val="p"/>
                  </m:rPr>
                  <m:t>=</m:t>
                </m:r>
                <m:r>
                  <m:rPr>
                    <m:sty m:val="p"/>
                  </m:rPr>
                  <m:t>Var</m:t>
                </m:r>
                <m:d>
                  <m:dPr>
                    <m:begChr m:val="["/>
                    <m:sepChr m:val=""/>
                    <m:endChr m:val="]"/>
                    <m:grow/>
                  </m:dPr>
                  <m:e>
                    <m:r>
                      <m:t>Z</m:t>
                    </m:r>
                    <m:d>
                      <m:dPr>
                        <m:begChr m:val="("/>
                        <m:sepChr m:val=""/>
                        <m:endChr m:val=")"/>
                        <m:grow/>
                      </m:dPr>
                      <m:e>
                        <m:r>
                          <m:rPr>
                            <m:sty m:val="b"/>
                          </m:rPr>
                          <m:t>x</m:t>
                        </m:r>
                      </m:e>
                    </m:d>
                  </m:e>
                </m:d>
                <m:r>
                  <m:rPr>
                    <m:sty m:val="p"/>
                  </m:rPr>
                  <m:t>.</m:t>
                </m:r>
              </m:oMath>
            </m:oMathPara>
          </w:p>
          <w:p/>
        </w:tc>
      </w:tr>
    </w:tbl>
    <w:p>
      <w:pPr>
        <w:pStyle w:val="FirstParagraph"/>
      </w:pPr>
      <w:r>
        <w:t xml:space="preserve">Sous cette hypothèse, le variogramme est défini par :</w:t>
      </w:r>
    </w:p>
    <w:p>
      <w:pPr>
        <w:pStyle w:val="BodyText"/>
      </w:pPr>
      <m:oMathPara>
        <m:oMathParaPr>
          <m:jc m:val="center"/>
        </m:oMathParaPr>
        <m:oMath>
          <m:r>
            <m:t>γ</m:t>
          </m:r>
          <m:d>
            <m:dPr>
              <m:begChr m:val="("/>
              <m:sepChr m:val=""/>
              <m:endChr m:val=")"/>
              <m:grow/>
            </m:dPr>
            <m:e>
              <m:r>
                <m:rPr>
                  <m:sty m:val="b"/>
                </m:rPr>
                <m:t>h</m:t>
              </m:r>
            </m:e>
          </m:d>
          <m:r>
            <m:rPr>
              <m:sty m:val="p"/>
            </m:rPr>
            <m:t>=</m:t>
          </m:r>
          <m:f>
            <m:fPr>
              <m:type m:val="bar"/>
            </m:fPr>
            <m:num>
              <m:r>
                <m:t>1</m:t>
              </m:r>
            </m:num>
            <m:den>
              <m:r>
                <m:t>2</m:t>
              </m:r>
            </m:den>
          </m:f>
          <m:r>
            <m:rPr>
              <m:sty m:val="p"/>
            </m:rPr>
            <m:t>Var</m:t>
          </m:r>
          <m:d>
            <m:dPr>
              <m:begChr m:val="["/>
              <m:sepChr m:val=""/>
              <m:endChr m:val="]"/>
              <m:grow/>
            </m:dPr>
            <m:e>
              <m:r>
                <m:t>Z</m:t>
              </m:r>
              <m:d>
                <m:dPr>
                  <m:begChr m:val="("/>
                  <m:sepChr m:val=""/>
                  <m:endChr m:val=")"/>
                  <m:grow/>
                </m:dPr>
                <m:e>
                  <m:r>
                    <m:rPr>
                      <m:sty m:val="b"/>
                    </m:rPr>
                    <m:t>x</m:t>
                  </m:r>
                  <m:r>
                    <m:rPr>
                      <m:sty m:val="p"/>
                    </m:rPr>
                    <m:t>+</m:t>
                  </m:r>
                  <m:r>
                    <m:rPr>
                      <m:sty m:val="b"/>
                    </m:rPr>
                    <m:t>h</m:t>
                  </m:r>
                </m:e>
              </m:d>
              <m:r>
                <m:rPr>
                  <m:sty m:val="p"/>
                </m:rPr>
                <m:t>−</m:t>
              </m:r>
              <m:r>
                <m:t>Z</m:t>
              </m:r>
              <m:d>
                <m:dPr>
                  <m:begChr m:val="("/>
                  <m:sepChr m:val=""/>
                  <m:endChr m:val=")"/>
                  <m:grow/>
                </m:dPr>
                <m:e>
                  <m:r>
                    <m:rPr>
                      <m:sty m:val="b"/>
                    </m:rPr>
                    <m:t>x</m:t>
                  </m:r>
                </m:e>
              </m:d>
            </m:e>
          </m:d>
          <m:r>
            <m:rPr>
              <m:sty m:val="p"/>
            </m:rPr>
            <m:t>.</m:t>
          </m:r>
        </m:oMath>
      </m:oMathPara>
    </w:p>
    <w:p>
      <w:pPr>
        <w:pStyle w:val="FirstParagraph"/>
      </w:pPr>
      <w:r>
        <w:t xml:space="preserve">Comme l’espérance des accroissements est nulle, cette expression peut aussi s’écrire :</w:t>
      </w:r>
    </w:p>
    <w:p>
      <w:pPr>
        <w:pStyle w:val="BodyText"/>
      </w:pPr>
      <m:oMathPara>
        <m:oMathParaPr>
          <m:jc m:val="center"/>
        </m:oMathParaPr>
        <m:oMath>
          <m:r>
            <m:t>γ</m:t>
          </m:r>
          <m:d>
            <m:dPr>
              <m:begChr m:val="("/>
              <m:sepChr m:val=""/>
              <m:endChr m:val=")"/>
              <m:grow/>
            </m:dPr>
            <m:e>
              <m:r>
                <m:rPr>
                  <m:sty m:val="b"/>
                </m:rPr>
                <m:t>h</m:t>
              </m:r>
            </m:e>
          </m:d>
          <m:r>
            <m:rPr>
              <m:sty m:val="p"/>
            </m:rPr>
            <m:t>=</m:t>
          </m:r>
          <m:f>
            <m:fPr>
              <m:type m:val="bar"/>
            </m:fPr>
            <m:num>
              <m:r>
                <m:t>1</m:t>
              </m:r>
            </m:num>
            <m:den>
              <m:r>
                <m:t>2</m:t>
              </m:r>
            </m:den>
          </m:f>
          <m:r>
            <m:rPr>
              <m:sty m:val="p"/>
              <m:scr m:val="double-struck"/>
            </m:rPr>
            <m:t>E</m:t>
          </m:r>
          <m:d>
            <m:dPr>
              <m:begChr m:val="["/>
              <m:sepChr m:val=""/>
              <m:endChr m:val="]"/>
              <m:grow/>
            </m:dPr>
            <m:e>
              <m:sSup>
                <m:e>
                  <m:d>
                    <m:dPr>
                      <m:begChr m:val="("/>
                      <m:sepChr m:val=""/>
                      <m:endChr m:val=")"/>
                      <m:grow/>
                    </m:dPr>
                    <m:e>
                      <m:r>
                        <m:t>Z</m:t>
                      </m:r>
                      <m:d>
                        <m:dPr>
                          <m:begChr m:val="("/>
                          <m:sepChr m:val=""/>
                          <m:endChr m:val=")"/>
                          <m:grow/>
                        </m:dPr>
                        <m:e>
                          <m:r>
                            <m:rPr>
                              <m:sty m:val="b"/>
                            </m:rPr>
                            <m:t>x</m:t>
                          </m:r>
                          <m:r>
                            <m:rPr>
                              <m:sty m:val="p"/>
                            </m:rPr>
                            <m:t>+</m:t>
                          </m:r>
                          <m:r>
                            <m:rPr>
                              <m:sty m:val="b"/>
                            </m:rPr>
                            <m:t>h</m:t>
                          </m:r>
                        </m:e>
                      </m:d>
                      <m:r>
                        <m:rPr>
                          <m:sty m:val="p"/>
                        </m:rPr>
                        <m:t>−</m:t>
                      </m:r>
                      <m:r>
                        <m:t>Z</m:t>
                      </m:r>
                      <m:d>
                        <m:dPr>
                          <m:begChr m:val="("/>
                          <m:sepChr m:val=""/>
                          <m:endChr m:val=")"/>
                          <m:grow/>
                        </m:dPr>
                        <m:e>
                          <m:r>
                            <m:rPr>
                              <m:sty m:val="b"/>
                            </m:rPr>
                            <m:t>x</m:t>
                          </m:r>
                        </m:e>
                      </m:d>
                    </m:e>
                  </m:d>
                </m:e>
                <m:sup>
                  <m:r>
                    <m:t>2</m:t>
                  </m:r>
                </m:sup>
              </m:sSup>
            </m:e>
          </m:d>
          <m:r>
            <m:rPr>
              <m:sty m:val="p"/>
            </m:rPr>
            <m:t>.</m:t>
          </m:r>
        </m:oMath>
      </m:oMathPara>
    </w:p>
    <w:p>
      <w:pPr>
        <w:pStyle w:val="FirstParagraph"/>
      </w:pPr>
      <w:r>
        <w:t xml:space="preserve">Dans le cas d’une fonction aléatoire stationnaire d’ordre 2, le variogramme et la covariance sont liés par :</w:t>
      </w:r>
    </w:p>
    <w:p>
      <w:pPr>
        <w:pStyle w:val="BodyText"/>
      </w:pPr>
      <m:oMathPara>
        <m:oMathParaPr>
          <m:jc m:val="center"/>
        </m:oMathParaPr>
        <m:oMath>
          <m:r>
            <m:t>γ</m:t>
          </m:r>
          <m:d>
            <m:dPr>
              <m:begChr m:val="("/>
              <m:sepChr m:val=""/>
              <m:endChr m:val=")"/>
              <m:grow/>
            </m:dPr>
            <m:e>
              <m:r>
                <m:rPr>
                  <m:sty m:val="b"/>
                </m:rPr>
                <m:t>h</m:t>
              </m:r>
            </m:e>
          </m:d>
          <m:r>
            <m:rPr>
              <m:sty m:val="p"/>
            </m:rPr>
            <m:t>=</m:t>
          </m:r>
          <m:r>
            <m:t>C</m:t>
          </m:r>
          <m:d>
            <m:dPr>
              <m:begChr m:val="("/>
              <m:sepChr m:val=""/>
              <m:endChr m:val=")"/>
              <m:grow/>
            </m:dPr>
            <m:e>
              <m:r>
                <m:rPr>
                  <m:sty m:val="b"/>
                </m:rPr>
                <m:t>0</m:t>
              </m:r>
            </m:e>
          </m:d>
          <m:r>
            <m:rPr>
              <m:sty m:val="p"/>
            </m:rPr>
            <m:t>−</m:t>
          </m:r>
          <m:r>
            <m:t>C</m:t>
          </m:r>
          <m:d>
            <m:dPr>
              <m:begChr m:val="("/>
              <m:sepChr m:val=""/>
              <m:endChr m:val=")"/>
              <m:grow/>
            </m:dPr>
            <m:e>
              <m:r>
                <m:rPr>
                  <m:sty m:val="b"/>
                </m:rPr>
                <m:t>h</m:t>
              </m:r>
            </m:e>
          </m:d>
          <m:r>
            <m:rPr>
              <m:sty m:val="p"/>
            </m:rPr>
            <m:t>.</m:t>
          </m:r>
        </m:oMath>
      </m:oMathPara>
    </w:p>
    <w:p>
      <w:pPr>
        <w:pStyle w:val="FirstParagraph"/>
      </w:pPr>
      <w:r>
        <w:t xml:space="preserve">Si la covariance tend vers zéro lorsque la distance devient grande, le variogramme tend vers</w:t>
      </w:r>
      <w:r>
        <w:t xml:space="preserve"> </w:t>
      </w:r>
      <m:oMath>
        <m:r>
          <m:t>C</m:t>
        </m:r>
        <m:d>
          <m:dPr>
            <m:begChr m:val="("/>
            <m:sepChr m:val=""/>
            <m:endChr m:val=")"/>
            <m:grow/>
          </m:dPr>
          <m:e>
            <m:r>
              <m:rPr>
                <m:sty m:val="b"/>
              </m:rPr>
              <m:t>0</m:t>
            </m:r>
          </m:e>
        </m:d>
      </m:oMath>
      <w:r>
        <w:t xml:space="preserve">, qui correspond à la variance de la variable. Cette valeur limite est appelée le</w:t>
      </w:r>
      <w:r>
        <w:t xml:space="preserve"> </w:t>
      </w:r>
      <w:r>
        <w:rPr>
          <w:b/>
          <w:bCs/>
        </w:rPr>
        <w:t xml:space="preserve">palier</w:t>
      </w:r>
      <w:r>
        <w:t xml:space="preserve">.</w:t>
      </w:r>
    </w:p>
    <w:p>
      <w:pPr>
        <w:pStyle w:val="BodyText"/>
      </w:pPr>
      <w:r>
        <w:t xml:space="preserve">La stationnarité d’ordre 2 n’est toutefois pas toujours une hypothèse appropriée. Certains phénomènes ne présentent pas de variance globale finie ou constante, alors que leurs différences entre positions demeurent statistiquement modélisables. On adopte alors une hypothèse plus faible : l’hypothèse intrinsèque.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C:\Users\danyl\AppData\Local\Programs\Quarto\share\formats\docx\note.png" id="4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Hypothèse — Hypothèse intrinsèque</w:t>
            </w:r>
          </w:p>
        </w:tc>
      </w:tr>
      <w:tr>
        <w:trPr>
          <w:cantSplit/>
        </w:trPr>
        <w:tc>
          <w:tcPr>
            <w:tcMar>
              <w:top w:w="108" w:type="dxa"/>
              <w:bottom w:w="108" w:type="dxa"/>
            </w:tcMar>
          </w:tcPr>
          <w:p>
            <w:pPr>
              <w:pStyle w:val="BodyText"/>
            </w:pPr>
            <w:pPr>
              <w:spacing w:before="16"/>
            </w:pPr>
            <w:r>
              <w:t xml:space="preserve">La fonction aléatoire</w:t>
            </w:r>
            <w:r>
              <w:t xml:space="preserve"> </w:t>
            </w:r>
            <m:oMath>
              <m:r>
                <m:t>Z</m:t>
              </m:r>
              <m:d>
                <m:dPr>
                  <m:begChr m:val="("/>
                  <m:sepChr m:val=""/>
                  <m:endChr m:val=")"/>
                  <m:grow/>
                </m:dPr>
                <m:e>
                  <m:r>
                    <m:rPr>
                      <m:sty m:val="b"/>
                    </m:rPr>
                    <m:t>x</m:t>
                  </m:r>
                </m:e>
              </m:d>
            </m:oMath>
            <w:r>
              <w:t xml:space="preserve"> </w:t>
            </w:r>
            <w:r>
              <w:t xml:space="preserve">vérifie l’hypothèse intrinsèque lorsque ses accroissements sont stationnaires :</w:t>
            </w:r>
          </w:p>
          <w:p>
            <w:pPr>
              <w:pStyle w:val="Compact"/>
              <w:numPr>
                <w:ilvl w:val="0"/>
                <w:numId w:val="1004"/>
              </w:numPr>
            </w:pPr>
            <w:r>
              <w:t xml:space="preserve">leur espérance est nulle :</w:t>
            </w:r>
          </w:p>
          <w:p>
            <w:pPr>
              <w:pStyle w:val="FirstParagraph"/>
            </w:pPr>
            <m:oMathPara>
              <m:oMathParaPr>
                <m:jc m:val="center"/>
              </m:oMathParaPr>
              <m:oMath>
                <m:r>
                  <m:rPr>
                    <m:sty m:val="p"/>
                    <m:scr m:val="double-struck"/>
                  </m:rPr>
                  <m:t>E</m:t>
                </m:r>
                <m:d>
                  <m:dPr>
                    <m:begChr m:val="["/>
                    <m:sepChr m:val=""/>
                    <m:endChr m:val="]"/>
                    <m:grow/>
                  </m:dPr>
                  <m:e>
                    <m:r>
                      <m:t>Z</m:t>
                    </m:r>
                    <m:d>
                      <m:dPr>
                        <m:begChr m:val="("/>
                        <m:sepChr m:val=""/>
                        <m:endChr m:val=")"/>
                        <m:grow/>
                      </m:dPr>
                      <m:e>
                        <m:r>
                          <m:rPr>
                            <m:sty m:val="b"/>
                          </m:rPr>
                          <m:t>x</m:t>
                        </m:r>
                        <m:r>
                          <m:rPr>
                            <m:sty m:val="p"/>
                          </m:rPr>
                          <m:t>+</m:t>
                        </m:r>
                        <m:r>
                          <m:rPr>
                            <m:sty m:val="b"/>
                          </m:rPr>
                          <m:t>h</m:t>
                        </m:r>
                      </m:e>
                    </m:d>
                    <m:r>
                      <m:rPr>
                        <m:sty m:val="p"/>
                      </m:rPr>
                      <m:t>−</m:t>
                    </m:r>
                    <m:r>
                      <m:t>Z</m:t>
                    </m:r>
                    <m:d>
                      <m:dPr>
                        <m:begChr m:val="("/>
                        <m:sepChr m:val=""/>
                        <m:endChr m:val=")"/>
                        <m:grow/>
                      </m:dPr>
                      <m:e>
                        <m:r>
                          <m:rPr>
                            <m:sty m:val="b"/>
                          </m:rPr>
                          <m:t>x</m:t>
                        </m:r>
                      </m:e>
                    </m:d>
                  </m:e>
                </m:d>
                <m:r>
                  <m:rPr>
                    <m:sty m:val="p"/>
                  </m:rPr>
                  <m:t>=</m:t>
                </m:r>
                <m:r>
                  <m:t>0</m:t>
                </m:r>
                <m:r>
                  <m:rPr>
                    <m:sty m:val="p"/>
                  </m:rPr>
                  <m:t>;</m:t>
                </m:r>
              </m:oMath>
            </m:oMathPara>
          </w:p>
          <w:p>
            <w:pPr>
              <w:pStyle w:val="Compact"/>
              <w:numPr>
                <w:ilvl w:val="0"/>
                <w:numId w:val="1005"/>
              </w:numPr>
            </w:pPr>
            <w:r>
              <w:t xml:space="preserve">leur variance est finie et dépend uniquement du vecteur de séparation</w:t>
            </w:r>
            <w:r>
              <w:t xml:space="preserve"> </w:t>
            </w:r>
            <m:oMath>
              <m:r>
                <m:rPr>
                  <m:sty m:val="b"/>
                </m:rPr>
                <m:t>h</m:t>
              </m:r>
            </m:oMath>
            <w:r>
              <w:t xml:space="preserve"> </w:t>
            </w:r>
            <w:r>
              <w:t xml:space="preserve">:</w:t>
            </w:r>
          </w:p>
          <w:p>
            <w:pPr>
              <w:pStyle w:val="FirstParagraph"/>
            </w:pPr>
            <w:pPr>
              <w:spacing w:after="16"/>
            </w:pPr>
          </w:p>
          <w:p>
            <w:pPr>
              <w:pStyle w:val="BodyText"/>
            </w:pPr>
            <m:oMathPara>
              <m:oMathParaPr>
                <m:jc m:val="center"/>
              </m:oMathParaPr>
              <m:oMath>
                <m:r>
                  <m:rPr>
                    <m:sty m:val="p"/>
                  </m:rPr>
                  <m:t>Var</m:t>
                </m:r>
                <m:d>
                  <m:dPr>
                    <m:begChr m:val="["/>
                    <m:sepChr m:val=""/>
                    <m:endChr m:val="]"/>
                    <m:grow/>
                  </m:dPr>
                  <m:e>
                    <m:r>
                      <m:t>Z</m:t>
                    </m:r>
                    <m:d>
                      <m:dPr>
                        <m:begChr m:val="("/>
                        <m:sepChr m:val=""/>
                        <m:endChr m:val=")"/>
                        <m:grow/>
                      </m:dPr>
                      <m:e>
                        <m:r>
                          <m:rPr>
                            <m:sty m:val="b"/>
                          </m:rPr>
                          <m:t>x</m:t>
                        </m:r>
                        <m:r>
                          <m:rPr>
                            <m:sty m:val="p"/>
                          </m:rPr>
                          <m:t>+</m:t>
                        </m:r>
                        <m:r>
                          <m:rPr>
                            <m:sty m:val="b"/>
                          </m:rPr>
                          <m:t>h</m:t>
                        </m:r>
                      </m:e>
                    </m:d>
                    <m:r>
                      <m:rPr>
                        <m:sty m:val="p"/>
                      </m:rPr>
                      <m:t>−</m:t>
                    </m:r>
                    <m:r>
                      <m:t>Z</m:t>
                    </m:r>
                    <m:d>
                      <m:dPr>
                        <m:begChr m:val="("/>
                        <m:sepChr m:val=""/>
                        <m:endChr m:val=")"/>
                        <m:grow/>
                      </m:dPr>
                      <m:e>
                        <m:r>
                          <m:rPr>
                            <m:sty m:val="b"/>
                          </m:rPr>
                          <m:t>x</m:t>
                        </m:r>
                      </m:e>
                    </m:d>
                  </m:e>
                </m:d>
                <m:r>
                  <m:rPr>
                    <m:sty m:val="p"/>
                  </m:rPr>
                  <m:t>=</m:t>
                </m:r>
                <m:r>
                  <m:t>2</m:t>
                </m:r>
                <m:r>
                  <m:t>γ</m:t>
                </m:r>
                <m:d>
                  <m:dPr>
                    <m:begChr m:val="("/>
                    <m:sepChr m:val=""/>
                    <m:endChr m:val=")"/>
                    <m:grow/>
                  </m:dPr>
                  <m:e>
                    <m:r>
                      <m:rPr>
                        <m:sty m:val="b"/>
                      </m:rPr>
                      <m:t>h</m:t>
                    </m:r>
                  </m:e>
                </m:d>
                <m:r>
                  <m:rPr>
                    <m:sty m:val="p"/>
                  </m:rPr>
                  <m:t>.</m:t>
                </m:r>
              </m:oMath>
            </m:oMathPara>
          </w:p>
          <w:p/>
        </w:tc>
      </w:tr>
    </w:tbl>
    <w:p>
      <w:pPr>
        <w:pStyle w:val="FirstParagraph"/>
      </w:pPr>
      <w:r>
        <w:t xml:space="preserve">L’hypothèse intrinsèque est plus générale que la stationnarité d’ordre 2. Toute fonction aléatoire stationnaire d’ordre 2 vérifie l’hypothèse intrinsèque, mais l’inverse n’est pas nécessairement vrai.</w:t>
      </w:r>
    </w:p>
    <w:p>
      <w:pPr>
        <w:pStyle w:val="BodyText"/>
      </w:pPr>
      <w:r>
        <w:t xml:space="preserve">Sous l’hypothèse intrinsèque, la variance ponctuelle de</w:t>
      </w:r>
      <w:r>
        <w:t xml:space="preserve"> </w:t>
      </w:r>
      <m:oMath>
        <m:r>
          <m:t>Z</m:t>
        </m:r>
        <m:d>
          <m:dPr>
            <m:begChr m:val="("/>
            <m:sepChr m:val=""/>
            <m:endChr m:val=")"/>
            <m:grow/>
          </m:dPr>
          <m:e>
            <m:r>
              <m:rPr>
                <m:sty m:val="b"/>
              </m:rPr>
              <m:t>x</m:t>
            </m:r>
          </m:e>
        </m:d>
      </m:oMath>
      <w:r>
        <w:t xml:space="preserve"> </w:t>
      </w:r>
      <w:r>
        <w:t xml:space="preserve">peut ne pas être définie ou ne pas être constante, alors que la variance de ses accroissements demeure définie. Le variogramme peut alors croître sans atteindre de palier, comme dans le cas de certains modèles linéaires ou de puissance.</w:t>
      </w:r>
    </w:p>
    <w:p>
      <w:pPr>
        <w:pStyle w:val="BodyText"/>
      </w:pPr>
      <w:r>
        <w:t xml:space="preserve">Dans cet ouvrage, le terme</w:t>
      </w:r>
      <w:r>
        <w:t xml:space="preserve"> </w:t>
      </w:r>
      <w:r>
        <w:rPr>
          <w:i/>
          <w:iCs/>
        </w:rPr>
        <w:t xml:space="preserve">variogramme</w:t>
      </w:r>
      <w:r>
        <w:t xml:space="preserve"> </w:t>
      </w:r>
      <w:r>
        <w:t xml:space="preserve">désigne la fonction comportant le facteur</w:t>
      </w:r>
      <w:r>
        <w:t xml:space="preserve"> </w:t>
      </w:r>
      <m:oMath>
        <m:f>
          <m:fPr>
            <m:type m:val="bar"/>
          </m:fPr>
          <m:num>
            <m:r>
              <m:t>1</m:t>
            </m:r>
          </m:num>
          <m:den>
            <m:r>
              <m:t>2</m:t>
            </m:r>
          </m:den>
        </m:f>
      </m:oMath>
      <w:r>
        <w:t xml:space="preserve">. Cette fonction est aussi appelée</w:t>
      </w:r>
      <w:r>
        <w:t xml:space="preserve"> </w:t>
      </w:r>
      <w:r>
        <w:rPr>
          <w:i/>
          <w:iCs/>
        </w:rPr>
        <w:t xml:space="preserve">semi-variogramme</w:t>
      </w:r>
      <w:r>
        <w:t xml:space="preserve"> </w:t>
      </w:r>
      <w:r>
        <w:t xml:space="preserve">dans certains domaines.</w:t>
      </w:r>
    </w:p>
    <w:p>
      <w:pPr>
        <w:pStyle w:val="BodyText"/>
      </w:pPr>
      <w:r>
        <w:t xml:space="preserve">Pour une distance donnée, le variogramme mesure donc la dissimilarité moyenne entre des valeurs séparées par cette distance. Si les positions sont proches et que la variable présente une forte continuité spatiale, leurs écarts devraient généralement être faibles. Lorsque la distance augmente, ces écarts tendent à augmenter jusqu’à ce que la relation spatiale devienne faible ou négligeable.</w:t>
      </w:r>
    </w:p>
    <w:p>
      <w:pPr>
        <w:pStyle w:val="BodyText"/>
      </w:pPr>
      <w:r>
        <w:t xml:space="preserve">Cette idée peut également être illustrée à l’aide d’un nuage de décalage. Pour un vecteur</w:t>
      </w:r>
      <w:r>
        <w:t xml:space="preserve"> </w:t>
      </w:r>
      <m:oMath>
        <m:r>
          <m:rPr>
            <m:sty m:val="b"/>
          </m:rPr>
          <m:t>h</m:t>
        </m:r>
      </m:oMath>
      <w:r>
        <w:t xml:space="preserve"> </w:t>
      </w:r>
      <w:r>
        <w:t xml:space="preserve">donné, on représente</w:t>
      </w:r>
      <w:r>
        <w:t xml:space="preserve"> </w:t>
      </w:r>
      <m:oMath>
        <m:r>
          <m:t>Z</m:t>
        </m:r>
        <m:d>
          <m:dPr>
            <m:begChr m:val="("/>
            <m:sepChr m:val=""/>
            <m:endChr m:val=")"/>
            <m:grow/>
          </m:dPr>
          <m:e>
            <m:r>
              <m:rPr>
                <m:sty m:val="b"/>
              </m:rPr>
              <m:t>x</m:t>
            </m:r>
          </m:e>
        </m:d>
      </m:oMath>
      <w:r>
        <w:t xml:space="preserve"> </w:t>
      </w:r>
      <w:r>
        <w:t xml:space="preserve">sur un axe et</w:t>
      </w:r>
      <w:r>
        <w:t xml:space="preserve"> </w:t>
      </w:r>
      <m:oMath>
        <m:r>
          <m:t>Z</m:t>
        </m:r>
        <m:d>
          <m:dPr>
            <m:begChr m:val="("/>
            <m:sepChr m:val=""/>
            <m:endChr m:val=")"/>
            <m:grow/>
          </m:dPr>
          <m:e>
            <m:r>
              <m:rPr>
                <m:sty m:val="b"/>
              </m:rPr>
              <m:t>x</m:t>
            </m:r>
            <m:r>
              <m:rPr>
                <m:sty m:val="p"/>
              </m:rPr>
              <m:t>+</m:t>
            </m:r>
            <m:r>
              <m:rPr>
                <m:sty m:val="b"/>
              </m:rPr>
              <m:t>h</m:t>
            </m:r>
          </m:e>
        </m:d>
      </m:oMath>
      <w:r>
        <w:t xml:space="preserve"> </w:t>
      </w:r>
      <w:r>
        <w:t xml:space="preserve">sur l’autre. Lorsque</w:t>
      </w:r>
      <w:r>
        <w:t xml:space="preserve"> </w:t>
      </w:r>
      <m:oMath>
        <m:r>
          <m:rPr>
            <m:sty m:val="b"/>
          </m:rPr>
          <m:t>h</m:t>
        </m:r>
      </m:oMath>
      <w:r>
        <w:t xml:space="preserve"> </w:t>
      </w:r>
      <w:r>
        <w:t xml:space="preserve">est petit, les points tendent à se concentrer près de la diagonale. Lorsque la distance augmente, le nuage se disperse progressivement, ce qui correspond généralement à une augmentation du variogramme.</w:t>
      </w:r>
    </w:p>
    <w:tbl>
      <w:tblPr>
        <w:tblStyle w:val="Table"/>
        <w:tblW w:type="pct" w:w="5000"/>
        <w:tblLayout w:type="fixed"/>
        <w:tblLook w:firstRow="0" w:lastRow="0" w:firstColumn="0" w:lastColumn="0" w:noHBand="0" w:noVBand="0" w:val="0000"/>
      </w:tblPr>
      <w:tblGrid>
        <w:gridCol w:w="7920"/>
      </w:tblGrid>
      <w:tr>
        <w:tc>
          <w:tcPr/>
          <w:bookmarkStart w:id="45" w:name="fig-hscatter"/>
          <w:p>
            <w:pPr>
              <w:pStyle w:val="Compact"/>
              <w:jc w:val="center"/>
            </w:pPr>
            <w:r>
              <w:drawing>
                <wp:inline>
                  <wp:extent cx="5334000" cy="5618013"/>
                  <wp:effectExtent b="0" l="0" r="0" t="0"/>
                  <wp:docPr descr="" title="" id="43" name="Picture"/>
                  <a:graphic>
                    <a:graphicData uri="http://schemas.openxmlformats.org/drawingml/2006/picture">
                      <pic:pic>
                        <pic:nvPicPr>
                          <pic:cNvPr descr="images/C7_hscatter.png" id="44" name="Picture"/>
                          <pic:cNvPicPr>
                            <a:picLocks noChangeArrowheads="1" noChangeAspect="1"/>
                          </pic:cNvPicPr>
                        </pic:nvPicPr>
                        <pic:blipFill>
                          <a:blip r:embed="rId42"/>
                          <a:stretch>
                            <a:fillRect/>
                          </a:stretch>
                        </pic:blipFill>
                        <pic:spPr bwMode="auto">
                          <a:xfrm>
                            <a:off x="0" y="0"/>
                            <a:ext cx="5334000" cy="5618013"/>
                          </a:xfrm>
                          <a:prstGeom prst="rect">
                            <a:avLst/>
                          </a:prstGeom>
                          <a:noFill/>
                          <a:ln w="9525">
                            <a:noFill/>
                            <a:headEnd/>
                            <a:tailEnd/>
                          </a:ln>
                        </pic:spPr>
                      </pic:pic>
                    </a:graphicData>
                  </a:graphic>
                </wp:inline>
              </w:drawing>
            </w:r>
          </w:p>
          <w:p>
            <w:pPr>
              <w:jc w:val="center"/>
            </w:pPr>
            <w:pPr>
              <w:jc w:val="left"/>
              <w:spacing w:before="200"/>
              <w:pStyle w:val="ImageCaption"/>
            </w:pPr>
            <w:r>
              <w:t xml:space="preserve">Figure 3: Nuage de</w:t>
            </w:r>
            <w:r>
              <w:t xml:space="preserve"> </w:t>
            </w:r>
            <m:oMath>
              <m:r>
                <m:t>Z</m:t>
              </m:r>
              <m:d>
                <m:dPr>
                  <m:begChr m:val="("/>
                  <m:sepChr m:val=""/>
                  <m:endChr m:val=")"/>
                  <m:grow/>
                </m:dPr>
                <m:e>
                  <m:r>
                    <m:rPr>
                      <m:sty m:val="b"/>
                    </m:rPr>
                    <m:t>x</m:t>
                  </m:r>
                </m:e>
              </m:d>
            </m:oMath>
            <w:r>
              <w:t xml:space="preserve"> </w:t>
            </w:r>
            <w:r>
              <w:t xml:space="preserve">en fonction de</w:t>
            </w:r>
            <w:r>
              <w:t xml:space="preserve"> </w:t>
            </w:r>
            <m:oMath>
              <m:r>
                <m:t>Z</m:t>
              </m:r>
              <m:d>
                <m:dPr>
                  <m:begChr m:val="("/>
                  <m:sepChr m:val=""/>
                  <m:endChr m:val=")"/>
                  <m:grow/>
                </m:dPr>
                <m:e>
                  <m:r>
                    <m:rPr>
                      <m:sty m:val="b"/>
                    </m:rPr>
                    <m:t>x</m:t>
                  </m:r>
                  <m:r>
                    <m:rPr>
                      <m:sty m:val="p"/>
                    </m:rPr>
                    <m:t>+</m:t>
                  </m:r>
                  <m:r>
                    <m:rPr>
                      <m:sty m:val="b"/>
                    </m:rPr>
                    <m:t>h</m:t>
                  </m:r>
                </m:e>
              </m:d>
            </m:oMath>
            <w:r>
              <w:t xml:space="preserve"> </w:t>
            </w:r>
            <w:r>
              <w:t xml:space="preserve">pour des distances croissantes, calculé sur un champ gaussien isotrope de modèle sphérique et de portée 30 m. Lorsque la distance augmente, le nuage s’éloigne progressivement de la diagonale, la corrélation diminue et le variogramme augmente.</w:t>
            </w:r>
          </w:p>
          <w:bookmarkEnd w:id="45"/>
        </w:tc>
      </w:tr>
    </w:tbl>
    <w:bookmarkEnd w:id="46"/>
    <w:bookmarkStart w:id="49" w:name="variogramme-expérimental"/>
    <w:p>
      <w:pPr>
        <w:pStyle w:val="Heading3"/>
      </w:pPr>
      <w:r>
        <w:t xml:space="preserve">Variogramme expérimental</w:t>
      </w:r>
    </w:p>
    <w:p>
      <w:pPr>
        <w:pStyle w:val="FirstParagraph"/>
      </w:pPr>
      <w:r>
        <w:t xml:space="preserve">Le variogramme défini précédemment est une propriété théorique de la fonction aléatoire. En pratique, les espérances et les variances qui interviennent dans sa définition sont inconnues. Nous ne disposons que d’un nombre limité de valeurs observées</w:t>
      </w:r>
      <w:r>
        <w:t xml:space="preserve"> </w:t>
      </w:r>
      <m:oMath>
        <m:r>
          <m:t>z</m:t>
        </m:r>
        <m:d>
          <m:dPr>
            <m:begChr m:val="("/>
            <m:sepChr m:val=""/>
            <m:endChr m:val=")"/>
            <m:grow/>
          </m:dPr>
          <m:e>
            <m:sSub>
              <m:e>
                <m:r>
                  <m:rPr>
                    <m:sty m:val="b"/>
                  </m:rPr>
                  <m:t>x</m:t>
                </m:r>
              </m:e>
              <m:sub>
                <m:r>
                  <m:t>i</m:t>
                </m:r>
              </m:sub>
            </m:sSub>
          </m:e>
        </m:d>
      </m:oMath>
      <w:r>
        <w:t xml:space="preserve">.</w:t>
      </w:r>
    </w:p>
    <w:p>
      <w:pPr>
        <w:pStyle w:val="BodyText"/>
      </w:pPr>
      <w:r>
        <w:t xml:space="preserve">Il faut donc estimer le variogramme à partir des paires de données disponibles.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Users\danyl\AppData\Local\Programs\Quarto\share\formats\docx\note.png" id="4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Variogramme expérimental</w:t>
            </w:r>
          </w:p>
        </w:tc>
      </w:tr>
      <w:tr>
        <w:trPr>
          <w:cantSplit/>
        </w:trPr>
        <w:tc>
          <w:tcPr>
            <w:tcMar>
              <w:top w:w="108" w:type="dxa"/>
              <w:bottom w:w="108" w:type="dxa"/>
            </w:tcMar>
          </w:tcPr>
          <w:p>
            <w:pPr>
              <w:pStyle w:val="BodyText"/>
            </w:pPr>
            <w:pPr>
              <w:spacing w:before="16" w:after="16"/>
            </w:pPr>
            <w:r>
              <w:t xml:space="preserve">Le variogramme expérimental, noté</w:t>
            </w:r>
            <w:r>
              <w:t xml:space="preserve"> </w:t>
            </w:r>
            <m:oMath>
              <m:acc>
                <m:accPr>
                  <m:chr m:val="̂"/>
                </m:accPr>
                <m:e>
                  <m:r>
                    <m:t>γ</m:t>
                  </m:r>
                </m:e>
              </m:acc>
            </m:oMath>
            <w:r>
              <w:t xml:space="preserve">, est un estimateur du variogramme calculé à partir des observations disponibles.</w:t>
            </w:r>
          </w:p>
          <w:p/>
        </w:tc>
      </w:tr>
    </w:tbl>
    <w:p>
      <w:pPr>
        <w:pStyle w:val="BodyText"/>
      </w:pPr>
      <w:r>
        <w:t xml:space="preserve">Pour une classe de vecteurs de séparation centrée sur</w:t>
      </w:r>
      <w:r>
        <w:t xml:space="preserve"> </w:t>
      </w:r>
      <m:oMath>
        <m:sSub>
          <m:e>
            <m:r>
              <m:rPr>
                <m:sty m:val="b"/>
              </m:rPr>
              <m:t>h</m:t>
            </m:r>
          </m:e>
          <m:sub>
            <m:r>
              <m:t>k</m:t>
            </m:r>
          </m:sub>
        </m:sSub>
      </m:oMath>
      <w:r>
        <w:t xml:space="preserve">, le variogramme expérimental est calculé par :</w:t>
      </w:r>
    </w:p>
    <w:p>
      <w:pPr>
        <w:pStyle w:val="BodyText"/>
      </w:pPr>
      <m:oMathPara>
        <m:oMathParaPr>
          <m:jc m:val="center"/>
        </m:oMathParaPr>
        <m:oMath>
          <m:acc>
            <m:accPr>
              <m:chr m:val="̂"/>
            </m:accPr>
            <m:e>
              <m:r>
                <m:t>γ</m:t>
              </m:r>
            </m:e>
          </m:acc>
          <m:d>
            <m:dPr>
              <m:begChr m:val="("/>
              <m:sepChr m:val=""/>
              <m:endChr m:val=")"/>
              <m:grow/>
            </m:dPr>
            <m:e>
              <m:sSub>
                <m:e>
                  <m:r>
                    <m:rPr>
                      <m:sty m:val="b"/>
                    </m:rPr>
                    <m:t>h</m:t>
                  </m:r>
                </m:e>
                <m:sub>
                  <m:r>
                    <m:t>k</m:t>
                  </m:r>
                </m:sub>
              </m:sSub>
            </m:e>
          </m:d>
          <m:r>
            <m:rPr>
              <m:sty m:val="p"/>
            </m:rPr>
            <m:t>=</m:t>
          </m:r>
          <m:f>
            <m:fPr>
              <m:type m:val="bar"/>
            </m:fPr>
            <m:num>
              <m:r>
                <m:t>1</m:t>
              </m:r>
            </m:num>
            <m:den>
              <m:r>
                <m:t>2</m:t>
              </m:r>
              <m:sSub>
                <m:e>
                  <m:r>
                    <m:t>N</m:t>
                  </m:r>
                </m:e>
                <m:sub>
                  <m:r>
                    <m:t>k</m:t>
                  </m:r>
                </m:sub>
              </m:sSub>
            </m:den>
          </m:f>
          <m:nary>
            <m:naryPr>
              <m:chr m:val="∑"/>
              <m:limLoc m:val="undOvr"/>
              <m:subHide m:val="off"/>
              <m:supHide m:val="on"/>
            </m:naryPr>
            <m:sub>
              <m:d>
                <m:dPr>
                  <m:begChr m:val="("/>
                  <m:sepChr m:val=""/>
                  <m:endChr m:val=")"/>
                  <m:grow/>
                </m:dPr>
                <m:e>
                  <m:r>
                    <m:t>i</m:t>
                  </m:r>
                  <m:r>
                    <m:rPr>
                      <m:sty m:val="p"/>
                    </m:rPr>
                    <m:t>,</m:t>
                  </m:r>
                  <m:r>
                    <m:t>j</m:t>
                  </m:r>
                </m:e>
              </m:d>
              <m:r>
                <m:rPr>
                  <m:sty m:val="p"/>
                </m:rPr>
                <m:t>∈</m:t>
              </m:r>
              <m:sSub>
                <m:e>
                  <m:r>
                    <m:rPr>
                      <m:sty m:val="p"/>
                      <m:scr m:val="script"/>
                    </m:rPr>
                    <m:t>P</m:t>
                  </m:r>
                </m:e>
                <m:sub>
                  <m:r>
                    <m:t>k</m:t>
                  </m:r>
                </m:sub>
              </m:sSub>
            </m:sub>
            <m:sup>
              <m:r>
                <m:t>​</m:t>
              </m:r>
            </m:sup>
            <m:e>
              <m:sSup>
                <m:e>
                  <m:d>
                    <m:dPr>
                      <m:begChr m:val="["/>
                      <m:sepChr m:val=""/>
                      <m:endChr m:val="]"/>
                      <m:grow/>
                    </m:dPr>
                    <m:e>
                      <m:r>
                        <m:t>z</m:t>
                      </m:r>
                      <m:d>
                        <m:dPr>
                          <m:begChr m:val="("/>
                          <m:sepChr m:val=""/>
                          <m:endChr m:val=")"/>
                          <m:grow/>
                        </m:dPr>
                        <m:e>
                          <m:sSub>
                            <m:e>
                              <m:r>
                                <m:rPr>
                                  <m:sty m:val="b"/>
                                </m:rPr>
                                <m:t>x</m:t>
                              </m:r>
                            </m:e>
                            <m:sub>
                              <m:r>
                                <m:t>j</m:t>
                              </m:r>
                            </m:sub>
                          </m:sSub>
                        </m:e>
                      </m:d>
                      <m:r>
                        <m:rPr>
                          <m:sty m:val="p"/>
                        </m:rPr>
                        <m:t>−</m:t>
                      </m:r>
                      <m:r>
                        <m:t>z</m:t>
                      </m:r>
                      <m:d>
                        <m:dPr>
                          <m:begChr m:val="("/>
                          <m:sepChr m:val=""/>
                          <m:endChr m:val=")"/>
                          <m:grow/>
                        </m:dPr>
                        <m:e>
                          <m:sSub>
                            <m:e>
                              <m:r>
                                <m:rPr>
                                  <m:sty m:val="b"/>
                                </m:rPr>
                                <m:t>x</m:t>
                              </m:r>
                            </m:e>
                            <m:sub>
                              <m:r>
                                <m:t>i</m:t>
                              </m:r>
                            </m:sub>
                          </m:sSub>
                        </m:e>
                      </m:d>
                    </m:e>
                  </m:d>
                </m:e>
                <m:sup>
                  <m:r>
                    <m:t>2</m:t>
                  </m:r>
                </m:sup>
              </m:sSup>
            </m:e>
          </m:nary>
          <m:r>
            <m:rPr>
              <m:sty m:val="p"/>
            </m:rPr>
            <m:t>,</m:t>
          </m:r>
        </m:oMath>
      </m:oMathPara>
    </w:p>
    <w:p>
      <w:pPr>
        <w:pStyle w:val="FirstParagraph"/>
      </w:pPr>
      <w:r>
        <w:t xml:space="preserve">où :</w:t>
      </w:r>
    </w:p>
    <w:p>
      <w:pPr>
        <w:pStyle w:val="Compact"/>
        <w:numPr>
          <w:ilvl w:val="0"/>
          <w:numId w:val="1006"/>
        </w:numPr>
      </w:pPr>
      <m:oMath>
        <m:sSub>
          <m:e>
            <m:r>
              <m:rPr>
                <m:sty m:val="p"/>
                <m:scr m:val="script"/>
              </m:rPr>
              <m:t>P</m:t>
            </m:r>
          </m:e>
          <m:sub>
            <m:r>
              <m:t>k</m:t>
            </m:r>
          </m:sub>
        </m:sSub>
      </m:oMath>
      <w:r>
        <w:t xml:space="preserve"> </w:t>
      </w:r>
      <w:r>
        <w:t xml:space="preserve">est l’ensemble des paires dont le vecteur de séparation est suffisamment proche de</w:t>
      </w:r>
      <w:r>
        <w:t xml:space="preserve"> </w:t>
      </w:r>
      <m:oMath>
        <m:sSub>
          <m:e>
            <m:r>
              <m:rPr>
                <m:sty m:val="b"/>
              </m:rPr>
              <m:t>h</m:t>
            </m:r>
          </m:e>
          <m:sub>
            <m:r>
              <m:t>k</m:t>
            </m:r>
          </m:sub>
        </m:sSub>
      </m:oMath>
      <w:r>
        <w:t xml:space="preserve">;</w:t>
      </w:r>
    </w:p>
    <w:p>
      <w:pPr>
        <w:pStyle w:val="Compact"/>
        <w:numPr>
          <w:ilvl w:val="0"/>
          <w:numId w:val="1006"/>
        </w:numPr>
      </w:pPr>
      <m:oMath>
        <m:sSub>
          <m:e>
            <m:r>
              <m:t>N</m:t>
            </m:r>
          </m:e>
          <m:sub>
            <m:r>
              <m:t>k</m:t>
            </m:r>
          </m:sub>
        </m:sSub>
      </m:oMath>
      <w:r>
        <w:t xml:space="preserve"> </w:t>
      </w:r>
      <w:r>
        <w:t xml:space="preserve">est le nombre de paires contenues dans cet ensemble.</w:t>
      </w:r>
    </w:p>
    <w:p>
      <w:pPr>
        <w:pStyle w:val="FirstParagraph"/>
      </w:pPr>
      <w:r>
        <w:t xml:space="preserve">Pour chaque paire, on calcule l’écart entre les deux valeurs, on élève cet écart au carré, puis on fait la moyenne des contributions obtenues. Le facteur</w:t>
      </w:r>
      <w:r>
        <w:t xml:space="preserve"> </w:t>
      </w:r>
      <m:oMath>
        <m:f>
          <m:fPr>
            <m:type m:val="bar"/>
          </m:fPr>
          <m:num>
            <m:r>
              <m:t>1</m:t>
            </m:r>
          </m:num>
          <m:den>
            <m:r>
              <m:t>2</m:t>
            </m:r>
          </m:den>
        </m:f>
      </m:oMath>
      <w:r>
        <w:t xml:space="preserve"> </w:t>
      </w:r>
      <w:r>
        <w:t xml:space="preserve">provient de la définition du variogramme.</w:t>
      </w:r>
    </w:p>
    <w:p>
      <w:pPr>
        <w:pStyle w:val="BodyText"/>
      </w:pPr>
      <w:r>
        <w:t xml:space="preserve">Comme les données ne sont généralement pas séparées par des distances exactement identiques, les paires sont regroupées en classes de distance et, au besoin, de direction.</w:t>
      </w:r>
    </w:p>
    <w:bookmarkEnd w:id="49"/>
    <w:bookmarkStart w:id="50" w:name="effet-de-la-direction-anisotropie"/>
    <w:p>
      <w:pPr>
        <w:pStyle w:val="Heading3"/>
      </w:pPr>
      <w:r>
        <w:t xml:space="preserve">Effet de la direction : anisotropie</w:t>
      </w:r>
    </w:p>
    <w:p>
      <w:pPr>
        <w:pStyle w:val="FirstParagraph"/>
      </w:pPr>
      <w:r>
        <w:t xml:space="preserve">La continuité spatiale n’est pas nécessairement identique dans toutes les directions. Dans un gisement stratifié, par exemple, les teneurs peuvent être plus continues parallèlement à la stratification que dans la direction perpendiculaire. Dans un panache de contamination, la continuité peut également différer entre les directions longitudinale, transversale et verticale.</w:t>
      </w:r>
    </w:p>
    <w:p>
      <w:pPr>
        <w:pStyle w:val="BodyText"/>
      </w:pPr>
      <w:r>
        <w:t xml:space="preserve">Pour étudier cette variation directionnelle, on calcule des variogrammes selon différentes orientations :</w:t>
      </w:r>
    </w:p>
    <w:p>
      <w:pPr>
        <w:pStyle w:val="BodyText"/>
      </w:pPr>
      <m:oMathPara>
        <m:oMathParaPr>
          <m:jc m:val="center"/>
        </m:oMathParaPr>
        <m:oMath>
          <m:acc>
            <m:accPr>
              <m:chr m:val="̂"/>
            </m:accPr>
            <m:e>
              <m:r>
                <m:t>γ</m:t>
              </m:r>
            </m:e>
          </m:acc>
          <m:d>
            <m:dPr>
              <m:begChr m:val="("/>
              <m:sepChr m:val=""/>
              <m:endChr m:val=")"/>
              <m:grow/>
            </m:dPr>
            <m:e>
              <m:sSub>
                <m:e>
                  <m:r>
                    <m:t>h</m:t>
                  </m:r>
                </m:e>
                <m:sub>
                  <m:r>
                    <m:t>k</m:t>
                  </m:r>
                </m:sub>
              </m:sSub>
              <m:r>
                <m:rPr>
                  <m:sty m:val="p"/>
                </m:rPr>
                <m:t>,</m:t>
              </m:r>
              <m:r>
                <m:t>θ</m:t>
              </m:r>
            </m:e>
          </m:d>
          <m:r>
            <m:rPr>
              <m:sty m:val="p"/>
            </m:rPr>
            <m:t>=</m:t>
          </m:r>
          <m:f>
            <m:fPr>
              <m:type m:val="bar"/>
            </m:fPr>
            <m:num>
              <m:r>
                <m:t>1</m:t>
              </m:r>
            </m:num>
            <m:den>
              <m:r>
                <m:t>2</m:t>
              </m:r>
              <m:r>
                <m:t>N</m:t>
              </m:r>
              <m:d>
                <m:dPr>
                  <m:begChr m:val="("/>
                  <m:sepChr m:val=""/>
                  <m:endChr m:val=")"/>
                  <m:grow/>
                </m:dPr>
                <m:e>
                  <m:sSub>
                    <m:e>
                      <m:r>
                        <m:t>h</m:t>
                      </m:r>
                    </m:e>
                    <m:sub>
                      <m:r>
                        <m:t>k</m:t>
                      </m:r>
                    </m:sub>
                  </m:sSub>
                  <m:r>
                    <m:rPr>
                      <m:sty m:val="p"/>
                    </m:rPr>
                    <m:t>,</m:t>
                  </m:r>
                  <m:r>
                    <m:t>θ</m:t>
                  </m:r>
                </m:e>
              </m:d>
            </m:den>
          </m:f>
          <m:nary>
            <m:naryPr>
              <m:chr m:val="∑"/>
              <m:limLoc m:val="undOvr"/>
              <m:subHide m:val="off"/>
              <m:supHide m:val="on"/>
            </m:naryPr>
            <m:sub>
              <m:d>
                <m:dPr>
                  <m:begChr m:val="("/>
                  <m:sepChr m:val=""/>
                  <m:endChr m:val=")"/>
                  <m:grow/>
                </m:dPr>
                <m:e>
                  <m:r>
                    <m:t>i</m:t>
                  </m:r>
                  <m:r>
                    <m:rPr>
                      <m:sty m:val="p"/>
                    </m:rPr>
                    <m:t>,</m:t>
                  </m:r>
                  <m:r>
                    <m:t>j</m:t>
                  </m:r>
                </m:e>
              </m:d>
              <m:r>
                <m:rPr>
                  <m:sty m:val="p"/>
                </m:rPr>
                <m:t>∈</m:t>
              </m:r>
              <m:r>
                <m:rPr>
                  <m:sty m:val="p"/>
                  <m:scr m:val="script"/>
                </m:rPr>
                <m:t>P</m:t>
              </m:r>
              <m:d>
                <m:dPr>
                  <m:begChr m:val="("/>
                  <m:sepChr m:val=""/>
                  <m:endChr m:val=")"/>
                  <m:grow/>
                </m:dPr>
                <m:e>
                  <m:sSub>
                    <m:e>
                      <m:r>
                        <m:t>h</m:t>
                      </m:r>
                    </m:e>
                    <m:sub>
                      <m:r>
                        <m:t>k</m:t>
                      </m:r>
                    </m:sub>
                  </m:sSub>
                  <m:r>
                    <m:rPr>
                      <m:sty m:val="p"/>
                    </m:rPr>
                    <m:t>,</m:t>
                  </m:r>
                  <m:r>
                    <m:t>θ</m:t>
                  </m:r>
                </m:e>
              </m:d>
            </m:sub>
            <m:sup>
              <m:r>
                <m:t>​</m:t>
              </m:r>
            </m:sup>
            <m:e>
              <m:sSup>
                <m:e>
                  <m:d>
                    <m:dPr>
                      <m:begChr m:val="["/>
                      <m:sepChr m:val=""/>
                      <m:endChr m:val="]"/>
                      <m:grow/>
                    </m:dPr>
                    <m:e>
                      <m:r>
                        <m:t>z</m:t>
                      </m:r>
                      <m:d>
                        <m:dPr>
                          <m:begChr m:val="("/>
                          <m:sepChr m:val=""/>
                          <m:endChr m:val=")"/>
                          <m:grow/>
                        </m:dPr>
                        <m:e>
                          <m:sSub>
                            <m:e>
                              <m:r>
                                <m:rPr>
                                  <m:sty m:val="b"/>
                                </m:rPr>
                                <m:t>x</m:t>
                              </m:r>
                            </m:e>
                            <m:sub>
                              <m:r>
                                <m:t>j</m:t>
                              </m:r>
                            </m:sub>
                          </m:sSub>
                        </m:e>
                      </m:d>
                      <m:r>
                        <m:rPr>
                          <m:sty m:val="p"/>
                        </m:rPr>
                        <m:t>−</m:t>
                      </m:r>
                      <m:r>
                        <m:t>z</m:t>
                      </m:r>
                      <m:d>
                        <m:dPr>
                          <m:begChr m:val="("/>
                          <m:sepChr m:val=""/>
                          <m:endChr m:val=")"/>
                          <m:grow/>
                        </m:dPr>
                        <m:e>
                          <m:sSub>
                            <m:e>
                              <m:r>
                                <m:rPr>
                                  <m:sty m:val="b"/>
                                </m:rPr>
                                <m:t>x</m:t>
                              </m:r>
                            </m:e>
                            <m:sub>
                              <m:r>
                                <m:t>i</m:t>
                              </m:r>
                            </m:sub>
                          </m:sSub>
                        </m:e>
                      </m:d>
                    </m:e>
                  </m:d>
                </m:e>
                <m:sup>
                  <m:r>
                    <m:t>2</m:t>
                  </m:r>
                </m:sup>
              </m:sSup>
            </m:e>
          </m:nary>
          <m:r>
            <m:rPr>
              <m:sty m:val="p"/>
            </m:rPr>
            <m:t>.</m:t>
          </m:r>
        </m:oMath>
      </m:oMathPara>
    </w:p>
    <w:p>
      <w:pPr>
        <w:pStyle w:val="FirstParagraph"/>
      </w:pPr>
      <w:r>
        <w:t xml:space="preserve">Ici,</w:t>
      </w:r>
      <w:r>
        <w:t xml:space="preserve"> </w:t>
      </w:r>
      <m:oMath>
        <m:r>
          <m:rPr>
            <m:sty m:val="p"/>
            <m:scr m:val="script"/>
          </m:rPr>
          <m:t>P</m:t>
        </m:r>
        <m:d>
          <m:dPr>
            <m:begChr m:val="("/>
            <m:sepChr m:val=""/>
            <m:endChr m:val=")"/>
            <m:grow/>
          </m:dPr>
          <m:e>
            <m:sSub>
              <m:e>
                <m:r>
                  <m:t>h</m:t>
                </m:r>
              </m:e>
              <m:sub>
                <m:r>
                  <m:t>k</m:t>
                </m:r>
              </m:sub>
            </m:sSub>
            <m:r>
              <m:rPr>
                <m:sty m:val="p"/>
              </m:rPr>
              <m:t>,</m:t>
            </m:r>
            <m:r>
              <m:t>θ</m:t>
            </m:r>
          </m:e>
        </m:d>
      </m:oMath>
      <w:r>
        <w:t xml:space="preserve"> </w:t>
      </w:r>
      <w:r>
        <w:t xml:space="preserve">contient les paires dont la distance est proche de</w:t>
      </w:r>
      <w:r>
        <w:t xml:space="preserve"> </w:t>
      </w:r>
      <m:oMath>
        <m:sSub>
          <m:e>
            <m:r>
              <m:t>h</m:t>
            </m:r>
          </m:e>
          <m:sub>
            <m:r>
              <m:t>k</m:t>
            </m:r>
          </m:sub>
        </m:sSub>
      </m:oMath>
      <w:r>
        <w:t xml:space="preserve"> </w:t>
      </w:r>
      <w:r>
        <w:t xml:space="preserve">et dont l’orientation est proche de la direction</w:t>
      </w:r>
      <w:r>
        <w:t xml:space="preserve"> </w:t>
      </w:r>
      <m:oMath>
        <m:r>
          <m:t>θ</m:t>
        </m:r>
      </m:oMath>
      <w:r>
        <w:t xml:space="preserve">.</w:t>
      </w:r>
    </w:p>
    <w:p>
      <w:pPr>
        <w:pStyle w:val="BodyText"/>
      </w:pPr>
      <w:r>
        <w:t xml:space="preserve">En deux dimensions, l’orientation est souvent exprimée par un azimut, mesuré à partir du nord dans le sens horaire. Comme l’ordre des deux points d’une paire ne modifie pas leur contribution au variogramme, les vecteurs opposés sont équivalents :</w:t>
      </w:r>
    </w:p>
    <w:p>
      <w:pPr>
        <w:pStyle w:val="BodyText"/>
      </w:pPr>
      <m:oMathPara>
        <m:oMathParaPr>
          <m:jc m:val="center"/>
        </m:oMathParaPr>
        <m:oMath>
          <m:r>
            <m:t>γ</m:t>
          </m:r>
          <m:d>
            <m:dPr>
              <m:begChr m:val="("/>
              <m:sepChr m:val=""/>
              <m:endChr m:val=")"/>
              <m:grow/>
            </m:dPr>
            <m:e>
              <m:r>
                <m:rPr>
                  <m:sty m:val="b"/>
                </m:rPr>
                <m:t>h</m:t>
              </m:r>
            </m:e>
          </m:d>
          <m:r>
            <m:rPr>
              <m:sty m:val="p"/>
            </m:rPr>
            <m:t>=</m:t>
          </m:r>
          <m:r>
            <m:t>γ</m:t>
          </m:r>
          <m:d>
            <m:dPr>
              <m:begChr m:val="("/>
              <m:sepChr m:val=""/>
              <m:endChr m:val=")"/>
              <m:grow/>
            </m:dPr>
            <m:e>
              <m:r>
                <m:rPr>
                  <m:sty m:val="p"/>
                </m:rPr>
                <m:t>−</m:t>
              </m:r>
              <m:r>
                <m:rPr>
                  <m:sty m:val="b"/>
                </m:rPr>
                <m:t>h</m:t>
              </m:r>
            </m:e>
          </m:d>
          <m:r>
            <m:rPr>
              <m:sty m:val="p"/>
            </m:rPr>
            <m:t>.</m:t>
          </m:r>
        </m:oMath>
      </m:oMathPara>
    </w:p>
    <w:p>
      <w:pPr>
        <w:pStyle w:val="FirstParagraph"/>
      </w:pPr>
      <w:r>
        <w:t xml:space="preserve">Ainsi, une direction de</w:t>
      </w:r>
      <w:r>
        <w:t xml:space="preserve"> </w:t>
      </w:r>
      <m:oMath>
        <m:sSup>
          <m:e>
            <m:r>
              <m:t>30</m:t>
            </m:r>
          </m:e>
          <m:sup>
            <m:r>
              <m:rPr>
                <m:sty m:val="p"/>
              </m:rPr>
              <m:t>∘</m:t>
            </m:r>
          </m:sup>
        </m:sSup>
      </m:oMath>
      <w:r>
        <w:t xml:space="preserve"> </w:t>
      </w:r>
      <w:r>
        <w:t xml:space="preserve">et une direction de</w:t>
      </w:r>
      <w:r>
        <w:t xml:space="preserve"> </w:t>
      </w:r>
      <m:oMath>
        <m:sSup>
          <m:e>
            <m:r>
              <m:t>210</m:t>
            </m:r>
          </m:e>
          <m:sup>
            <m:r>
              <m:rPr>
                <m:sty m:val="p"/>
              </m:rPr>
              <m:t>∘</m:t>
            </m:r>
          </m:sup>
        </m:sSup>
      </m:oMath>
      <w:r>
        <w:t xml:space="preserve"> </w:t>
      </w:r>
      <w:r>
        <w:t xml:space="preserve">représentent le même axe. Il suffit donc généralement d’étudier les orientations comprises entre</w:t>
      </w:r>
      <w:r>
        <w:t xml:space="preserve"> </w:t>
      </w:r>
      <m:oMath>
        <m:sSup>
          <m:e>
            <m:r>
              <m:t>0</m:t>
            </m:r>
          </m:e>
          <m:sup>
            <m:r>
              <m:rPr>
                <m:sty m:val="p"/>
              </m:rPr>
              <m:t>∘</m:t>
            </m:r>
          </m:sup>
        </m:sSup>
      </m:oMath>
      <w:r>
        <w:t xml:space="preserve"> </w:t>
      </w:r>
      <w:r>
        <w:t xml:space="preserve">et</w:t>
      </w:r>
      <w:r>
        <w:t xml:space="preserve"> </w:t>
      </w:r>
      <m:oMath>
        <m:sSup>
          <m:e>
            <m:r>
              <m:t>180</m:t>
            </m:r>
          </m:e>
          <m:sup>
            <m:r>
              <m:rPr>
                <m:sty m:val="p"/>
              </m:rPr>
              <m:t>∘</m:t>
            </m:r>
          </m:sup>
        </m:sSup>
      </m:oMath>
      <w:r>
        <w:t xml:space="preserve">.</w:t>
      </w:r>
    </w:p>
    <w:bookmarkEnd w:id="50"/>
    <w:bookmarkStart w:id="55" w:name="choix-des-tolérances"/>
    <w:p>
      <w:pPr>
        <w:pStyle w:val="Heading3"/>
      </w:pPr>
      <w:r>
        <w:t xml:space="preserve">Choix des tolérances</w:t>
      </w:r>
    </w:p>
    <w:p>
      <w:pPr>
        <w:pStyle w:val="FirstParagraph"/>
      </w:pPr>
      <w:r>
        <w:t xml:space="preserve">En pratique, il est rare de trouver plusieurs paires exactement séparées par une distance</w:t>
      </w:r>
      <w:r>
        <w:t xml:space="preserve"> </w:t>
      </w:r>
      <m:oMath>
        <m:r>
          <m:t>h</m:t>
        </m:r>
      </m:oMath>
      <w:r>
        <w:t xml:space="preserve"> </w:t>
      </w:r>
      <w:r>
        <w:t xml:space="preserve">et orientées précisément selon une direction</w:t>
      </w:r>
      <w:r>
        <w:t xml:space="preserve"> </w:t>
      </w:r>
      <m:oMath>
        <m:r>
          <m:t>θ</m:t>
        </m:r>
      </m:oMath>
      <w:r>
        <w:t xml:space="preserve">. Des tolérances sont donc utilisées pour regrouper les paires suffisamment semblables.</w:t>
      </w:r>
    </w:p>
    <w:p>
      <w:pPr>
        <w:pStyle w:val="BodyText"/>
      </w:pPr>
      <w:r>
        <w:t xml:space="preserve">Les principaux paramètres de sélection sont :</w:t>
      </w:r>
    </w:p>
    <w:p>
      <w:pPr>
        <w:pStyle w:val="Compact"/>
        <w:numPr>
          <w:ilvl w:val="0"/>
          <w:numId w:val="1007"/>
        </w:numPr>
      </w:pPr>
      <w:r>
        <w:t xml:space="preserve">la distance cible, ou pas de calcul;</w:t>
      </w:r>
    </w:p>
    <w:p>
      <w:pPr>
        <w:pStyle w:val="Compact"/>
        <w:numPr>
          <w:ilvl w:val="0"/>
          <w:numId w:val="1007"/>
        </w:numPr>
      </w:pPr>
      <w:r>
        <w:t xml:space="preserve">la tolérance sur la distance;</w:t>
      </w:r>
    </w:p>
    <w:p>
      <w:pPr>
        <w:pStyle w:val="Compact"/>
        <w:numPr>
          <w:ilvl w:val="0"/>
          <w:numId w:val="1007"/>
        </w:numPr>
      </w:pPr>
      <w:r>
        <w:t xml:space="preserve">la tolérance angulaire;</w:t>
      </w:r>
    </w:p>
    <w:p>
      <w:pPr>
        <w:pStyle w:val="Compact"/>
        <w:numPr>
          <w:ilvl w:val="0"/>
          <w:numId w:val="1007"/>
        </w:numPr>
      </w:pPr>
      <w:r>
        <w:t xml:space="preserve">la largeur maximale, ou</w:t>
      </w:r>
      <w:r>
        <w:t xml:space="preserve"> </w:t>
      </w:r>
      <w:r>
        <w:rPr>
          <w:i/>
          <w:iCs/>
        </w:rPr>
        <w:t xml:space="preserve">bandwidth</w:t>
      </w:r>
      <w:r>
        <w:t xml:space="preserve">, autour de l’axe directionnel.</w:t>
      </w:r>
    </w:p>
    <w:p>
      <w:pPr>
        <w:pStyle w:val="FirstParagraph"/>
      </w:pPr>
      <w:r>
        <w:t xml:space="preserve">Une tolérance trop faible peut produire des classes contenant peu de paires, ce qui rend le variogramme expérimental instable. À l’inverse, une tolérance trop large peut regrouper des paires qui ne représentent pas la même échelle ou la même direction de continuité.</w:t>
      </w:r>
    </w:p>
    <w:p>
      <w:pPr>
        <w:pStyle w:val="BodyText"/>
      </w:pPr>
      <w:r>
        <w:t xml:space="preserve">Le choix des tolérances constitue donc un compromis entre la précision spatiale et la stabilité statistique. Elles doivent permettre de conserver un nombre suffisant de paires dans chaque classe sans masquer les structures directionnelles présentes dans les données.</w:t>
      </w:r>
    </w:p>
    <w:p>
      <w:pPr>
        <w:pStyle w:val="BodyText"/>
      </w:pPr>
      <w:r>
        <w:t xml:space="preserve">La</w:t>
      </w:r>
      <w:r>
        <w:t xml:space="preserve"> </w:t>
      </w:r>
      <w:hyperlink w:anchor="fig-tolerance">
        <w:r>
          <w:rPr>
            <w:rStyle w:val="Hyperlink"/>
          </w:rPr>
          <w:t xml:space="preserve">Figure 4</w:t>
        </w:r>
      </w:hyperlink>
      <w:r>
        <w:t xml:space="preserve"> </w:t>
      </w:r>
      <w:r>
        <w:t xml:space="preserve">illustre ce principe. Pour chaque point de référence en rouge, les points bleus représentent les observations retenues selon la distance cible et les tolérances choisies. Une ouverture angulaire plus grande augmente le nombre de paires, mais réduit la précision directionnelle du calcul.</w:t>
      </w:r>
    </w:p>
    <w:tbl>
      <w:tblPr>
        <w:tblStyle w:val="Table"/>
        <w:tblW w:type="pct" w:w="5000"/>
        <w:tblLayout w:type="fixed"/>
        <w:tblLook w:firstRow="0" w:lastRow="0" w:firstColumn="0" w:lastColumn="0" w:noHBand="0" w:noVBand="0" w:val="0000"/>
      </w:tblPr>
      <w:tblGrid>
        <w:gridCol w:w="7920"/>
      </w:tblGrid>
      <w:tr>
        <w:tc>
          <w:tcPr/>
          <w:bookmarkStart w:id="54" w:name="fig-tolerance"/>
          <w:p>
            <w:pPr>
              <w:pStyle w:val="Compact"/>
              <w:jc w:val="center"/>
            </w:pPr>
            <w:r>
              <w:drawing>
                <wp:inline>
                  <wp:extent cx="5334000" cy="5334000"/>
                  <wp:effectExtent b="0" l="0" r="0" t="0"/>
                  <wp:docPr descr="" title="" id="52" name="Picture"/>
                  <a:graphic>
                    <a:graphicData uri="http://schemas.openxmlformats.org/drawingml/2006/picture">
                      <pic:pic>
                        <pic:nvPicPr>
                          <pic:cNvPr descr="images/C7_tolerance.png" id="53" name="Picture"/>
                          <pic:cNvPicPr>
                            <a:picLocks noChangeArrowheads="1" noChangeAspect="1"/>
                          </pic:cNvPicPr>
                        </pic:nvPicPr>
                        <pic:blipFill>
                          <a:blip r:embed="rId51"/>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Influence des tolérances de distance et de direction sur la sélection des paires utilisées pour calculer le variogramme expérimental.</w:t>
            </w:r>
          </w:p>
          <w:bookmarkEnd w:id="54"/>
        </w:tc>
      </w:tr>
    </w:tbl>
    <w:bookmarkEnd w:id="55"/>
    <w:bookmarkStart w:id="69" w:name="nuée-variographique"/>
    <w:p>
      <w:pPr>
        <w:pStyle w:val="Heading3"/>
      </w:pPr>
      <w:r>
        <w:t xml:space="preserve">Nuée variographique</w:t>
      </w:r>
    </w:p>
    <w:p>
      <w:pPr>
        <w:pStyle w:val="FirstParagraph"/>
      </w:pPr>
      <w:r>
        <w:t xml:space="preserve">Avant de regrouper les paires en classes de distance, il est utile d’examiner leurs contributions individuellement. Cette représentation est appelée</w:t>
      </w:r>
      <w:r>
        <w:t xml:space="preserve"> </w:t>
      </w:r>
      <w:r>
        <w:rPr>
          <w:b/>
          <w:bCs/>
        </w:rPr>
        <w:t xml:space="preserve">nuée variographique</w:t>
      </w:r>
      <w:r>
        <w:t xml:space="preserve">.</w:t>
      </w:r>
    </w:p>
    <w:p>
      <w:pPr>
        <w:pStyle w:val="BodyText"/>
      </w:pPr>
      <w:r>
        <w:t xml:space="preserve">Pour chaque paire de positions</w:t>
      </w:r>
      <w:r>
        <w:t xml:space="preserve"> </w:t>
      </w:r>
      <m:oMath>
        <m:d>
          <m:dPr>
            <m:begChr m:val="("/>
            <m:sepChr m:val=""/>
            <m:endChr m:val=")"/>
            <m:grow/>
          </m:dPr>
          <m:e>
            <m:sSub>
              <m:e>
                <m:r>
                  <m:rPr>
                    <m:sty m:val="b"/>
                  </m:rPr>
                  <m:t>x</m:t>
                </m:r>
              </m:e>
              <m:sub>
                <m:r>
                  <m:t>i</m:t>
                </m:r>
              </m:sub>
            </m:sSub>
            <m:r>
              <m:rPr>
                <m:sty m:val="p"/>
              </m:rPr>
              <m:t>,</m:t>
            </m:r>
            <m:sSub>
              <m:e>
                <m:r>
                  <m:rPr>
                    <m:sty m:val="b"/>
                  </m:rPr>
                  <m:t>x</m:t>
                </m:r>
              </m:e>
              <m:sub>
                <m:r>
                  <m:t>j</m:t>
                </m:r>
              </m:sub>
            </m:sSub>
          </m:e>
        </m:d>
      </m:oMath>
      <w:r>
        <w:t xml:space="preserve">, on calcule :</w:t>
      </w:r>
    </w:p>
    <w:p>
      <w:pPr>
        <w:pStyle w:val="Compact"/>
        <w:numPr>
          <w:ilvl w:val="0"/>
          <w:numId w:val="1008"/>
        </w:numPr>
      </w:pPr>
      <w:r>
        <w:t xml:space="preserve">la distance entre les deux positions :</w:t>
      </w:r>
    </w:p>
    <w:p>
      <w:pPr>
        <w:pStyle w:val="FirstParagraph"/>
      </w:pPr>
      <m:oMathPara>
        <m:oMathParaPr>
          <m:jc m:val="center"/>
        </m:oMathParaPr>
        <m:oMath>
          <m:sSub>
            <m:e>
              <m:r>
                <m:t>h</m:t>
              </m:r>
            </m:e>
            <m:sub>
              <m:r>
                <m:t>i</m:t>
              </m:r>
              <m:r>
                <m:t>j</m:t>
              </m:r>
            </m:sub>
          </m:sSub>
          <m:r>
            <m:rPr>
              <m:sty m:val="p"/>
            </m:rPr>
            <m:t>=</m:t>
          </m:r>
          <m:d>
            <m:dPr>
              <m:begChr m:val="∥"/>
              <m:sepChr m:val=""/>
              <m:endChr m:val="∥"/>
              <m:grow/>
            </m:dPr>
            <m:e>
              <m:sSub>
                <m:e>
                  <m:r>
                    <m:rPr>
                      <m:sty m:val="b"/>
                    </m:rPr>
                    <m:t>x</m:t>
                  </m:r>
                </m:e>
                <m:sub>
                  <m:r>
                    <m:t>j</m:t>
                  </m:r>
                </m:sub>
              </m:sSub>
              <m:r>
                <m:rPr>
                  <m:sty m:val="p"/>
                </m:rPr>
                <m:t>−</m:t>
              </m:r>
              <m:sSub>
                <m:e>
                  <m:r>
                    <m:rPr>
                      <m:sty m:val="b"/>
                    </m:rPr>
                    <m:t>x</m:t>
                  </m:r>
                </m:e>
                <m:sub>
                  <m:r>
                    <m:t>i</m:t>
                  </m:r>
                </m:sub>
              </m:sSub>
            </m:e>
          </m:d>
          <m:r>
            <m:rPr>
              <m:sty m:val="p"/>
            </m:rPr>
            <m:t>;</m:t>
          </m:r>
        </m:oMath>
      </m:oMathPara>
    </w:p>
    <w:p>
      <w:pPr>
        <w:pStyle w:val="Compact"/>
        <w:numPr>
          <w:ilvl w:val="0"/>
          <w:numId w:val="1009"/>
        </w:numPr>
      </w:pPr>
      <w:r>
        <w:t xml:space="preserve">la contribution variographique de la paire :</w:t>
      </w:r>
    </w:p>
    <w:p>
      <w:pPr>
        <w:pStyle w:val="FirstParagraph"/>
      </w:pPr>
      <m:oMathPara>
        <m:oMathParaPr>
          <m:jc m:val="center"/>
        </m:oMathParaPr>
        <m:oMath>
          <m:sSub>
            <m:e>
              <m:r>
                <m:t>γ</m:t>
              </m:r>
            </m:e>
            <m:sub>
              <m:r>
                <m:t>i</m:t>
              </m:r>
              <m:r>
                <m:t>j</m:t>
              </m:r>
            </m:sub>
          </m:sSub>
          <m:r>
            <m:rPr>
              <m:sty m:val="p"/>
            </m:rPr>
            <m:t>=</m:t>
          </m:r>
          <m:f>
            <m:fPr>
              <m:type m:val="bar"/>
            </m:fPr>
            <m:num>
              <m:r>
                <m:t>1</m:t>
              </m:r>
            </m:num>
            <m:den>
              <m:r>
                <m:t>2</m:t>
              </m:r>
            </m:den>
          </m:f>
          <m:sSup>
            <m:e>
              <m:d>
                <m:dPr>
                  <m:begChr m:val="["/>
                  <m:sepChr m:val=""/>
                  <m:endChr m:val="]"/>
                  <m:grow/>
                </m:dPr>
                <m:e>
                  <m:r>
                    <m:t>z</m:t>
                  </m:r>
                  <m:d>
                    <m:dPr>
                      <m:begChr m:val="("/>
                      <m:sepChr m:val=""/>
                      <m:endChr m:val=")"/>
                      <m:grow/>
                    </m:dPr>
                    <m:e>
                      <m:sSub>
                        <m:e>
                          <m:r>
                            <m:rPr>
                              <m:sty m:val="b"/>
                            </m:rPr>
                            <m:t>x</m:t>
                          </m:r>
                        </m:e>
                        <m:sub>
                          <m:r>
                            <m:t>j</m:t>
                          </m:r>
                        </m:sub>
                      </m:sSub>
                    </m:e>
                  </m:d>
                  <m:r>
                    <m:rPr>
                      <m:sty m:val="p"/>
                    </m:rPr>
                    <m:t>−</m:t>
                  </m:r>
                  <m:r>
                    <m:t>z</m:t>
                  </m:r>
                  <m:d>
                    <m:dPr>
                      <m:begChr m:val="("/>
                      <m:sepChr m:val=""/>
                      <m:endChr m:val=")"/>
                      <m:grow/>
                    </m:dPr>
                    <m:e>
                      <m:sSub>
                        <m:e>
                          <m:r>
                            <m:rPr>
                              <m:sty m:val="b"/>
                            </m:rPr>
                            <m:t>x</m:t>
                          </m:r>
                        </m:e>
                        <m:sub>
                          <m:r>
                            <m:t>i</m:t>
                          </m:r>
                        </m:sub>
                      </m:sSub>
                    </m:e>
                  </m:d>
                </m:e>
              </m:d>
            </m:e>
            <m:sup>
              <m:r>
                <m:t>2</m:t>
              </m:r>
            </m:sup>
          </m:sSup>
          <m:r>
            <m:rPr>
              <m:sty m:val="p"/>
            </m:rPr>
            <m:t>.</m:t>
          </m:r>
        </m:oMath>
      </m:oMathPara>
    </w:p>
    <w:p>
      <w:pPr>
        <w:pStyle w:val="FirstParagraph"/>
      </w:pPr>
      <w:r>
        <w:t xml:space="preserve">Chaque paire produit un point dans la nuée variographique. La distance</w:t>
      </w:r>
      <w:r>
        <w:t xml:space="preserve"> </w:t>
      </w:r>
      <m:oMath>
        <m:sSub>
          <m:e>
            <m:r>
              <m:t>h</m:t>
            </m:r>
          </m:e>
          <m:sub>
            <m:r>
              <m:t>i</m:t>
            </m:r>
            <m:r>
              <m:t>j</m:t>
            </m:r>
          </m:sub>
        </m:sSub>
      </m:oMath>
      <w:r>
        <w:t xml:space="preserve"> </w:t>
      </w:r>
      <w:r>
        <w:t xml:space="preserve">est placée en abscisse et la contribution</w:t>
      </w:r>
      <w:r>
        <w:t xml:space="preserve"> </w:t>
      </w:r>
      <m:oMath>
        <m:sSub>
          <m:e>
            <m:r>
              <m:t>γ</m:t>
            </m:r>
          </m:e>
          <m:sub>
            <m:r>
              <m:t>i</m:t>
            </m:r>
            <m:r>
              <m:t>j</m:t>
            </m:r>
          </m:sub>
        </m:sSub>
      </m:oMath>
      <w:r>
        <w:t xml:space="preserve"> </w:t>
      </w:r>
      <w:r>
        <w:t xml:space="preserve">en ordonnée.</w:t>
      </w:r>
    </w:p>
    <w:p>
      <w:pPr>
        <w:pStyle w:val="BodyText"/>
      </w:pPr>
      <w:r>
        <w:t xml:space="preserve">Il ne s’agit pas d’une variance calculée à partir d’une seule paire, mais d’une contribution individuelle au calcul du variogramme expérimental.</w:t>
      </w:r>
    </w:p>
    <w:p>
      <w:pPr>
        <w:pStyle w:val="BodyText"/>
      </w:pPr>
      <w:r>
        <w:t xml:space="preserve">La nuée variographique constitue ainsi une représentation brute de toutes les différences observées. Elle est généralement très dispersée, puisque deux paires séparées par une distance semblable peuvent traverser des structures géologiques différentes ou contenir des valeurs très contrastées.</w:t>
      </w:r>
    </w:p>
    <w:p>
      <w:pPr>
        <w:pStyle w:val="BodyText"/>
      </w:pPr>
      <w:r>
        <w:t xml:space="preserve">Le variogramme expérimental est obtenu en regroupant les contributions de la nuée par classes de distance, puis en calculant leur moyenne dans chaque classe.</w:t>
      </w:r>
    </w:p>
    <w:p>
      <w:pPr>
        <w:pStyle w:val="BodyText"/>
      </w:pPr>
      <w:r>
        <w:t xml:space="preserve">La largeur de ces classes influence le résultat :</w:t>
      </w:r>
    </w:p>
    <w:p>
      <w:pPr>
        <w:pStyle w:val="Compact"/>
        <w:numPr>
          <w:ilvl w:val="0"/>
          <w:numId w:val="1010"/>
        </w:numPr>
      </w:pPr>
      <w:r>
        <w:t xml:space="preserve">des classes trop étroites contiennent peu de paires et produisent un variogramme instable;</w:t>
      </w:r>
    </w:p>
    <w:p>
      <w:pPr>
        <w:pStyle w:val="Compact"/>
        <w:numPr>
          <w:ilvl w:val="0"/>
          <w:numId w:val="1010"/>
        </w:numPr>
      </w:pPr>
      <w:r>
        <w:t xml:space="preserve">des classes trop larges mélangent des distances différentes et peuvent masquer certaines caractéristiques de la structure spatiale.</w:t>
      </w:r>
    </w:p>
    <w:p>
      <w:pPr>
        <w:pStyle w:val="FirstParagraph"/>
      </w:pPr>
      <w:r>
        <w:t xml:space="preserve">La</w:t>
      </w:r>
      <w:r>
        <w:t xml:space="preserve"> </w:t>
      </w:r>
      <w:hyperlink w:anchor="fig-nuee">
        <w:r>
          <w:rPr>
            <w:rStyle w:val="Hyperlink"/>
          </w:rPr>
          <w:t xml:space="preserve">Figure 5</w:t>
        </w:r>
      </w:hyperlink>
      <w:r>
        <w:t xml:space="preserve"> </w:t>
      </w:r>
      <w:r>
        <w:t xml:space="preserve">montre l’effet de différentes largeurs de classes sur le regroupement des contributions variographiques.</w:t>
      </w:r>
    </w:p>
    <w:bookmarkStart w:id="68" w:name="fig-nuee"/>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59" w:name="fig-nueeA"/>
                <w:p>
                  <w:pPr>
                    <w:pStyle w:val="Compact"/>
                    <w:jc w:val="center"/>
                    <w:jc w:val="left"/>
                  </w:pPr>
                  <w:r>
                    <w:drawing>
                      <wp:inline>
                        <wp:extent cx="5334000" cy="2016904"/>
                        <wp:effectExtent b="0" l="0" r="0" t="0"/>
                        <wp:docPr descr="" title="" id="57" name="Picture"/>
                        <a:graphic>
                          <a:graphicData uri="http://schemas.openxmlformats.org/drawingml/2006/picture">
                            <pic:pic>
                              <pic:nvPicPr>
                                <pic:cNvPr descr="images/C7_nuee_bin5.PNG" id="58" name="Picture"/>
                                <pic:cNvPicPr>
                                  <a:picLocks noChangeArrowheads="1" noChangeAspect="1"/>
                                </pic:cNvPicPr>
                              </pic:nvPicPr>
                              <pic:blipFill>
                                <a:blip r:embed="rId56"/>
                                <a:stretch>
                                  <a:fillRect/>
                                </a:stretch>
                              </pic:blipFill>
                              <pic:spPr bwMode="auto">
                                <a:xfrm>
                                  <a:off x="0" y="0"/>
                                  <a:ext cx="5334000" cy="2016904"/>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Nuée variographique regroupée en classes de 5 m.</w:t>
                  </w:r>
                </w:p>
                <w:bookmarkEnd w:id="59"/>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63" w:name="fig-nueeB"/>
                <w:p>
                  <w:pPr>
                    <w:pStyle w:val="Compact"/>
                    <w:jc w:val="center"/>
                    <w:jc w:val="left"/>
                  </w:pPr>
                  <w:r>
                    <w:drawing>
                      <wp:inline>
                        <wp:extent cx="5334000" cy="1976581"/>
                        <wp:effectExtent b="0" l="0" r="0" t="0"/>
                        <wp:docPr descr="" title="" id="61" name="Picture"/>
                        <a:graphic>
                          <a:graphicData uri="http://schemas.openxmlformats.org/drawingml/2006/picture">
                            <pic:pic>
                              <pic:nvPicPr>
                                <pic:cNvPr descr="images/C7_nuee_bin10.PNG" id="62" name="Picture"/>
                                <pic:cNvPicPr>
                                  <a:picLocks noChangeArrowheads="1" noChangeAspect="1"/>
                                </pic:cNvPicPr>
                              </pic:nvPicPr>
                              <pic:blipFill>
                                <a:blip r:embed="rId60"/>
                                <a:stretch>
                                  <a:fillRect/>
                                </a:stretch>
                              </pic:blipFill>
                              <pic:spPr bwMode="auto">
                                <a:xfrm>
                                  <a:off x="0" y="0"/>
                                  <a:ext cx="5334000" cy="197658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Nuée variographique regroupée en classes de 10 m.</w:t>
                  </w:r>
                </w:p>
                <w:bookmarkEnd w:id="63"/>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67" w:name="fig-nueeC"/>
                <w:p>
                  <w:pPr>
                    <w:pStyle w:val="Compact"/>
                    <w:jc w:val="center"/>
                    <w:jc w:val="left"/>
                  </w:pPr>
                  <w:r>
                    <w:drawing>
                      <wp:inline>
                        <wp:extent cx="5334000" cy="1949668"/>
                        <wp:effectExtent b="0" l="0" r="0" t="0"/>
                        <wp:docPr descr="" title="" id="65" name="Picture"/>
                        <a:graphic>
                          <a:graphicData uri="http://schemas.openxmlformats.org/drawingml/2006/picture">
                            <pic:pic>
                              <pic:nvPicPr>
                                <pic:cNvPr descr="images/C7_nuee_bin50.PNG" id="66" name="Picture"/>
                                <pic:cNvPicPr>
                                  <a:picLocks noChangeArrowheads="1" noChangeAspect="1"/>
                                </pic:cNvPicPr>
                              </pic:nvPicPr>
                              <pic:blipFill>
                                <a:blip r:embed="rId64"/>
                                <a:stretch>
                                  <a:fillRect/>
                                </a:stretch>
                              </pic:blipFill>
                              <pic:spPr bwMode="auto">
                                <a:xfrm>
                                  <a:off x="0" y="0"/>
                                  <a:ext cx="5334000" cy="194966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(c) Nuée variographique regroupée en classes de 50 m.</w:t>
                  </w:r>
                </w:p>
                <w:bookmarkEnd w:id="67"/>
              </w:tc>
            </w:tr>
          </w:tbl>
          <w:p/>
        </w:tc>
      </w:tr>
    </w:tbl>
    <w:p>
      <w:pPr>
        <w:pStyle w:val="BodyText"/>
      </w:pPr>
      <w:pPr>
        <w:spacing w:before="200"/>
        <w:pStyle w:val="ImageCaption"/>
      </w:pPr>
      <w:r>
        <w:t xml:space="preserve">Figure 5: Comparaison de la nuée variographique et du variogramme expérimental selon différentes largeurs de classes.</w:t>
      </w:r>
    </w:p>
    <w:bookmarkEnd w:id="68"/>
    <w:bookmarkEnd w:id="69"/>
    <w:bookmarkEnd w:id="70"/>
    <w:bookmarkStart w:id="78" w:name="X43c4bec3441e1f96fd68cea6f90d538f11a8a30"/>
    <w:p>
      <w:pPr>
        <w:pStyle w:val="Heading2"/>
      </w:pPr>
      <w:r>
        <w:t xml:space="preserve">🧮 Atelier interactif 7.1 — Nuée variographique</w:t>
      </w:r>
    </w:p>
    <w:p>
      <w:pPr>
        <w:pStyle w:val="FirstParagraph"/>
      </w:pPr>
      <w:r>
        <w:t xml:space="preserve">Cet atelier interactif n’est disponible que dans la version web du chapitre.</w:t>
      </w:r>
    </w:p>
    <w:bookmarkStart w:id="77" w:name="exemples-numériques-simplifiés"/>
    <w:p>
      <w:pPr>
        <w:pStyle w:val="Heading3"/>
      </w:pPr>
      <w:r>
        <w:t xml:space="preserve">Exemples numériques simplifiés</w:t>
      </w:r>
    </w:p>
    <w:bookmarkStart w:id="71" w:name="exemple-1d-effet-de-la-distance"/>
    <w:p>
      <w:pPr>
        <w:pStyle w:val="Heading4"/>
      </w:pPr>
      <w:r>
        <w:t xml:space="preserve">Exemple 1D : effet de la distance</w:t>
      </w:r>
    </w:p>
    <w:p>
      <w:pPr>
        <w:pStyle w:val="FirstParagraph"/>
      </w:pPr>
      <w:r>
        <w:t xml:space="preserve">Considérons la série suivante, échantillonnée tous les mètres :</w:t>
      </w:r>
    </w:p>
    <w:p>
      <w:pPr>
        <w:pStyle w:val="BodyText"/>
      </w:pPr>
      <m:oMathPara>
        <m:oMathParaPr>
          <m:jc m:val="center"/>
        </m:oMathParaPr>
        <m:oMath>
          <m:r>
            <m:t>z</m:t>
          </m:r>
          <m:d>
            <m:dPr>
              <m:begChr m:val="("/>
              <m:sepChr m:val=""/>
              <m:endChr m:val=")"/>
              <m:grow/>
            </m:dPr>
            <m:e>
              <m:r>
                <m:t>x</m:t>
              </m:r>
            </m:e>
          </m:d>
          <m:r>
            <m:rPr>
              <m:sty m:val="p"/>
            </m:rPr>
            <m:t>=</m:t>
          </m:r>
          <m:r>
            <m:rPr>
              <m:sty m:val="p"/>
            </m:rPr>
            <m:t>{</m:t>
          </m:r>
          <m:r>
            <m:t>1</m:t>
          </m:r>
          <m:r>
            <m:rPr>
              <m:sty m:val="p"/>
            </m:rPr>
            <m:t>,</m:t>
          </m:r>
          <m:r>
            <m:t> </m:t>
          </m:r>
          <m:r>
            <m:t>1</m:t>
          </m:r>
          <m:r>
            <m:rPr>
              <m:sty m:val="p"/>
            </m:rPr>
            <m:t>,</m:t>
          </m:r>
          <m:r>
            <m:t> </m:t>
          </m:r>
          <m:r>
            <m:t>2</m:t>
          </m:r>
          <m:r>
            <m:rPr>
              <m:sty m:val="p"/>
            </m:rPr>
            <m:t>,</m:t>
          </m:r>
          <m:r>
            <m:t> </m:t>
          </m:r>
          <m:r>
            <m:t>2</m:t>
          </m:r>
          <m:r>
            <m:rPr>
              <m:sty m:val="p"/>
            </m:rPr>
            <m:t>,</m:t>
          </m:r>
          <m:r>
            <m:t> </m:t>
          </m:r>
          <m:r>
            <m:t>3</m:t>
          </m:r>
          <m:r>
            <m:rPr>
              <m:sty m:val="p"/>
            </m:rPr>
            <m:t>,</m:t>
          </m:r>
          <m:r>
            <m:t> </m:t>
          </m:r>
          <m:r>
            <m:t>3</m:t>
          </m:r>
          <m:r>
            <m:rPr>
              <m:sty m:val="p"/>
            </m:rPr>
            <m:t>}</m:t>
          </m:r>
          <m:r>
            <m:rPr>
              <m:sty m:val="p"/>
            </m:rPr>
            <m:t>.</m:t>
          </m:r>
        </m:oMath>
      </m:oMathPara>
    </w:p>
    <w:p>
      <w:pPr>
        <w:pStyle w:val="FirstParagraph"/>
      </w:pPr>
      <w:r>
        <w:t xml:space="preserve">Les six valeurs sont situées aux positions</w:t>
      </w:r>
      <w:r>
        <w:t xml:space="preserve"> </w:t>
      </w:r>
      <m:oMath>
        <m:r>
          <m:t>x</m:t>
        </m:r>
        <m:r>
          <m:rPr>
            <m:sty m:val="p"/>
          </m:rPr>
          <m:t>=</m:t>
        </m:r>
        <m:r>
          <m:t>0</m:t>
        </m:r>
      </m:oMath>
      <w:r>
        <w:t xml:space="preserve">,</w:t>
      </w:r>
      <w:r>
        <w:t xml:space="preserve"> </w:t>
      </w:r>
      <m:oMath>
        <m:r>
          <m:t>1</m:t>
        </m:r>
      </m:oMath>
      <w:r>
        <w:t xml:space="preserve">,</w:t>
      </w:r>
      <w:r>
        <w:t xml:space="preserve"> </w:t>
      </w:r>
      <m:oMath>
        <m:r>
          <m:t>2</m:t>
        </m:r>
      </m:oMath>
      <w:r>
        <w:t xml:space="preserve">,</w:t>
      </w:r>
      <w:r>
        <w:t xml:space="preserve"> </w:t>
      </w:r>
      <m:oMath>
        <m:r>
          <m:t>3</m:t>
        </m:r>
      </m:oMath>
      <w:r>
        <w:t xml:space="preserve">,</w:t>
      </w:r>
      <w:r>
        <w:t xml:space="preserve"> </w:t>
      </w:r>
      <m:oMath>
        <m:r>
          <m:t>4</m:t>
        </m:r>
      </m:oMath>
      <w:r>
        <w:t xml:space="preserve"> </w:t>
      </w:r>
      <w:r>
        <w:t xml:space="preserve">et</w:t>
      </w:r>
      <w:r>
        <w:t xml:space="preserve"> </w:t>
      </w:r>
      <m:oMath>
        <m:r>
          <m:t>5</m:t>
        </m:r>
      </m:oMath>
      <w:r>
        <w:t xml:space="preserve"> </w:t>
      </w:r>
      <w:r>
        <w:t xml:space="preserve">m.</w:t>
      </w:r>
    </w:p>
    <w:p>
      <w:pPr>
        <w:pStyle w:val="BodyText"/>
      </w:pPr>
      <w:r>
        <w:t xml:space="preserve">Pour une distance</w:t>
      </w:r>
      <w:r>
        <w:t xml:space="preserve"> </w:t>
      </w:r>
      <m:oMath>
        <m:r>
          <m:t>h</m:t>
        </m:r>
        <m:r>
          <m:rPr>
            <m:sty m:val="p"/>
          </m:rPr>
          <m:t>=</m:t>
        </m:r>
        <m:r>
          <m:t>1</m:t>
        </m:r>
      </m:oMath>
      <w:r>
        <w:t xml:space="preserve"> </w:t>
      </w:r>
      <w:r>
        <w:t xml:space="preserve">m, les cinq paires sont :</w:t>
      </w:r>
    </w:p>
    <w:p>
      <w:pPr>
        <w:pStyle w:val="BodyText"/>
      </w:pPr>
      <m:oMathPara>
        <m:oMathParaPr>
          <m:jc m:val="center"/>
        </m:oMathParaPr>
        <m:oMath>
          <m:d>
            <m:dPr>
              <m:begChr m:val="("/>
              <m:sepChr m:val=""/>
              <m:endChr m:val=")"/>
              <m:grow/>
            </m:dPr>
            <m:e>
              <m:r>
                <m:t>1</m:t>
              </m:r>
              <m:r>
                <m:rPr>
                  <m:sty m:val="p"/>
                </m:rPr>
                <m:t>,</m:t>
              </m:r>
              <m:r>
                <m:t>1</m:t>
              </m:r>
            </m:e>
          </m:d>
          <m:r>
            <m:rPr>
              <m:sty m:val="p"/>
            </m:rPr>
            <m:t>,</m:t>
          </m:r>
          <m:r>
            <m:t>  </m:t>
          </m:r>
          <m:d>
            <m:dPr>
              <m:begChr m:val="("/>
              <m:sepChr m:val=""/>
              <m:endChr m:val=")"/>
              <m:grow/>
            </m:dPr>
            <m:e>
              <m:r>
                <m:t>1</m:t>
              </m:r>
              <m:r>
                <m:rPr>
                  <m:sty m:val="p"/>
                </m:rPr>
                <m:t>,</m:t>
              </m:r>
              <m:r>
                <m:t>2</m:t>
              </m:r>
            </m:e>
          </m:d>
          <m:r>
            <m:rPr>
              <m:sty m:val="p"/>
            </m:rPr>
            <m:t>,</m:t>
          </m:r>
          <m:r>
            <m:t>  </m:t>
          </m:r>
          <m:d>
            <m:dPr>
              <m:begChr m:val="("/>
              <m:sepChr m:val=""/>
              <m:endChr m:val=")"/>
              <m:grow/>
            </m:dPr>
            <m:e>
              <m:r>
                <m:t>2</m:t>
              </m:r>
              <m:r>
                <m:rPr>
                  <m:sty m:val="p"/>
                </m:rPr>
                <m:t>,</m:t>
              </m:r>
              <m:r>
                <m:t>2</m:t>
              </m:r>
            </m:e>
          </m:d>
          <m:r>
            <m:rPr>
              <m:sty m:val="p"/>
            </m:rPr>
            <m:t>,</m:t>
          </m:r>
          <m:r>
            <m:t>  </m:t>
          </m:r>
          <m:d>
            <m:dPr>
              <m:begChr m:val="("/>
              <m:sepChr m:val=""/>
              <m:endChr m:val=")"/>
              <m:grow/>
            </m:dPr>
            <m:e>
              <m:r>
                <m:t>2</m:t>
              </m:r>
              <m:r>
                <m:rPr>
                  <m:sty m:val="p"/>
                </m:rPr>
                <m:t>,</m:t>
              </m:r>
              <m:r>
                <m:t>3</m:t>
              </m:r>
            </m:e>
          </m:d>
          <m:r>
            <m:rPr>
              <m:sty m:val="p"/>
            </m:rPr>
            <m:t>,</m:t>
          </m:r>
          <m:r>
            <m:t>  </m:t>
          </m:r>
          <m:d>
            <m:dPr>
              <m:begChr m:val="("/>
              <m:sepChr m:val=""/>
              <m:endChr m:val=")"/>
              <m:grow/>
            </m:dPr>
            <m:e>
              <m:r>
                <m:t>3</m:t>
              </m:r>
              <m:r>
                <m:rPr>
                  <m:sty m:val="p"/>
                </m:rPr>
                <m:t>,</m:t>
              </m:r>
              <m:r>
                <m:t>3</m:t>
              </m:r>
            </m:e>
          </m:d>
          <m:r>
            <m:rPr>
              <m:sty m:val="p"/>
            </m:rPr>
            <m:t>.</m:t>
          </m:r>
        </m:oMath>
      </m:oMathPara>
    </w:p>
    <w:p>
      <w:pPr>
        <w:pStyle w:val="FirstParagraph"/>
      </w:pPr>
      <w:r>
        <w:t xml:space="preserve">Le variogramme expérimental vaut :</w:t>
      </w:r>
    </w:p>
    <w:p>
      <w:pPr>
        <w:pStyle w:val="BodyText"/>
      </w:pPr>
      <m:oMathPara>
        <m:oMathParaPr>
          <m:jc m:val="center"/>
        </m:oMathParaPr>
        <m:oMath>
          <m:acc>
            <m:accPr>
              <m:chr m:val="̂"/>
            </m:accPr>
            <m:e>
              <m:r>
                <m:t>γ</m:t>
              </m:r>
            </m:e>
          </m:acc>
          <m:d>
            <m:dPr>
              <m:begChr m:val="("/>
              <m:sepChr m:val=""/>
              <m:endChr m:val=")"/>
              <m:grow/>
            </m:dPr>
            <m:e>
              <m:r>
                <m:t>1</m:t>
              </m:r>
            </m:e>
          </m:d>
          <m:r>
            <m:rPr>
              <m:sty m:val="p"/>
            </m:rPr>
            <m:t>=</m:t>
          </m:r>
          <m:f>
            <m:fPr>
              <m:type m:val="bar"/>
            </m:fPr>
            <m:num>
              <m:r>
                <m:t>1</m:t>
              </m:r>
            </m:num>
            <m:den>
              <m:r>
                <m:t>2</m:t>
              </m:r>
              <m:r>
                <m:rPr>
                  <m:sty m:val="p"/>
                </m:rPr>
                <m:t>×</m:t>
              </m:r>
              <m:r>
                <m:t>5</m:t>
              </m:r>
            </m:den>
          </m:f>
          <m:d>
            <m:dPr>
              <m:begChr m:val="["/>
              <m:sepChr m:val=""/>
              <m:endChr m:val="]"/>
              <m:grow/>
            </m:dPr>
            <m:e>
              <m:sSup>
                <m:e>
                  <m:d>
                    <m:dPr>
                      <m:begChr m:val="("/>
                      <m:sepChr m:val=""/>
                      <m:endChr m:val=")"/>
                      <m:grow/>
                    </m:dPr>
                    <m:e>
                      <m:r>
                        <m:t>1</m:t>
                      </m:r>
                      <m:r>
                        <m:rPr>
                          <m:sty m:val="p"/>
                        </m:rPr>
                        <m:t>−</m:t>
                      </m:r>
                      <m:r>
                        <m:t>1</m:t>
                      </m:r>
                    </m:e>
                  </m:d>
                </m:e>
                <m:sup>
                  <m:r>
                    <m:t>2</m:t>
                  </m:r>
                </m:sup>
              </m:sSup>
              <m:r>
                <m:rPr>
                  <m:sty m:val="p"/>
                </m:rPr>
                <m:t>+</m:t>
              </m:r>
              <m:sSup>
                <m:e>
                  <m:d>
                    <m:dPr>
                      <m:begChr m:val="("/>
                      <m:sepChr m:val=""/>
                      <m:endChr m:val=")"/>
                      <m:grow/>
                    </m:dPr>
                    <m:e>
                      <m:r>
                        <m:t>1</m:t>
                      </m:r>
                      <m:r>
                        <m:rPr>
                          <m:sty m:val="p"/>
                        </m:rPr>
                        <m:t>−</m:t>
                      </m:r>
                      <m:r>
                        <m:t>2</m:t>
                      </m:r>
                    </m:e>
                  </m:d>
                </m:e>
                <m:sup>
                  <m:r>
                    <m:t>2</m:t>
                  </m:r>
                </m:sup>
              </m:sSup>
              <m:r>
                <m:rPr>
                  <m:sty m:val="p"/>
                </m:rPr>
                <m:t>+</m:t>
              </m:r>
              <m:sSup>
                <m:e>
                  <m:d>
                    <m:dPr>
                      <m:begChr m:val="("/>
                      <m:sepChr m:val=""/>
                      <m:endChr m:val=")"/>
                      <m:grow/>
                    </m:dPr>
                    <m:e>
                      <m:r>
                        <m:t>2</m:t>
                      </m:r>
                      <m:r>
                        <m:rPr>
                          <m:sty m:val="p"/>
                        </m:rPr>
                        <m:t>−</m:t>
                      </m:r>
                      <m:r>
                        <m:t>2</m:t>
                      </m:r>
                    </m:e>
                  </m:d>
                </m:e>
                <m:sup>
                  <m:r>
                    <m:t>2</m:t>
                  </m:r>
                </m:sup>
              </m:sSup>
              <m:r>
                <m:rPr>
                  <m:sty m:val="p"/>
                </m:rPr>
                <m:t>+</m:t>
              </m:r>
              <m:sSup>
                <m:e>
                  <m:d>
                    <m:dPr>
                      <m:begChr m:val="("/>
                      <m:sepChr m:val=""/>
                      <m:endChr m:val=")"/>
                      <m:grow/>
                    </m:dPr>
                    <m:e>
                      <m:r>
                        <m:t>2</m:t>
                      </m:r>
                      <m:r>
                        <m:rPr>
                          <m:sty m:val="p"/>
                        </m:rPr>
                        <m:t>−</m:t>
                      </m:r>
                      <m:r>
                        <m:t>3</m:t>
                      </m:r>
                    </m:e>
                  </m:d>
                </m:e>
                <m:sup>
                  <m:r>
                    <m:t>2</m:t>
                  </m:r>
                </m:sup>
              </m:sSup>
              <m:r>
                <m:rPr>
                  <m:sty m:val="p"/>
                </m:rPr>
                <m:t>+</m:t>
              </m:r>
              <m:sSup>
                <m:e>
                  <m:d>
                    <m:dPr>
                      <m:begChr m:val="("/>
                      <m:sepChr m:val=""/>
                      <m:endChr m:val=")"/>
                      <m:grow/>
                    </m:dPr>
                    <m:e>
                      <m:r>
                        <m:t>3</m:t>
                      </m:r>
                      <m:r>
                        <m:rPr>
                          <m:sty m:val="p"/>
                        </m:rPr>
                        <m:t>−</m:t>
                      </m:r>
                      <m:r>
                        <m:t>3</m:t>
                      </m:r>
                    </m:e>
                  </m:d>
                </m:e>
                <m:sup>
                  <m:r>
                    <m:t>2</m:t>
                  </m:r>
                </m:sup>
              </m:sSup>
            </m:e>
          </m:d>
          <m:r>
            <m:rPr>
              <m:sty m:val="p"/>
            </m:rPr>
            <m:t>=</m:t>
          </m:r>
          <m:r>
            <m:t>0</m:t>
          </m:r>
          <m:r>
            <m:rPr>
              <m:sty m:val="p"/>
            </m:rPr>
            <m:t>,</m:t>
          </m:r>
          <m:r>
            <m:t>20</m:t>
          </m:r>
          <m:r>
            <m:rPr>
              <m:sty m:val="p"/>
            </m:rPr>
            <m:t>.</m:t>
          </m:r>
        </m:oMath>
      </m:oMathPara>
    </w:p>
    <w:p>
      <w:pPr>
        <w:pStyle w:val="FirstParagraph"/>
      </w:pPr>
      <w:r>
        <w:t xml:space="preserve">Pour une distance</w:t>
      </w:r>
      <w:r>
        <w:t xml:space="preserve"> </w:t>
      </w:r>
      <m:oMath>
        <m:r>
          <m:t>h</m:t>
        </m:r>
        <m:r>
          <m:rPr>
            <m:sty m:val="p"/>
          </m:rPr>
          <m:t>=</m:t>
        </m:r>
        <m:r>
          <m:t>2</m:t>
        </m:r>
      </m:oMath>
      <w:r>
        <w:t xml:space="preserve"> </w:t>
      </w:r>
      <w:r>
        <w:t xml:space="preserve">m, les quatre paires sont :</w:t>
      </w:r>
    </w:p>
    <w:p>
      <w:pPr>
        <w:pStyle w:val="BodyText"/>
      </w:pPr>
      <m:oMathPara>
        <m:oMathParaPr>
          <m:jc m:val="center"/>
        </m:oMathParaPr>
        <m:oMath>
          <m:d>
            <m:dPr>
              <m:begChr m:val="("/>
              <m:sepChr m:val=""/>
              <m:endChr m:val=")"/>
              <m:grow/>
            </m:dPr>
            <m:e>
              <m:r>
                <m:t>1</m:t>
              </m:r>
              <m:r>
                <m:rPr>
                  <m:sty m:val="p"/>
                </m:rPr>
                <m:t>,</m:t>
              </m:r>
              <m:r>
                <m:t>2</m:t>
              </m:r>
            </m:e>
          </m:d>
          <m:r>
            <m:rPr>
              <m:sty m:val="p"/>
            </m:rPr>
            <m:t>,</m:t>
          </m:r>
          <m:r>
            <m:t>  </m:t>
          </m:r>
          <m:d>
            <m:dPr>
              <m:begChr m:val="("/>
              <m:sepChr m:val=""/>
              <m:endChr m:val=")"/>
              <m:grow/>
            </m:dPr>
            <m:e>
              <m:r>
                <m:t>1</m:t>
              </m:r>
              <m:r>
                <m:rPr>
                  <m:sty m:val="p"/>
                </m:rPr>
                <m:t>,</m:t>
              </m:r>
              <m:r>
                <m:t>2</m:t>
              </m:r>
            </m:e>
          </m:d>
          <m:r>
            <m:rPr>
              <m:sty m:val="p"/>
            </m:rPr>
            <m:t>,</m:t>
          </m:r>
          <m:r>
            <m:t>  </m:t>
          </m:r>
          <m:d>
            <m:dPr>
              <m:begChr m:val="("/>
              <m:sepChr m:val=""/>
              <m:endChr m:val=")"/>
              <m:grow/>
            </m:dPr>
            <m:e>
              <m:r>
                <m:t>2</m:t>
              </m:r>
              <m:r>
                <m:rPr>
                  <m:sty m:val="p"/>
                </m:rPr>
                <m:t>,</m:t>
              </m:r>
              <m:r>
                <m:t>3</m:t>
              </m:r>
            </m:e>
          </m:d>
          <m:r>
            <m:rPr>
              <m:sty m:val="p"/>
            </m:rPr>
            <m:t>,</m:t>
          </m:r>
          <m:r>
            <m:t>  </m:t>
          </m:r>
          <m:d>
            <m:dPr>
              <m:begChr m:val="("/>
              <m:sepChr m:val=""/>
              <m:endChr m:val=")"/>
              <m:grow/>
            </m:dPr>
            <m:e>
              <m:r>
                <m:t>2</m:t>
              </m:r>
              <m:r>
                <m:rPr>
                  <m:sty m:val="p"/>
                </m:rPr>
                <m:t>,</m:t>
              </m:r>
              <m:r>
                <m:t>3</m:t>
              </m:r>
            </m:e>
          </m:d>
          <m:r>
            <m:rPr>
              <m:sty m:val="p"/>
            </m:rPr>
            <m:t>.</m:t>
          </m:r>
        </m:oMath>
      </m:oMathPara>
    </w:p>
    <w:p>
      <w:pPr>
        <w:pStyle w:val="FirstParagraph"/>
      </w:pPr>
      <w:r>
        <w:t xml:space="preserve">On obtient :</w:t>
      </w:r>
    </w:p>
    <w:p>
      <w:pPr>
        <w:pStyle w:val="BodyText"/>
      </w:pPr>
      <m:oMathPara>
        <m:oMathParaPr>
          <m:jc m:val="center"/>
        </m:oMathParaPr>
        <m:oMath>
          <m:acc>
            <m:accPr>
              <m:chr m:val="̂"/>
            </m:accPr>
            <m:e>
              <m:r>
                <m:t>γ</m:t>
              </m:r>
            </m:e>
          </m:acc>
          <m:d>
            <m:dPr>
              <m:begChr m:val="("/>
              <m:sepChr m:val=""/>
              <m:endChr m:val=")"/>
              <m:grow/>
            </m:dPr>
            <m:e>
              <m:r>
                <m:t>2</m:t>
              </m:r>
            </m:e>
          </m:d>
          <m:r>
            <m:rPr>
              <m:sty m:val="p"/>
            </m:rPr>
            <m:t>=</m:t>
          </m:r>
          <m:f>
            <m:fPr>
              <m:type m:val="bar"/>
            </m:fPr>
            <m:num>
              <m:r>
                <m:t>1</m:t>
              </m:r>
            </m:num>
            <m:den>
              <m:r>
                <m:t>2</m:t>
              </m:r>
              <m:r>
                <m:rPr>
                  <m:sty m:val="p"/>
                </m:rPr>
                <m:t>×</m:t>
              </m:r>
              <m:r>
                <m:t>4</m:t>
              </m:r>
            </m:den>
          </m:f>
          <m:d>
            <m:dPr>
              <m:begChr m:val="["/>
              <m:sepChr m:val=""/>
              <m:endChr m:val="]"/>
              <m:grow/>
            </m:dPr>
            <m:e>
              <m:sSup>
                <m:e>
                  <m:d>
                    <m:dPr>
                      <m:begChr m:val="("/>
                      <m:sepChr m:val=""/>
                      <m:endChr m:val=")"/>
                      <m:grow/>
                    </m:dPr>
                    <m:e>
                      <m:r>
                        <m:t>1</m:t>
                      </m:r>
                      <m:r>
                        <m:rPr>
                          <m:sty m:val="p"/>
                        </m:rPr>
                        <m:t>−</m:t>
                      </m:r>
                      <m:r>
                        <m:t>2</m:t>
                      </m:r>
                    </m:e>
                  </m:d>
                </m:e>
                <m:sup>
                  <m:r>
                    <m:t>2</m:t>
                  </m:r>
                </m:sup>
              </m:sSup>
              <m:r>
                <m:rPr>
                  <m:sty m:val="p"/>
                </m:rPr>
                <m:t>+</m:t>
              </m:r>
              <m:sSup>
                <m:e>
                  <m:d>
                    <m:dPr>
                      <m:begChr m:val="("/>
                      <m:sepChr m:val=""/>
                      <m:endChr m:val=")"/>
                      <m:grow/>
                    </m:dPr>
                    <m:e>
                      <m:r>
                        <m:t>1</m:t>
                      </m:r>
                      <m:r>
                        <m:rPr>
                          <m:sty m:val="p"/>
                        </m:rPr>
                        <m:t>−</m:t>
                      </m:r>
                      <m:r>
                        <m:t>2</m:t>
                      </m:r>
                    </m:e>
                  </m:d>
                </m:e>
                <m:sup>
                  <m:r>
                    <m:t>2</m:t>
                  </m:r>
                </m:sup>
              </m:sSup>
              <m:r>
                <m:rPr>
                  <m:sty m:val="p"/>
                </m:rPr>
                <m:t>+</m:t>
              </m:r>
              <m:sSup>
                <m:e>
                  <m:d>
                    <m:dPr>
                      <m:begChr m:val="("/>
                      <m:sepChr m:val=""/>
                      <m:endChr m:val=")"/>
                      <m:grow/>
                    </m:dPr>
                    <m:e>
                      <m:r>
                        <m:t>2</m:t>
                      </m:r>
                      <m:r>
                        <m:rPr>
                          <m:sty m:val="p"/>
                        </m:rPr>
                        <m:t>−</m:t>
                      </m:r>
                      <m:r>
                        <m:t>3</m:t>
                      </m:r>
                    </m:e>
                  </m:d>
                </m:e>
                <m:sup>
                  <m:r>
                    <m:t>2</m:t>
                  </m:r>
                </m:sup>
              </m:sSup>
              <m:r>
                <m:rPr>
                  <m:sty m:val="p"/>
                </m:rPr>
                <m:t>+</m:t>
              </m:r>
              <m:sSup>
                <m:e>
                  <m:d>
                    <m:dPr>
                      <m:begChr m:val="("/>
                      <m:sepChr m:val=""/>
                      <m:endChr m:val=")"/>
                      <m:grow/>
                    </m:dPr>
                    <m:e>
                      <m:r>
                        <m:t>2</m:t>
                      </m:r>
                      <m:r>
                        <m:rPr>
                          <m:sty m:val="p"/>
                        </m:rPr>
                        <m:t>−</m:t>
                      </m:r>
                      <m:r>
                        <m:t>3</m:t>
                      </m:r>
                    </m:e>
                  </m:d>
                </m:e>
                <m:sup>
                  <m:r>
                    <m:t>2</m:t>
                  </m:r>
                </m:sup>
              </m:sSup>
            </m:e>
          </m:d>
          <m:r>
            <m:rPr>
              <m:sty m:val="p"/>
            </m:rPr>
            <m:t>=</m:t>
          </m:r>
          <m:r>
            <m:t>0</m:t>
          </m:r>
          <m:r>
            <m:rPr>
              <m:sty m:val="p"/>
            </m:rPr>
            <m:t>,</m:t>
          </m:r>
          <m:r>
            <m:t>50</m:t>
          </m:r>
          <m:r>
            <m:rPr>
              <m:sty m:val="p"/>
            </m:rPr>
            <m:t>.</m:t>
          </m:r>
        </m:oMath>
      </m:oMathPara>
    </w:p>
    <w:p>
      <w:pPr>
        <w:pStyle w:val="FirstParagraph"/>
      </w:pPr>
      <w:r>
        <w:t xml:space="preserve">Pour une distance</w:t>
      </w:r>
      <w:r>
        <w:t xml:space="preserve"> </w:t>
      </w:r>
      <m:oMath>
        <m:r>
          <m:t>h</m:t>
        </m:r>
        <m:r>
          <m:rPr>
            <m:sty m:val="p"/>
          </m:rPr>
          <m:t>=</m:t>
        </m:r>
        <m:r>
          <m:t>3</m:t>
        </m:r>
      </m:oMath>
      <w:r>
        <w:t xml:space="preserve"> </w:t>
      </w:r>
      <w:r>
        <w:t xml:space="preserve">m, les trois paires sont :</w:t>
      </w:r>
    </w:p>
    <w:p>
      <w:pPr>
        <w:pStyle w:val="BodyText"/>
      </w:pPr>
      <m:oMathPara>
        <m:oMathParaPr>
          <m:jc m:val="center"/>
        </m:oMathParaPr>
        <m:oMath>
          <m:d>
            <m:dPr>
              <m:begChr m:val="("/>
              <m:sepChr m:val=""/>
              <m:endChr m:val=")"/>
              <m:grow/>
            </m:dPr>
            <m:e>
              <m:r>
                <m:t>1</m:t>
              </m:r>
              <m:r>
                <m:rPr>
                  <m:sty m:val="p"/>
                </m:rPr>
                <m:t>,</m:t>
              </m:r>
              <m:r>
                <m:t>2</m:t>
              </m:r>
            </m:e>
          </m:d>
          <m:r>
            <m:rPr>
              <m:sty m:val="p"/>
            </m:rPr>
            <m:t>,</m:t>
          </m:r>
          <m:r>
            <m:t>  </m:t>
          </m:r>
          <m:d>
            <m:dPr>
              <m:begChr m:val="("/>
              <m:sepChr m:val=""/>
              <m:endChr m:val=")"/>
              <m:grow/>
            </m:dPr>
            <m:e>
              <m:r>
                <m:t>1</m:t>
              </m:r>
              <m:r>
                <m:rPr>
                  <m:sty m:val="p"/>
                </m:rPr>
                <m:t>,</m:t>
              </m:r>
              <m:r>
                <m:t>3</m:t>
              </m:r>
            </m:e>
          </m:d>
          <m:r>
            <m:rPr>
              <m:sty m:val="p"/>
            </m:rPr>
            <m:t>,</m:t>
          </m:r>
          <m:r>
            <m:t>  </m:t>
          </m:r>
          <m:d>
            <m:dPr>
              <m:begChr m:val="("/>
              <m:sepChr m:val=""/>
              <m:endChr m:val=")"/>
              <m:grow/>
            </m:dPr>
            <m:e>
              <m:r>
                <m:t>2</m:t>
              </m:r>
              <m:r>
                <m:rPr>
                  <m:sty m:val="p"/>
                </m:rPr>
                <m:t>,</m:t>
              </m:r>
              <m:r>
                <m:t>3</m:t>
              </m:r>
            </m:e>
          </m:d>
          <m:r>
            <m:rPr>
              <m:sty m:val="p"/>
            </m:rPr>
            <m:t>.</m:t>
          </m:r>
        </m:oMath>
      </m:oMathPara>
    </w:p>
    <w:p>
      <w:pPr>
        <w:pStyle w:val="FirstParagraph"/>
      </w:pPr>
      <w:r>
        <w:t xml:space="preserve">Ainsi :</w:t>
      </w:r>
    </w:p>
    <w:p>
      <w:pPr>
        <w:pStyle w:val="BodyText"/>
      </w:pPr>
      <m:oMathPara>
        <m:oMathParaPr>
          <m:jc m:val="center"/>
        </m:oMathParaPr>
        <m:oMath>
          <m:acc>
            <m:accPr>
              <m:chr m:val="̂"/>
            </m:accPr>
            <m:e>
              <m:r>
                <m:t>γ</m:t>
              </m:r>
            </m:e>
          </m:acc>
          <m:d>
            <m:dPr>
              <m:begChr m:val="("/>
              <m:sepChr m:val=""/>
              <m:endChr m:val=")"/>
              <m:grow/>
            </m:dPr>
            <m:e>
              <m:r>
                <m:t>3</m:t>
              </m:r>
            </m:e>
          </m:d>
          <m:r>
            <m:rPr>
              <m:sty m:val="p"/>
            </m:rPr>
            <m:t>=</m:t>
          </m:r>
          <m:f>
            <m:fPr>
              <m:type m:val="bar"/>
            </m:fPr>
            <m:num>
              <m:r>
                <m:t>1</m:t>
              </m:r>
            </m:num>
            <m:den>
              <m:r>
                <m:t>2</m:t>
              </m:r>
              <m:r>
                <m:rPr>
                  <m:sty m:val="p"/>
                </m:rPr>
                <m:t>×</m:t>
              </m:r>
              <m:r>
                <m:t>3</m:t>
              </m:r>
            </m:den>
          </m:f>
          <m:d>
            <m:dPr>
              <m:begChr m:val="["/>
              <m:sepChr m:val=""/>
              <m:endChr m:val="]"/>
              <m:grow/>
            </m:dPr>
            <m:e>
              <m:sSup>
                <m:e>
                  <m:d>
                    <m:dPr>
                      <m:begChr m:val="("/>
                      <m:sepChr m:val=""/>
                      <m:endChr m:val=")"/>
                      <m:grow/>
                    </m:dPr>
                    <m:e>
                      <m:r>
                        <m:t>1</m:t>
                      </m:r>
                      <m:r>
                        <m:rPr>
                          <m:sty m:val="p"/>
                        </m:rPr>
                        <m:t>−</m:t>
                      </m:r>
                      <m:r>
                        <m:t>2</m:t>
                      </m:r>
                    </m:e>
                  </m:d>
                </m:e>
                <m:sup>
                  <m:r>
                    <m:t>2</m:t>
                  </m:r>
                </m:sup>
              </m:sSup>
              <m:r>
                <m:rPr>
                  <m:sty m:val="p"/>
                </m:rPr>
                <m:t>+</m:t>
              </m:r>
              <m:sSup>
                <m:e>
                  <m:d>
                    <m:dPr>
                      <m:begChr m:val="("/>
                      <m:sepChr m:val=""/>
                      <m:endChr m:val=")"/>
                      <m:grow/>
                    </m:dPr>
                    <m:e>
                      <m:r>
                        <m:t>1</m:t>
                      </m:r>
                      <m:r>
                        <m:rPr>
                          <m:sty m:val="p"/>
                        </m:rPr>
                        <m:t>−</m:t>
                      </m:r>
                      <m:r>
                        <m:t>3</m:t>
                      </m:r>
                    </m:e>
                  </m:d>
                </m:e>
                <m:sup>
                  <m:r>
                    <m:t>2</m:t>
                  </m:r>
                </m:sup>
              </m:sSup>
              <m:r>
                <m:rPr>
                  <m:sty m:val="p"/>
                </m:rPr>
                <m:t>+</m:t>
              </m:r>
              <m:sSup>
                <m:e>
                  <m:d>
                    <m:dPr>
                      <m:begChr m:val="("/>
                      <m:sepChr m:val=""/>
                      <m:endChr m:val=")"/>
                      <m:grow/>
                    </m:dPr>
                    <m:e>
                      <m:r>
                        <m:t>2</m:t>
                      </m:r>
                      <m:r>
                        <m:rPr>
                          <m:sty m:val="p"/>
                        </m:rPr>
                        <m:t>−</m:t>
                      </m:r>
                      <m:r>
                        <m:t>3</m:t>
                      </m:r>
                    </m:e>
                  </m:d>
                </m:e>
                <m:sup>
                  <m:r>
                    <m:t>2</m:t>
                  </m:r>
                </m:sup>
              </m:sSup>
            </m:e>
          </m:d>
          <m:r>
            <m:rPr>
              <m:sty m:val="p"/>
            </m:rPr>
            <m:t>=</m:t>
          </m:r>
          <m:r>
            <m:t>1</m:t>
          </m:r>
          <m:r>
            <m:rPr>
              <m:sty m:val="p"/>
            </m:rPr>
            <m:t>,</m:t>
          </m:r>
          <m:r>
            <m:t>00</m:t>
          </m:r>
          <m:r>
            <m:rPr>
              <m:sty m:val="p"/>
            </m:rPr>
            <m:t>.</m:t>
          </m:r>
        </m:oMath>
      </m:oMathPara>
    </w:p>
    <w:p>
      <w:pPr>
        <w:pStyle w:val="FirstParagraph"/>
      </w:pPr>
      <w:r>
        <w:t xml:space="preserve">Les autres distances peuvent être calculées de la même manière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Distance</w:t>
            </w:r>
            <w:r>
              <w:t xml:space="preserve"> </w:t>
            </w:r>
            <m:oMath>
              <m:r>
                <m:t>h</m:t>
              </m:r>
            </m:oMath>
          </w:p>
        </w:tc>
        <w:tc>
          <w:tcPr/>
          <w:p>
            <w:pPr>
              <w:pStyle w:val="Compact"/>
              <w:jc w:val="right"/>
            </w:pPr>
            <w:r>
              <w:t xml:space="preserve">Nombre de paires</w:t>
            </w:r>
          </w:p>
        </w:tc>
        <w:tc>
          <w:tcPr/>
          <w:p>
            <w:pPr>
              <w:pStyle w:val="Compact"/>
              <w:jc w:val="right"/>
            </w:pPr>
            <m:oMath>
              <m:acc>
                <m:accPr>
                  <m:chr m:val="̂"/>
                </m:accPr>
                <m:e>
                  <m:r>
                    <m:t>γ</m:t>
                  </m:r>
                </m:e>
              </m:acc>
              <m:d>
                <m:dPr>
                  <m:begChr m:val="("/>
                  <m:sepChr m:val=""/>
                  <m:endChr m:val=")"/>
                  <m:grow/>
                </m:dPr>
                <m:e>
                  <m:r>
                    <m:t>h</m:t>
                  </m:r>
                </m:e>
              </m:d>
            </m:oMath>
          </w:p>
        </w:tc>
      </w:tr>
      <w:tr>
        <w:tc>
          <w:tcPr/>
          <w:p>
            <w:pPr>
              <w:pStyle w:val="Compact"/>
              <w:jc w:val="left"/>
            </w:pPr>
            <w:r>
              <w:t xml:space="preserve">1 m</w:t>
            </w:r>
          </w:p>
        </w:tc>
        <w:tc>
          <w:tcPr/>
          <w:p>
            <w:pPr>
              <w:pStyle w:val="Compact"/>
              <w:jc w:val="right"/>
            </w:pPr>
            <w:r>
              <w:t xml:space="preserve">5</w:t>
            </w:r>
          </w:p>
        </w:tc>
        <w:tc>
          <w:tcPr/>
          <w:p>
            <w:pPr>
              <w:pStyle w:val="Compact"/>
              <w:jc w:val="right"/>
            </w:pPr>
            <w:r>
              <w:t xml:space="preserve">0,20</w:t>
            </w:r>
          </w:p>
        </w:tc>
      </w:tr>
      <w:tr>
        <w:tc>
          <w:tcPr/>
          <w:p>
            <w:pPr>
              <w:pStyle w:val="Compact"/>
              <w:jc w:val="left"/>
            </w:pPr>
            <w:r>
              <w:t xml:space="preserve">2 m</w:t>
            </w:r>
          </w:p>
        </w:tc>
        <w:tc>
          <w:tcPr/>
          <w:p>
            <w:pPr>
              <w:pStyle w:val="Compact"/>
              <w:jc w:val="right"/>
            </w:pPr>
            <w:r>
              <w:t xml:space="preserve">4</w:t>
            </w:r>
          </w:p>
        </w:tc>
        <w:tc>
          <w:tcPr/>
          <w:p>
            <w:pPr>
              <w:pStyle w:val="Compact"/>
              <w:jc w:val="right"/>
            </w:pPr>
            <w:r>
              <w:t xml:space="preserve">0,50</w:t>
            </w:r>
          </w:p>
        </w:tc>
      </w:tr>
      <w:tr>
        <w:tc>
          <w:tcPr/>
          <w:p>
            <w:pPr>
              <w:pStyle w:val="Compact"/>
              <w:jc w:val="left"/>
            </w:pPr>
            <w:r>
              <w:t xml:space="preserve">3 m</w:t>
            </w:r>
          </w:p>
        </w:tc>
        <w:tc>
          <w:tcPr/>
          <w:p>
            <w:pPr>
              <w:pStyle w:val="Compact"/>
              <w:jc w:val="right"/>
            </w:pPr>
            <w:r>
              <w:t xml:space="preserve">3</w:t>
            </w:r>
          </w:p>
        </w:tc>
        <w:tc>
          <w:tcPr/>
          <w:p>
            <w:pPr>
              <w:pStyle w:val="Compact"/>
              <w:jc w:val="right"/>
            </w:pPr>
            <w:r>
              <w:t xml:space="preserve">1,00</w:t>
            </w:r>
          </w:p>
        </w:tc>
      </w:tr>
      <w:tr>
        <w:tc>
          <w:tcPr/>
          <w:p>
            <w:pPr>
              <w:pStyle w:val="Compact"/>
              <w:jc w:val="left"/>
            </w:pPr>
            <w:r>
              <w:t xml:space="preserve">4 m</w:t>
            </w:r>
          </w:p>
        </w:tc>
        <w:tc>
          <w:tcPr/>
          <w:p>
            <w:pPr>
              <w:pStyle w:val="Compact"/>
              <w:jc w:val="right"/>
            </w:pPr>
            <w:r>
              <w:t xml:space="preserve">2</w:t>
            </w:r>
          </w:p>
        </w:tc>
        <w:tc>
          <w:tcPr/>
          <w:p>
            <w:pPr>
              <w:pStyle w:val="Compact"/>
              <w:jc w:val="right"/>
            </w:pPr>
            <w:r>
              <w:t xml:space="preserve">2,00</w:t>
            </w:r>
          </w:p>
        </w:tc>
      </w:tr>
      <w:tr>
        <w:tc>
          <w:tcPr/>
          <w:p>
            <w:pPr>
              <w:pStyle w:val="Compact"/>
              <w:jc w:val="left"/>
            </w:pPr>
            <w:r>
              <w:t xml:space="preserve">5 m</w:t>
            </w:r>
          </w:p>
        </w:tc>
        <w:tc>
          <w:tcPr/>
          <w:p>
            <w:pPr>
              <w:pStyle w:val="Compact"/>
              <w:jc w:val="right"/>
            </w:pPr>
            <w:r>
              <w:t xml:space="preserve">1</w:t>
            </w:r>
          </w:p>
        </w:tc>
        <w:tc>
          <w:tcPr/>
          <w:p>
            <w:pPr>
              <w:pStyle w:val="Compact"/>
              <w:jc w:val="right"/>
            </w:pPr>
            <w:r>
              <w:t xml:space="preserve">2,00</w:t>
            </w:r>
          </w:p>
        </w:tc>
      </w:tr>
    </w:tbl>
    <w:p>
      <w:pPr>
        <w:pStyle w:val="BodyText"/>
      </w:pPr>
      <w:r>
        <w:t xml:space="preserve">Le variogramme est faible à courte distance, car les valeurs voisines sont souvent identiques ou peu différentes. Il augmente ensuite avec la distance, puisque les paires comparent progressivement les faibles valeurs du début de la série aux valeurs plus élevées de sa fin.</w:t>
      </w:r>
    </w:p>
    <w:p>
      <w:pPr>
        <w:pStyle w:val="BodyText"/>
      </w:pPr>
      <w:r>
        <w:t xml:space="preserve">Cet exemple montre que le variogramme traduit la perte progressive de similarité entre les observations lorsque leur distance augmente. Il montre aussi que le nombre de paires diminue avec la distance, ce qui rend généralement les dernières valeurs du variogramme expérimental moins robustes.</w:t>
      </w:r>
    </w:p>
    <w:bookmarkEnd w:id="71"/>
    <w:bookmarkStart w:id="76" w:name="exemple-2d-effet-de-lorientation"/>
    <w:p>
      <w:pPr>
        <w:pStyle w:val="Heading4"/>
      </w:pPr>
      <w:r>
        <w:t xml:space="preserve">Exemple 2D : effet de l’orientation</w:t>
      </w:r>
    </w:p>
    <w:p>
      <w:pPr>
        <w:pStyle w:val="FirstParagraph"/>
      </w:pPr>
      <w:r>
        <w:t xml:space="preserve">Considérons maintenant la grille suivante, dont l’espacement est de 1 m dans les directions horizontale et verticale :</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3</m:t>
                    </m:r>
                  </m:e>
                  <m:e>
                    <m:r>
                      <m:t>3</m:t>
                    </m:r>
                  </m:e>
                  <m:e>
                    <m:r>
                      <m:t>3</m:t>
                    </m:r>
                  </m:e>
                </m:mr>
                <m:mr>
                  <m:e>
                    <m:r>
                      <m:t>5</m:t>
                    </m:r>
                  </m:e>
                  <m:e>
                    <m:r>
                      <m:t>5</m:t>
                    </m:r>
                  </m:e>
                  <m:e>
                    <m:r>
                      <m:t>5</m:t>
                    </m:r>
                  </m:e>
                </m:mr>
              </m:m>
            </m:e>
          </m:d>
          <m:r>
            <m:rPr>
              <m:sty m:val="p"/>
            </m:rPr>
            <m:t>.</m:t>
          </m:r>
        </m:oMath>
      </m:oMathPara>
    </w:p>
    <w:p>
      <w:pPr>
        <w:pStyle w:val="FirstParagraph"/>
      </w:pPr>
      <w:r>
        <w:t xml:space="preserve">Les valeurs sont constantes le long des lignes, mais augmentent verticalement. La continuité est donc plus forte horizontalement que verticalement.</w:t>
      </w:r>
    </w:p>
    <w:bookmarkStart w:id="72" w:name="direction-horizontale"/>
    <w:p>
      <w:pPr>
        <w:pStyle w:val="Heading5"/>
      </w:pPr>
      <w:r>
        <w:t xml:space="preserve">Direction horizontale</w:t>
      </w:r>
    </w:p>
    <w:p>
      <w:pPr>
        <w:pStyle w:val="FirstParagraph"/>
      </w:pPr>
      <w:r>
        <w:t xml:space="preserve">Pour une distance horizontale de 1 m, les six paires sont :</w:t>
      </w:r>
    </w:p>
    <w:p>
      <w:pPr>
        <w:pStyle w:val="BodyText"/>
      </w:pPr>
      <m:oMathPara>
        <m:oMathParaPr>
          <m:jc m:val="center"/>
        </m:oMathParaPr>
        <m:oMath>
          <m:d>
            <m:dPr>
              <m:begChr m:val="("/>
              <m:sepChr m:val=""/>
              <m:endChr m:val=")"/>
              <m:grow/>
            </m:dPr>
            <m:e>
              <m:r>
                <m:t>1</m:t>
              </m:r>
              <m:r>
                <m:rPr>
                  <m:sty m:val="p"/>
                </m:rPr>
                <m:t>,</m:t>
              </m:r>
              <m:r>
                <m:t>1</m:t>
              </m:r>
            </m:e>
          </m:d>
          <m:r>
            <m:rPr>
              <m:sty m:val="p"/>
            </m:rPr>
            <m:t>,</m:t>
          </m:r>
          <m:r>
            <m:t> </m:t>
          </m:r>
          <m:d>
            <m:dPr>
              <m:begChr m:val="("/>
              <m:sepChr m:val=""/>
              <m:endChr m:val=")"/>
              <m:grow/>
            </m:dPr>
            <m:e>
              <m:r>
                <m:t>1</m:t>
              </m:r>
              <m:r>
                <m:rPr>
                  <m:sty m:val="p"/>
                </m:rPr>
                <m:t>,</m:t>
              </m:r>
              <m:r>
                <m:t>1</m:t>
              </m:r>
            </m:e>
          </m:d>
          <m:r>
            <m:rPr>
              <m:sty m:val="p"/>
            </m:rPr>
            <m:t>,</m:t>
          </m:r>
          <m:r>
            <m:t> </m:t>
          </m:r>
          <m:d>
            <m:dPr>
              <m:begChr m:val="("/>
              <m:sepChr m:val=""/>
              <m:endChr m:val=")"/>
              <m:grow/>
            </m:dPr>
            <m:e>
              <m:r>
                <m:t>3</m:t>
              </m:r>
              <m:r>
                <m:rPr>
                  <m:sty m:val="p"/>
                </m:rPr>
                <m:t>,</m:t>
              </m:r>
              <m:r>
                <m:t>3</m:t>
              </m:r>
            </m:e>
          </m:d>
          <m:r>
            <m:rPr>
              <m:sty m:val="p"/>
            </m:rPr>
            <m:t>,</m:t>
          </m:r>
          <m:r>
            <m:t> </m:t>
          </m:r>
          <m:d>
            <m:dPr>
              <m:begChr m:val="("/>
              <m:sepChr m:val=""/>
              <m:endChr m:val=")"/>
              <m:grow/>
            </m:dPr>
            <m:e>
              <m:r>
                <m:t>3</m:t>
              </m:r>
              <m:r>
                <m:rPr>
                  <m:sty m:val="p"/>
                </m:rPr>
                <m:t>,</m:t>
              </m:r>
              <m:r>
                <m:t>3</m:t>
              </m:r>
            </m:e>
          </m:d>
          <m:r>
            <m:rPr>
              <m:sty m:val="p"/>
            </m:rPr>
            <m:t>,</m:t>
          </m:r>
          <m:r>
            <m:t> </m:t>
          </m:r>
          <m:d>
            <m:dPr>
              <m:begChr m:val="("/>
              <m:sepChr m:val=""/>
              <m:endChr m:val=")"/>
              <m:grow/>
            </m:dPr>
            <m:e>
              <m:r>
                <m:t>5</m:t>
              </m:r>
              <m:r>
                <m:rPr>
                  <m:sty m:val="p"/>
                </m:rPr>
                <m:t>,</m:t>
              </m:r>
              <m:r>
                <m:t>5</m:t>
              </m:r>
            </m:e>
          </m:d>
          <m:r>
            <m:rPr>
              <m:sty m:val="p"/>
            </m:rPr>
            <m:t>,</m:t>
          </m:r>
          <m:r>
            <m:t> </m:t>
          </m:r>
          <m:d>
            <m:dPr>
              <m:begChr m:val="("/>
              <m:sepChr m:val=""/>
              <m:endChr m:val=")"/>
              <m:grow/>
            </m:dPr>
            <m:e>
              <m:r>
                <m:t>5</m:t>
              </m:r>
              <m:r>
                <m:rPr>
                  <m:sty m:val="p"/>
                </m:rPr>
                <m:t>,</m:t>
              </m:r>
              <m:r>
                <m:t>5</m:t>
              </m:r>
            </m:e>
          </m:d>
          <m:r>
            <m:rPr>
              <m:sty m:val="p"/>
            </m:rPr>
            <m:t>.</m:t>
          </m:r>
        </m:oMath>
      </m:oMathPara>
    </w:p>
    <w:p>
      <w:pPr>
        <w:pStyle w:val="FirstParagraph"/>
      </w:pPr>
      <w:r>
        <w:t xml:space="preserve">Toutes les différences sont nulles :</w:t>
      </w:r>
    </w:p>
    <w:p>
      <w:pPr>
        <w:pStyle w:val="BodyText"/>
      </w:pPr>
      <m:oMathPara>
        <m:oMathParaPr>
          <m:jc m:val="center"/>
        </m:oMathParaPr>
        <m:oMath>
          <m:sSub>
            <m:e>
              <m:acc>
                <m:accPr>
                  <m:chr m:val="̂"/>
                </m:accPr>
                <m:e>
                  <m:r>
                    <m:t>γ</m:t>
                  </m:r>
                </m:e>
              </m:acc>
            </m:e>
            <m:sub>
              <m:r>
                <m:rPr>
                  <m:sty m:val="p"/>
                </m:rPr>
                <m:t>H</m:t>
              </m:r>
            </m:sub>
          </m:sSub>
          <m:d>
            <m:dPr>
              <m:begChr m:val="("/>
              <m:sepChr m:val=""/>
              <m:endChr m:val=")"/>
              <m:grow/>
            </m:dPr>
            <m:e>
              <m:r>
                <m:t>1</m:t>
              </m:r>
            </m:e>
          </m:d>
          <m:r>
            <m:rPr>
              <m:sty m:val="p"/>
            </m:rPr>
            <m:t>=</m:t>
          </m:r>
          <m:f>
            <m:fPr>
              <m:type m:val="bar"/>
            </m:fPr>
            <m:num>
              <m:r>
                <m:t>1</m:t>
              </m:r>
            </m:num>
            <m:den>
              <m:r>
                <m:t>2</m:t>
              </m:r>
              <m:r>
                <m:rPr>
                  <m:sty m:val="p"/>
                </m:rPr>
                <m:t>×</m:t>
              </m:r>
              <m:r>
                <m:t>6</m:t>
              </m:r>
            </m:den>
          </m:f>
          <m:nary>
            <m:naryPr>
              <m:chr m:val="∑"/>
              <m:limLoc m:val="undOvr"/>
              <m:subHide m:val="off"/>
              <m:supHide m:val="off"/>
            </m:naryPr>
            <m:sub>
              <m:r>
                <m:t>i</m:t>
              </m:r>
              <m:r>
                <m:rPr>
                  <m:sty m:val="p"/>
                </m:rPr>
                <m:t>=</m:t>
              </m:r>
              <m:r>
                <m:t>1</m:t>
              </m:r>
            </m:sub>
            <m:sup>
              <m:r>
                <m:t>6</m:t>
              </m:r>
            </m:sup>
            <m:e>
              <m:sSup>
                <m:e>
                  <m:d>
                    <m:dPr>
                      <m:begChr m:val="("/>
                      <m:sepChr m:val=""/>
                      <m:endChr m:val=")"/>
                      <m:grow/>
                    </m:dPr>
                    <m:e>
                      <m:r>
                        <m:t>0</m:t>
                      </m:r>
                    </m:e>
                  </m:d>
                </m:e>
                <m:sup>
                  <m:r>
                    <m:t>2</m:t>
                  </m:r>
                </m:sup>
              </m:sSup>
            </m:e>
          </m:nary>
          <m:r>
            <m:rPr>
              <m:sty m:val="p"/>
            </m:rPr>
            <m:t>=</m:t>
          </m:r>
          <m:r>
            <m:t>0</m:t>
          </m:r>
          <m:r>
            <m:rPr>
              <m:sty m:val="p"/>
            </m:rPr>
            <m:t>.</m:t>
          </m:r>
        </m:oMath>
      </m:oMathPara>
    </w:p>
    <w:p>
      <w:pPr>
        <w:pStyle w:val="FirstParagraph"/>
      </w:pPr>
      <w:r>
        <w:t xml:space="preserve">Le variogramme horizontal est donc nul à cette distance, ce qui traduit une continuité parfaite dans cette direction dans cet exemple.</w:t>
      </w:r>
    </w:p>
    <w:bookmarkEnd w:id="72"/>
    <w:bookmarkStart w:id="75" w:name="direction-verticale"/>
    <w:p>
      <w:pPr>
        <w:pStyle w:val="Heading5"/>
      </w:pPr>
      <w:r>
        <w:t xml:space="preserve">Direction verticale</w:t>
      </w:r>
    </w:p>
    <w:p>
      <w:pPr>
        <w:pStyle w:val="FirstParagraph"/>
      </w:pPr>
      <w:r>
        <w:t xml:space="preserve">Pour une distance verticale de 1 m, les six paires sont :</w:t>
      </w:r>
    </w:p>
    <w:p>
      <w:pPr>
        <w:pStyle w:val="BodyText"/>
      </w:pPr>
      <m:oMathPara>
        <m:oMathParaPr>
          <m:jc m:val="center"/>
        </m:oMathParaPr>
        <m:oMath>
          <m:d>
            <m:dPr>
              <m:begChr m:val="("/>
              <m:sepChr m:val=""/>
              <m:endChr m:val=")"/>
              <m:grow/>
            </m:dPr>
            <m:e>
              <m:r>
                <m:t>1</m:t>
              </m:r>
              <m:r>
                <m:rPr>
                  <m:sty m:val="p"/>
                </m:rPr>
                <m:t>,</m:t>
              </m:r>
              <m:r>
                <m:t>3</m:t>
              </m:r>
            </m:e>
          </m:d>
          <m:r>
            <m:rPr>
              <m:sty m:val="p"/>
            </m:rPr>
            <m:t>,</m:t>
          </m:r>
          <m:r>
            <m:t> </m:t>
          </m:r>
          <m:d>
            <m:dPr>
              <m:begChr m:val="("/>
              <m:sepChr m:val=""/>
              <m:endChr m:val=")"/>
              <m:grow/>
            </m:dPr>
            <m:e>
              <m:r>
                <m:t>1</m:t>
              </m:r>
              <m:r>
                <m:rPr>
                  <m:sty m:val="p"/>
                </m:rPr>
                <m:t>,</m:t>
              </m:r>
              <m:r>
                <m:t>3</m:t>
              </m:r>
            </m:e>
          </m:d>
          <m:r>
            <m:rPr>
              <m:sty m:val="p"/>
            </m:rPr>
            <m:t>,</m:t>
          </m:r>
          <m:r>
            <m:t> </m:t>
          </m:r>
          <m:d>
            <m:dPr>
              <m:begChr m:val="("/>
              <m:sepChr m:val=""/>
              <m:endChr m:val=")"/>
              <m:grow/>
            </m:dPr>
            <m:e>
              <m:r>
                <m:t>1</m:t>
              </m:r>
              <m:r>
                <m:rPr>
                  <m:sty m:val="p"/>
                </m:rPr>
                <m:t>,</m:t>
              </m:r>
              <m:r>
                <m:t>3</m:t>
              </m:r>
            </m:e>
          </m:d>
          <m:r>
            <m:rPr>
              <m:sty m:val="p"/>
            </m:rPr>
            <m:t>,</m:t>
          </m:r>
          <m:r>
            <m:t> </m:t>
          </m:r>
          <m:d>
            <m:dPr>
              <m:begChr m:val="("/>
              <m:sepChr m:val=""/>
              <m:endChr m:val=")"/>
              <m:grow/>
            </m:dPr>
            <m:e>
              <m:r>
                <m:t>3</m:t>
              </m:r>
              <m:r>
                <m:rPr>
                  <m:sty m:val="p"/>
                </m:rPr>
                <m:t>,</m:t>
              </m:r>
              <m:r>
                <m:t>5</m:t>
              </m:r>
            </m:e>
          </m:d>
          <m:r>
            <m:rPr>
              <m:sty m:val="p"/>
            </m:rPr>
            <m:t>,</m:t>
          </m:r>
          <m:r>
            <m:t> </m:t>
          </m:r>
          <m:d>
            <m:dPr>
              <m:begChr m:val="("/>
              <m:sepChr m:val=""/>
              <m:endChr m:val=")"/>
              <m:grow/>
            </m:dPr>
            <m:e>
              <m:r>
                <m:t>3</m:t>
              </m:r>
              <m:r>
                <m:rPr>
                  <m:sty m:val="p"/>
                </m:rPr>
                <m:t>,</m:t>
              </m:r>
              <m:r>
                <m:t>5</m:t>
              </m:r>
            </m:e>
          </m:d>
          <m:r>
            <m:rPr>
              <m:sty m:val="p"/>
            </m:rPr>
            <m:t>,</m:t>
          </m:r>
          <m:r>
            <m:t> </m:t>
          </m:r>
          <m:d>
            <m:dPr>
              <m:begChr m:val="("/>
              <m:sepChr m:val=""/>
              <m:endChr m:val=")"/>
              <m:grow/>
            </m:dPr>
            <m:e>
              <m:r>
                <m:t>3</m:t>
              </m:r>
              <m:r>
                <m:rPr>
                  <m:sty m:val="p"/>
                </m:rPr>
                <m:t>,</m:t>
              </m:r>
              <m:r>
                <m:t>5</m:t>
              </m:r>
            </m:e>
          </m:d>
          <m:r>
            <m:rPr>
              <m:sty m:val="p"/>
            </m:rPr>
            <m:t>.</m:t>
          </m:r>
        </m:oMath>
      </m:oMathPara>
    </w:p>
    <w:p>
      <w:pPr>
        <w:pStyle w:val="FirstParagraph"/>
      </w:pPr>
      <w:r>
        <w:t xml:space="preserve">Chaque différence vaut 2. Le variogramme vertical est donc :</w:t>
      </w:r>
    </w:p>
    <w:p>
      <w:pPr>
        <w:pStyle w:val="BodyText"/>
      </w:pPr>
      <m:oMathPara>
        <m:oMathParaPr>
          <m:jc m:val="center"/>
        </m:oMathParaPr>
        <m:oMath>
          <m:sSub>
            <m:e>
              <m:acc>
                <m:accPr>
                  <m:chr m:val="̂"/>
                </m:accPr>
                <m:e>
                  <m:r>
                    <m:t>γ</m:t>
                  </m:r>
                </m:e>
              </m:acc>
            </m:e>
            <m:sub>
              <m:r>
                <m:rPr>
                  <m:sty m:val="p"/>
                </m:rPr>
                <m:t>V</m:t>
              </m:r>
            </m:sub>
          </m:sSub>
          <m:d>
            <m:dPr>
              <m:begChr m:val="("/>
              <m:sepChr m:val=""/>
              <m:endChr m:val=")"/>
              <m:grow/>
            </m:dPr>
            <m:e>
              <m:r>
                <m:t>1</m:t>
              </m:r>
            </m:e>
          </m:d>
          <m:r>
            <m:rPr>
              <m:sty m:val="p"/>
            </m:rPr>
            <m:t>=</m:t>
          </m:r>
          <m:f>
            <m:fPr>
              <m:type m:val="bar"/>
            </m:fPr>
            <m:num>
              <m:r>
                <m:t>1</m:t>
              </m:r>
            </m:num>
            <m:den>
              <m:r>
                <m:t>2</m:t>
              </m:r>
              <m:r>
                <m:rPr>
                  <m:sty m:val="p"/>
                </m:rPr>
                <m:t>×</m:t>
              </m:r>
              <m:r>
                <m:t>6</m:t>
              </m:r>
            </m:den>
          </m:f>
          <m:d>
            <m:dPr>
              <m:begChr m:val="["/>
              <m:sepChr m:val=""/>
              <m:endChr m:val="]"/>
              <m:grow/>
            </m:dPr>
            <m:e>
              <m:r>
                <m:t>6</m:t>
              </m:r>
              <m:r>
                <m:rPr>
                  <m:sty m:val="p"/>
                </m:rPr>
                <m:t>×</m:t>
              </m:r>
              <m:sSup>
                <m:e>
                  <m:d>
                    <m:dPr>
                      <m:begChr m:val="("/>
                      <m:sepChr m:val=""/>
                      <m:endChr m:val=")"/>
                      <m:grow/>
                    </m:dPr>
                    <m:e>
                      <m:r>
                        <m:t>2</m:t>
                      </m:r>
                    </m:e>
                  </m:d>
                </m:e>
                <m:sup>
                  <m:r>
                    <m:t>2</m:t>
                  </m:r>
                </m:sup>
              </m:sSup>
            </m:e>
          </m:d>
          <m:r>
            <m:rPr>
              <m:sty m:val="p"/>
            </m:rPr>
            <m:t>=</m:t>
          </m:r>
          <m:r>
            <m:t>2</m:t>
          </m:r>
          <m:r>
            <m:rPr>
              <m:sty m:val="p"/>
            </m:rPr>
            <m:t>.</m:t>
          </m:r>
        </m:oMath>
      </m:oMathPara>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Direction</w:t>
            </w:r>
          </w:p>
        </w:tc>
        <w:tc>
          <w:tcPr/>
          <w:p>
            <w:pPr>
              <w:pStyle w:val="Compact"/>
              <w:jc w:val="right"/>
            </w:pPr>
            <w:r>
              <w:t xml:space="preserve">Distance</w:t>
            </w:r>
          </w:p>
        </w:tc>
        <w:tc>
          <w:tcPr/>
          <w:p>
            <w:pPr>
              <w:pStyle w:val="Compact"/>
              <w:jc w:val="right"/>
            </w:pPr>
            <w:r>
              <w:t xml:space="preserve">Nombre de paires</w:t>
            </w:r>
          </w:p>
        </w:tc>
        <w:tc>
          <w:tcPr/>
          <w:p>
            <w:pPr>
              <w:pStyle w:val="Compact"/>
              <w:jc w:val="right"/>
            </w:pPr>
            <m:oMath>
              <m:acc>
                <m:accPr>
                  <m:chr m:val="̂"/>
                </m:accPr>
                <m:e>
                  <m:r>
                    <m:t>γ</m:t>
                  </m:r>
                </m:e>
              </m:acc>
              <m:d>
                <m:dPr>
                  <m:begChr m:val="("/>
                  <m:sepChr m:val=""/>
                  <m:endChr m:val=")"/>
                  <m:grow/>
                </m:dPr>
                <m:e>
                  <m:r>
                    <m:t>h</m:t>
                  </m:r>
                </m:e>
              </m:d>
            </m:oMath>
          </w:p>
        </w:tc>
      </w:tr>
      <w:tr>
        <w:tc>
          <w:tcPr/>
          <w:p>
            <w:pPr>
              <w:pStyle w:val="Compact"/>
              <w:jc w:val="left"/>
            </w:pPr>
            <w:r>
              <w:t xml:space="preserve">Horizontale</w:t>
            </w:r>
          </w:p>
        </w:tc>
        <w:tc>
          <w:tcPr/>
          <w:p>
            <w:pPr>
              <w:pStyle w:val="Compact"/>
              <w:jc w:val="right"/>
            </w:pPr>
            <w:r>
              <w:t xml:space="preserve">1 m</w:t>
            </w:r>
          </w:p>
        </w:tc>
        <w:tc>
          <w:tcPr/>
          <w:p>
            <w:pPr>
              <w:pStyle w:val="Compact"/>
              <w:jc w:val="right"/>
            </w:pPr>
            <w:r>
              <w:t xml:space="preserve">6</w:t>
            </w:r>
          </w:p>
        </w:tc>
        <w:tc>
          <w:tcPr/>
          <w:p>
            <w:pPr>
              <w:pStyle w:val="Compact"/>
              <w:jc w:val="right"/>
            </w:pPr>
            <w:r>
              <w:t xml:space="preserve">0,00</w:t>
            </w:r>
          </w:p>
        </w:tc>
      </w:tr>
      <w:tr>
        <w:tc>
          <w:tcPr/>
          <w:p>
            <w:pPr>
              <w:pStyle w:val="Compact"/>
              <w:jc w:val="left"/>
            </w:pPr>
            <w:r>
              <w:t xml:space="preserve">Verticale</w:t>
            </w:r>
          </w:p>
        </w:tc>
        <w:tc>
          <w:tcPr/>
          <w:p>
            <w:pPr>
              <w:pStyle w:val="Compact"/>
              <w:jc w:val="right"/>
            </w:pPr>
            <w:r>
              <w:t xml:space="preserve">1 m</w:t>
            </w:r>
          </w:p>
        </w:tc>
        <w:tc>
          <w:tcPr/>
          <w:p>
            <w:pPr>
              <w:pStyle w:val="Compact"/>
              <w:jc w:val="right"/>
            </w:pPr>
            <w:r>
              <w:t xml:space="preserve">6</w:t>
            </w:r>
          </w:p>
        </w:tc>
        <w:tc>
          <w:tcPr/>
          <w:p>
            <w:pPr>
              <w:pStyle w:val="Compact"/>
              <w:jc w:val="right"/>
            </w:pPr>
            <w:r>
              <w:t xml:space="preserve">2,00</w:t>
            </w:r>
          </w:p>
        </w:tc>
      </w:tr>
    </w:tbl>
    <w:p>
      <w:pPr>
        <w:pStyle w:val="BodyText"/>
      </w:pPr>
      <w:r>
        <w:t xml:space="preserve">Pour une même distance de 1 m, le variogramme est nul horizontalement et égal à 2 verticalement. La variable est donc beaucoup plus continue dans la direction horizontale.</w:t>
      </w:r>
    </w:p>
    <w:p>
      <w:pPr>
        <w:pStyle w:val="BodyText"/>
      </w:pPr>
      <w:r>
        <w:t xml:space="preserve">Cet exemple illustre l’anisotropie : la continuité spatiale dépend de la direction. Un variogramme directionnel permet de détecter cette différence et de la représenter dans le modèle spatial.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C:\Users\danyl\AppData\Local\Programs\Quarto\share\formats\docx\note.png" id="7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À retenir</w:t>
            </w:r>
          </w:p>
        </w:tc>
      </w:tr>
      <w:tr>
        <w:trPr>
          <w:cantSplit/>
        </w:trPr>
        <w:tc>
          <w:tcPr>
            <w:tcMar>
              <w:top w:w="108" w:type="dxa"/>
              <w:bottom w:w="108" w:type="dxa"/>
            </w:tcMar>
          </w:tcPr>
          <w:p>
            <w:pPr>
              <w:pStyle w:val="BodyText"/>
            </w:pPr>
            <w:pPr>
              <w:spacing w:before="16" w:after="16"/>
            </w:pPr>
            <w:r>
              <w:t xml:space="preserve">Le variogramme augmente lorsque les valeurs séparées par une distance donnée deviennent plus différentes. Si cette augmentation varie selon la direction, le phénomène présente une anisotropie.</w:t>
            </w:r>
          </w:p>
          <w:p/>
        </w:tc>
      </w:tr>
    </w:tbl>
    <w:bookmarkEnd w:id="75"/>
    <w:bookmarkEnd w:id="76"/>
    <w:bookmarkEnd w:id="77"/>
    <w:bookmarkEnd w:id="78"/>
    <w:bookmarkStart w:id="91" w:name="propriétés-mathématiques-du-variogramme"/>
    <w:p>
      <w:pPr>
        <w:pStyle w:val="Heading2"/>
      </w:pPr>
      <w:r>
        <w:t xml:space="preserve">3 Propriétés mathématiques du variogramme</w:t>
      </w:r>
    </w:p>
    <w:p>
      <w:pPr>
        <w:pStyle w:val="FirstParagraph"/>
      </w:pPr>
      <w:r>
        <w:t xml:space="preserve">Le variogramme possède plusieurs propriétés qui découlent de sa définition. Certaines constituent des conditions mathématiques que tout modèle de variogramme doit respecter, tandis que d’autres correspondent à des comportements fréquemment observés dans les phénomènes spatiaux.</w:t>
      </w:r>
    </w:p>
    <w:bookmarkStart w:id="79" w:name="non-négativité"/>
    <w:p>
      <w:pPr>
        <w:pStyle w:val="Heading3"/>
      </w:pPr>
      <w:r>
        <w:t xml:space="preserve">1. Non-négativité</w:t>
      </w:r>
    </w:p>
    <w:p>
      <w:pPr>
        <w:pStyle w:val="FirstParagraph"/>
      </w:pPr>
      <w:r>
        <w:t xml:space="preserve">Le variogramme est toujours positif ou nul :</w:t>
      </w:r>
    </w:p>
    <w:p>
      <w:pPr>
        <w:pStyle w:val="BodyText"/>
      </w:pPr>
      <m:oMathPara>
        <m:oMathParaPr>
          <m:jc m:val="center"/>
        </m:oMathParaPr>
        <m:oMath>
          <m:r>
            <m:t>γ</m:t>
          </m:r>
          <m:d>
            <m:dPr>
              <m:begChr m:val="("/>
              <m:sepChr m:val=""/>
              <m:endChr m:val=")"/>
              <m:grow/>
            </m:dPr>
            <m:e>
              <m:r>
                <m:rPr>
                  <m:sty m:val="b"/>
                </m:rPr>
                <m:t>h</m:t>
              </m:r>
            </m:e>
          </m:d>
          <m:r>
            <m:rPr>
              <m:sty m:val="p"/>
            </m:rPr>
            <m:t>≥</m:t>
          </m:r>
          <m:r>
            <m:t>0</m:t>
          </m:r>
          <m:r>
            <m:rPr>
              <m:sty m:val="p"/>
            </m:rPr>
            <m:t>.</m:t>
          </m:r>
        </m:oMath>
      </m:oMathPara>
    </w:p>
    <w:p>
      <w:pPr>
        <w:pStyle w:val="FirstParagraph"/>
      </w:pPr>
      <w:r>
        <w:t xml:space="preserve">Cette propriété découle directement de sa définition :</w:t>
      </w:r>
    </w:p>
    <w:p>
      <w:pPr>
        <w:pStyle w:val="BodyText"/>
      </w:pPr>
      <m:oMathPara>
        <m:oMathParaPr>
          <m:jc m:val="center"/>
        </m:oMathParaPr>
        <m:oMath>
          <m:r>
            <m:t>γ</m:t>
          </m:r>
          <m:d>
            <m:dPr>
              <m:begChr m:val="("/>
              <m:sepChr m:val=""/>
              <m:endChr m:val=")"/>
              <m:grow/>
            </m:dPr>
            <m:e>
              <m:r>
                <m:rPr>
                  <m:sty m:val="b"/>
                </m:rPr>
                <m:t>h</m:t>
              </m:r>
            </m:e>
          </m:d>
          <m:r>
            <m:rPr>
              <m:sty m:val="p"/>
            </m:rPr>
            <m:t>=</m:t>
          </m:r>
          <m:f>
            <m:fPr>
              <m:type m:val="bar"/>
            </m:fPr>
            <m:num>
              <m:r>
                <m:t>1</m:t>
              </m:r>
            </m:num>
            <m:den>
              <m:r>
                <m:t>2</m:t>
              </m:r>
            </m:den>
          </m:f>
          <m:r>
            <m:rPr>
              <m:sty m:val="p"/>
              <m:scr m:val="double-struck"/>
            </m:rPr>
            <m:t>E</m:t>
          </m:r>
          <m:d>
            <m:dPr>
              <m:begChr m:val="["/>
              <m:sepChr m:val=""/>
              <m:endChr m:val="]"/>
              <m:grow/>
            </m:dPr>
            <m:e>
              <m:sSup>
                <m:e>
                  <m:d>
                    <m:dPr>
                      <m:begChr m:val="("/>
                      <m:sepChr m:val=""/>
                      <m:endChr m:val=")"/>
                      <m:grow/>
                    </m:dPr>
                    <m:e>
                      <m:r>
                        <m:t>Z</m:t>
                      </m:r>
                      <m:d>
                        <m:dPr>
                          <m:begChr m:val="("/>
                          <m:sepChr m:val=""/>
                          <m:endChr m:val=")"/>
                          <m:grow/>
                        </m:dPr>
                        <m:e>
                          <m:r>
                            <m:rPr>
                              <m:sty m:val="b"/>
                            </m:rPr>
                            <m:t>x</m:t>
                          </m:r>
                          <m:r>
                            <m:rPr>
                              <m:sty m:val="p"/>
                            </m:rPr>
                            <m:t>+</m:t>
                          </m:r>
                          <m:r>
                            <m:rPr>
                              <m:sty m:val="b"/>
                            </m:rPr>
                            <m:t>h</m:t>
                          </m:r>
                        </m:e>
                      </m:d>
                      <m:r>
                        <m:rPr>
                          <m:sty m:val="p"/>
                        </m:rPr>
                        <m:t>−</m:t>
                      </m:r>
                      <m:r>
                        <m:t>Z</m:t>
                      </m:r>
                      <m:d>
                        <m:dPr>
                          <m:begChr m:val="("/>
                          <m:sepChr m:val=""/>
                          <m:endChr m:val=")"/>
                          <m:grow/>
                        </m:dPr>
                        <m:e>
                          <m:r>
                            <m:rPr>
                              <m:sty m:val="b"/>
                            </m:rPr>
                            <m:t>x</m:t>
                          </m:r>
                        </m:e>
                      </m:d>
                    </m:e>
                  </m:d>
                </m:e>
                <m:sup>
                  <m:r>
                    <m:t>2</m:t>
                  </m:r>
                </m:sup>
              </m:sSup>
            </m:e>
          </m:d>
          <m:r>
            <m:rPr>
              <m:sty m:val="p"/>
            </m:rPr>
            <m:t>.</m:t>
          </m:r>
        </m:oMath>
      </m:oMathPara>
    </w:p>
    <w:p>
      <w:pPr>
        <w:pStyle w:val="FirstParagraph"/>
      </w:pPr>
      <w:r>
        <w:t xml:space="preserve">Comme le carré d’une différence est toujours positif ou nul, son espérance l’est également.</w:t>
      </w:r>
    </w:p>
    <w:bookmarkEnd w:id="79"/>
    <w:bookmarkStart w:id="82" w:name="valeur-à-lorigine-et-effet-de-pépite"/>
    <w:p>
      <w:pPr>
        <w:pStyle w:val="Heading3"/>
      </w:pPr>
      <w:r>
        <w:t xml:space="preserve">2. Valeur à l’origine et effet de pépite</w:t>
      </w:r>
    </w:p>
    <w:p>
      <w:pPr>
        <w:pStyle w:val="FirstParagraph"/>
      </w:pPr>
      <w:r>
        <w:t xml:space="preserve">Par définition, le variogramme est toujours nul exactement à l’origine :</w:t>
      </w:r>
    </w:p>
    <w:p>
      <w:pPr>
        <w:pStyle w:val="BodyText"/>
      </w:pPr>
      <m:oMathPara>
        <m:oMathParaPr>
          <m:jc m:val="center"/>
        </m:oMathParaPr>
        <m:oMath>
          <m:r>
            <m:t>γ</m:t>
          </m:r>
          <m:d>
            <m:dPr>
              <m:begChr m:val="("/>
              <m:sepChr m:val=""/>
              <m:endChr m:val=")"/>
              <m:grow/>
            </m:dPr>
            <m:e>
              <m:r>
                <m:rPr>
                  <m:sty m:val="b"/>
                </m:rPr>
                <m:t>0</m:t>
              </m:r>
            </m:e>
          </m:d>
          <m:r>
            <m:rPr>
              <m:sty m:val="p"/>
            </m:rPr>
            <m:t>=</m:t>
          </m:r>
          <m:r>
            <m:t>0</m:t>
          </m:r>
          <m:r>
            <m:rPr>
              <m:sty m:val="p"/>
            </m:rPr>
            <m:t>,</m:t>
          </m:r>
        </m:oMath>
      </m:oMathPara>
    </w:p>
    <w:p>
      <w:pPr>
        <w:pStyle w:val="FirstParagraph"/>
      </w:pPr>
      <w:r>
        <w:t xml:space="preserve">puisqu’une valeur comparée à elle-même ne présente aucune différence :</w:t>
      </w:r>
    </w:p>
    <w:p>
      <w:pPr>
        <w:pStyle w:val="BodyText"/>
      </w:pPr>
      <m:oMathPara>
        <m:oMathParaPr>
          <m:jc m:val="center"/>
        </m:oMathParaPr>
        <m:oMath>
          <m:r>
            <m:t>Z</m:t>
          </m:r>
          <m:d>
            <m:dPr>
              <m:begChr m:val="("/>
              <m:sepChr m:val=""/>
              <m:endChr m:val=")"/>
              <m:grow/>
            </m:dPr>
            <m:e>
              <m:r>
                <m:rPr>
                  <m:sty m:val="b"/>
                </m:rPr>
                <m:t>x</m:t>
              </m:r>
              <m:r>
                <m:rPr>
                  <m:sty m:val="p"/>
                </m:rPr>
                <m:t>+</m:t>
              </m:r>
              <m:r>
                <m:rPr>
                  <m:sty m:val="b"/>
                </m:rPr>
                <m:t>0</m:t>
              </m:r>
            </m:e>
          </m:d>
          <m:r>
            <m:rPr>
              <m:sty m:val="p"/>
            </m:rPr>
            <m:t>−</m:t>
          </m:r>
          <m:r>
            <m:t>Z</m:t>
          </m:r>
          <m:d>
            <m:dPr>
              <m:begChr m:val="("/>
              <m:sepChr m:val=""/>
              <m:endChr m:val=")"/>
              <m:grow/>
            </m:dPr>
            <m:e>
              <m:r>
                <m:rPr>
                  <m:sty m:val="b"/>
                </m:rPr>
                <m:t>x</m:t>
              </m:r>
            </m:e>
          </m:d>
          <m:r>
            <m:rPr>
              <m:sty m:val="p"/>
            </m:rPr>
            <m:t>=</m:t>
          </m:r>
          <m:r>
            <m:t>0</m:t>
          </m:r>
          <m:r>
            <m:rPr>
              <m:sty m:val="p"/>
            </m:rPr>
            <m:t>.</m:t>
          </m:r>
        </m:oMath>
      </m:oMathPara>
    </w:p>
    <w:p>
      <w:pPr>
        <w:pStyle w:val="FirstParagraph"/>
      </w:pPr>
      <w:r>
        <w:t xml:space="preserve">En l’absence d’effet de pépite, le variogramme tend aussi vers zéro lorsque la distance tend vers zéro :</w:t>
      </w:r>
    </w:p>
    <w:p>
      <w:pPr>
        <w:pStyle w:val="BodyText"/>
      </w:pPr>
      <m:oMathPara>
        <m:oMathParaPr>
          <m:jc m:val="center"/>
        </m:oMathParaPr>
        <m:oMath>
          <m:limLow>
            <m:e>
              <m:r>
                <m:rPr>
                  <m:sty m:val="p"/>
                </m:rPr>
                <m:t>lim</m:t>
              </m:r>
            </m:e>
            <m:lim>
              <m:r>
                <m:rPr>
                  <m:sty m:val="b"/>
                </m:rPr>
                <m:t>h</m:t>
              </m:r>
              <m:r>
                <m:rPr>
                  <m:sty m:val="p"/>
                </m:rPr>
                <m:t>→</m:t>
              </m:r>
              <m:r>
                <m:rPr>
                  <m:sty m:val="b"/>
                </m:rPr>
                <m:t>0</m:t>
              </m:r>
            </m:lim>
          </m:limLow>
          <m:r>
            <m:t>γ</m:t>
          </m:r>
          <m:d>
            <m:dPr>
              <m:begChr m:val="("/>
              <m:sepChr m:val=""/>
              <m:endChr m:val=")"/>
              <m:grow/>
            </m:dPr>
            <m:e>
              <m:r>
                <m:rPr>
                  <m:sty m:val="b"/>
                </m:rPr>
                <m:t>h</m:t>
              </m:r>
            </m:e>
          </m:d>
          <m:r>
            <m:rPr>
              <m:sty m:val="p"/>
            </m:rPr>
            <m:t>=</m:t>
          </m:r>
          <m:r>
            <m:t>0</m:t>
          </m:r>
          <m:r>
            <m:rPr>
              <m:sty m:val="p"/>
            </m:rPr>
            <m:t>.</m:t>
          </m:r>
        </m:oMath>
      </m:oMathPara>
    </w:p>
    <w:p>
      <w:pPr>
        <w:pStyle w:val="FirstParagraph"/>
      </w:pPr>
      <w:r>
        <w:t xml:space="preserve">En présence d’un effet de pépite, le variogramme demeure nul exactement à l’origine, mais il présente une discontinuité dès que la distance devient non nulle :</w:t>
      </w:r>
    </w:p>
    <w:p>
      <w:pPr>
        <w:pStyle w:val="BodyText"/>
      </w:pPr>
      <m:oMathPara>
        <m:oMathParaPr>
          <m:jc m:val="center"/>
        </m:oMathParaPr>
        <m:oMath>
          <m:r>
            <m:t>γ</m:t>
          </m:r>
          <m:d>
            <m:dPr>
              <m:begChr m:val="("/>
              <m:sepChr m:val=""/>
              <m:endChr m:val=")"/>
              <m:grow/>
            </m:dPr>
            <m:e>
              <m:r>
                <m:rPr>
                  <m:sty m:val="b"/>
                </m:rPr>
                <m:t>0</m:t>
              </m:r>
            </m:e>
          </m:d>
          <m:r>
            <m:rPr>
              <m:sty m:val="p"/>
            </m:rPr>
            <m:t>=</m:t>
          </m:r>
          <m:r>
            <m:t>0</m:t>
          </m:r>
          <m:r>
            <m:rPr>
              <m:sty m:val="p"/>
            </m:rPr>
            <m:t>,</m:t>
          </m:r>
        </m:oMath>
      </m:oMathPara>
    </w:p>
    <w:p>
      <w:pPr>
        <w:pStyle w:val="FirstParagraph"/>
      </w:pPr>
      <w:r>
        <w:t xml:space="preserve">alors que</w:t>
      </w:r>
    </w:p>
    <w:p>
      <w:pPr>
        <w:pStyle w:val="BodyText"/>
      </w:pPr>
      <m:oMathPara>
        <m:oMathParaPr>
          <m:jc m:val="center"/>
        </m:oMathParaPr>
        <m:oMath>
          <m:limLow>
            <m:e>
              <m:r>
                <m:rPr>
                  <m:sty m:val="p"/>
                </m:rPr>
                <m:t>lim</m:t>
              </m:r>
            </m:e>
            <m:lim>
              <m:m>
                <m:mPr>
                  <m:baseJc m:val="center"/>
                  <m:plcHide m:val="on"/>
                  <m:mcs>
                    <m:mc>
                      <m:mcPr>
                        <m:mcJc m:val="center"/>
                        <m:count m:val="1"/>
                      </m:mcPr>
                    </m:mc>
                  </m:mcs>
                </m:mPr>
                <m:mr>
                  <m:e>
                    <m:r>
                      <m:rPr>
                        <m:sty m:val="b"/>
                      </m:rPr>
                      <m:t>h</m:t>
                    </m:r>
                    <m:r>
                      <m:rPr>
                        <m:sty m:val="p"/>
                      </m:rPr>
                      <m:t>→</m:t>
                    </m:r>
                    <m:r>
                      <m:rPr>
                        <m:sty m:val="b"/>
                      </m:rPr>
                      <m:t>0</m:t>
                    </m:r>
                  </m:e>
                </m:mr>
                <m:mr>
                  <m:e>
                    <m:r>
                      <m:rPr>
                        <m:sty m:val="b"/>
                      </m:rPr>
                      <m:t>h</m:t>
                    </m:r>
                    <m:r>
                      <m:rPr>
                        <m:sty m:val="p"/>
                      </m:rPr>
                      <m:t>≠</m:t>
                    </m:r>
                    <m:r>
                      <m:rPr>
                        <m:sty m:val="b"/>
                      </m:rPr>
                      <m:t>0</m:t>
                    </m:r>
                  </m:e>
                </m:mr>
              </m:m>
            </m:lim>
          </m:limLow>
          <m:r>
            <m:t>γ</m:t>
          </m:r>
          <m:d>
            <m:dPr>
              <m:begChr m:val="("/>
              <m:sepChr m:val=""/>
              <m:endChr m:val=")"/>
              <m:grow/>
            </m:dPr>
            <m:e>
              <m:r>
                <m:rPr>
                  <m:sty m:val="b"/>
                </m:rPr>
                <m:t>h</m:t>
              </m:r>
            </m:e>
          </m:d>
          <m:r>
            <m:rPr>
              <m:sty m:val="p"/>
            </m:rPr>
            <m:t>=</m:t>
          </m:r>
          <m:sSub>
            <m:e>
              <m:r>
                <m:t>c</m:t>
              </m:r>
            </m:e>
            <m:sub>
              <m:r>
                <m:t>0</m:t>
              </m:r>
            </m:sub>
          </m:sSub>
          <m:r>
            <m:rPr>
              <m:sty m:val="p"/>
            </m:rPr>
            <m:t>,</m:t>
          </m:r>
        </m:oMath>
      </m:oMathPara>
    </w:p>
    <w:p>
      <w:pPr>
        <w:pStyle w:val="FirstParagraph"/>
      </w:pPr>
      <w:r>
        <w:t xml:space="preserve">où</w:t>
      </w:r>
      <w:r>
        <w:t xml:space="preserve"> </w:t>
      </w:r>
      <m:oMath>
        <m:sSub>
          <m:e>
            <m:r>
              <m:t>c</m:t>
            </m:r>
          </m:e>
          <m:sub>
            <m:r>
              <m:t>0</m:t>
            </m:r>
          </m:sub>
        </m:sSub>
      </m:oMath>
      <w:r>
        <w:t xml:space="preserve"> </w:t>
      </w:r>
      <w:r>
        <w:t xml:space="preserve">est l’effet de pépite.</w:t>
      </w:r>
    </w:p>
    <w:p>
      <w:pPr>
        <w:pStyle w:val="BodyText"/>
      </w:pPr>
      <w:r>
        <w:t xml:space="preserve">Un modèle comportant un effet de pépite peut donc être représenté sous la forme :</w:t>
      </w:r>
    </w:p>
    <w:p>
      <w:pPr>
        <w:pStyle w:val="BodyText"/>
      </w:pPr>
      <m:oMathPara>
        <m:oMathParaPr>
          <m:jc m:val="center"/>
        </m:oMathParaPr>
        <m:oMath>
          <m:r>
            <m:t>γ</m:t>
          </m:r>
          <m:d>
            <m:dPr>
              <m:begChr m:val="("/>
              <m:sepChr m:val=""/>
              <m:endChr m:val=")"/>
              <m:grow/>
            </m:dPr>
            <m:e>
              <m:r>
                <m:rPr>
                  <m:sty m:val="b"/>
                </m:rPr>
                <m:t>h</m:t>
              </m:r>
            </m:e>
          </m:d>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sty m:val="b"/>
                      </m:rPr>
                      <m:t>h</m:t>
                    </m:r>
                    <m:r>
                      <m:rPr>
                        <m:sty m:val="p"/>
                      </m:rPr>
                      <m:t>=</m:t>
                    </m:r>
                    <m:r>
                      <m:rPr>
                        <m:sty m:val="b"/>
                      </m:rPr>
                      <m:t>0</m:t>
                    </m:r>
                    <m:r>
                      <m:rPr>
                        <m:sty m:val="p"/>
                      </m:rPr>
                      <m:t>,</m:t>
                    </m:r>
                  </m:e>
                </m:mr>
                <m:mr>
                  <m:e>
                    <m:sSub>
                      <m:e>
                        <m:r>
                          <m:t>c</m:t>
                        </m:r>
                      </m:e>
                      <m:sub>
                        <m:r>
                          <m:t>0</m:t>
                        </m:r>
                      </m:sub>
                    </m:sSub>
                    <m:r>
                      <m:rPr>
                        <m:sty m:val="p"/>
                      </m:rPr>
                      <m:t>+</m:t>
                    </m:r>
                    <m:sSub>
                      <m:e>
                        <m:r>
                          <m:t>γ</m:t>
                        </m:r>
                      </m:e>
                      <m:sub>
                        <m:r>
                          <m:t>s</m:t>
                        </m:r>
                      </m:sub>
                    </m:sSub>
                    <m:d>
                      <m:dPr>
                        <m:begChr m:val="("/>
                        <m:sepChr m:val=""/>
                        <m:endChr m:val=")"/>
                        <m:grow/>
                      </m:dPr>
                      <m:e>
                        <m:r>
                          <m:rPr>
                            <m:sty m:val="b"/>
                          </m:rPr>
                          <m:t>h</m:t>
                        </m:r>
                      </m:e>
                    </m:d>
                    <m:r>
                      <m:rPr>
                        <m:sty m:val="p"/>
                      </m:rPr>
                      <m:t>,</m:t>
                    </m:r>
                  </m:e>
                  <m:e>
                    <m:r>
                      <m:rPr>
                        <m:sty m:val="b"/>
                      </m:rPr>
                      <m:t>h</m:t>
                    </m:r>
                    <m:r>
                      <m:rPr>
                        <m:sty m:val="p"/>
                      </m:rPr>
                      <m:t>≠</m:t>
                    </m:r>
                    <m:r>
                      <m:rPr>
                        <m:sty m:val="b"/>
                      </m:rPr>
                      <m:t>0</m:t>
                    </m:r>
                    <m:r>
                      <m:rPr>
                        <m:sty m:val="p"/>
                      </m:rPr>
                      <m:t>,</m:t>
                    </m:r>
                  </m:e>
                </m:mr>
              </m:m>
            </m:e>
          </m:d>
        </m:oMath>
      </m:oMathPara>
    </w:p>
    <w:p>
      <w:pPr>
        <w:pStyle w:val="FirstParagraph"/>
      </w:pPr>
      <w:r>
        <w:t xml:space="preserve">où</w:t>
      </w:r>
      <w:r>
        <w:t xml:space="preserve"> </w:t>
      </w:r>
      <m:oMath>
        <m:sSub>
          <m:e>
            <m:r>
              <m:t>γ</m:t>
            </m:r>
          </m:e>
          <m:sub>
            <m:r>
              <m:t>s</m:t>
            </m:r>
          </m:sub>
        </m:sSub>
        <m:d>
          <m:dPr>
            <m:begChr m:val="("/>
            <m:sepChr m:val=""/>
            <m:endChr m:val=")"/>
            <m:grow/>
          </m:dPr>
          <m:e>
            <m:r>
              <m:rPr>
                <m:sty m:val="b"/>
              </m:rPr>
              <m:t>h</m:t>
            </m:r>
          </m:e>
        </m:d>
      </m:oMath>
      <w:r>
        <w:t xml:space="preserve"> </w:t>
      </w:r>
      <w:r>
        <w:t xml:space="preserve">représente la composante spatialement structurée du variogramme et tend vers zéro lorsque</w:t>
      </w:r>
      <w:r>
        <w:t xml:space="preserve"> </w:t>
      </w:r>
      <m:oMath>
        <m:r>
          <m:rPr>
            <m:sty m:val="b"/>
          </m:rPr>
          <m:t>h</m:t>
        </m:r>
      </m:oMath>
      <w:r>
        <w:t xml:space="preserve"> </w:t>
      </w:r>
      <w:r>
        <w:t xml:space="preserve">tend vers</w:t>
      </w:r>
      <w:r>
        <w:t xml:space="preserve"> </w:t>
      </w:r>
      <m:oMath>
        <m:r>
          <m:rPr>
            <m:sty m:val="b"/>
          </m:rPr>
          <m:t>0</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C:\Users\danyl\AppData\Local\Programs\Quarto\share\formats\docx\note.png" id="8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À retenir — Effet de pépite</w:t>
            </w:r>
          </w:p>
        </w:tc>
      </w:tr>
      <w:tr>
        <w:trPr>
          <w:cantSplit/>
        </w:trPr>
        <w:tc>
          <w:tcPr>
            <w:tcMar>
              <w:top w:w="108" w:type="dxa"/>
              <w:bottom w:w="108" w:type="dxa"/>
            </w:tcMar>
          </w:tcPr>
          <w:p>
            <w:pPr>
              <w:pStyle w:val="BodyText"/>
            </w:pPr>
            <w:pPr>
              <w:spacing w:before="16" w:after="16"/>
            </w:pPr>
            <w:r>
              <w:t xml:space="preserve">L’effet de pépite n’est pas la valeur du variogramme exactement à l’origine. Il correspond au saut entre</w:t>
            </w:r>
            <w:r>
              <w:t xml:space="preserve"> </w:t>
            </w:r>
            <m:oMath>
              <m:r>
                <m:t>γ</m:t>
              </m:r>
              <m:d>
                <m:dPr>
                  <m:begChr m:val="("/>
                  <m:sepChr m:val=""/>
                  <m:endChr m:val=")"/>
                  <m:grow/>
                </m:dPr>
                <m:e>
                  <m:r>
                    <m:rPr>
                      <m:sty m:val="b"/>
                    </m:rPr>
                    <m:t>0</m:t>
                  </m:r>
                </m:e>
              </m:d>
              <m:r>
                <m:rPr>
                  <m:sty m:val="p"/>
                </m:rPr>
                <m:t>=</m:t>
              </m:r>
              <m:r>
                <m:t>0</m:t>
              </m:r>
            </m:oMath>
            <w:r>
              <w:t xml:space="preserve"> </w:t>
            </w:r>
            <w:r>
              <w:t xml:space="preserve">et la valeur du variogramme pour une distance non nulle aussi petite que possible.</w:t>
            </w:r>
          </w:p>
          <w:p/>
        </w:tc>
      </w:tr>
    </w:tbl>
    <w:p>
      <w:pPr>
        <w:pStyle w:val="BodyText"/>
      </w:pPr>
      <w:r>
        <w:t xml:space="preserve">Cette discontinuité traduit une variabilité qui ne peut pas être résolue à l’échelle d’observation. Elle peut provenir de deux principales sources :</w:t>
      </w:r>
    </w:p>
    <w:p>
      <w:pPr>
        <w:pStyle w:val="Compact"/>
        <w:numPr>
          <w:ilvl w:val="0"/>
          <w:numId w:val="1011"/>
        </w:numPr>
      </w:pPr>
      <w:r>
        <w:t xml:space="preserve">une variabilité géologique à une échelle plus fine que l’espacement ou le support des échantillons;</w:t>
      </w:r>
    </w:p>
    <w:p>
      <w:pPr>
        <w:pStyle w:val="Compact"/>
        <w:numPr>
          <w:ilvl w:val="0"/>
          <w:numId w:val="1011"/>
        </w:numPr>
      </w:pPr>
      <w:r>
        <w:t xml:space="preserve">des erreurs de localisation, d’échantillonnage, de préparation ou d’analyse.</w:t>
      </w:r>
    </w:p>
    <w:p>
      <w:pPr>
        <w:pStyle w:val="FirstParagraph"/>
      </w:pPr>
      <w:r>
        <w:t xml:space="preserve">Deux échantillons distincts prélevés à très faible distance peuvent ainsi présenter des teneurs différentes. Le variogramme seul ne permet généralement pas de séparer la variabilité géologique à petite échelle des erreurs de mesure. Des échantillons répétés ou des données de contrôle de qualité sont nécessaires pour mieux distinguer ces contributions.</w:t>
      </w:r>
    </w:p>
    <w:p>
      <w:pPr>
        <w:pStyle w:val="BodyText"/>
      </w:pPr>
      <w:r>
        <w:t xml:space="preserve">Dans un variogramme expérimental, aucune paire ne correspond habituellement à une distance exactement nulle. L’effet de pépite est donc estimé par extrapolation à partir des premières classes de distance ou à l’aide d’un modèle théorique.</w:t>
      </w:r>
    </w:p>
    <w:bookmarkEnd w:id="82"/>
    <w:bookmarkStart w:id="83" w:name="symétrie"/>
    <w:p>
      <w:pPr>
        <w:pStyle w:val="Heading3"/>
      </w:pPr>
      <w:r>
        <w:t xml:space="preserve">3. Symétrie</w:t>
      </w:r>
    </w:p>
    <w:p>
      <w:pPr>
        <w:pStyle w:val="FirstParagraph"/>
      </w:pPr>
      <w:r>
        <w:t xml:space="preserve">Le variogramme est une fonction paire :</w:t>
      </w:r>
    </w:p>
    <w:p>
      <w:pPr>
        <w:pStyle w:val="BodyText"/>
      </w:pPr>
      <m:oMathPara>
        <m:oMathParaPr>
          <m:jc m:val="center"/>
        </m:oMathParaPr>
        <m:oMath>
          <m:r>
            <m:t>γ</m:t>
          </m:r>
          <m:d>
            <m:dPr>
              <m:begChr m:val="("/>
              <m:sepChr m:val=""/>
              <m:endChr m:val=")"/>
              <m:grow/>
            </m:dPr>
            <m:e>
              <m:r>
                <m:rPr>
                  <m:sty m:val="b"/>
                </m:rPr>
                <m:t>h</m:t>
              </m:r>
            </m:e>
          </m:d>
          <m:r>
            <m:rPr>
              <m:sty m:val="p"/>
            </m:rPr>
            <m:t>=</m:t>
          </m:r>
          <m:r>
            <m:t>γ</m:t>
          </m:r>
          <m:d>
            <m:dPr>
              <m:begChr m:val="("/>
              <m:sepChr m:val=""/>
              <m:endChr m:val=")"/>
              <m:grow/>
            </m:dPr>
            <m:e>
              <m:r>
                <m:rPr>
                  <m:sty m:val="p"/>
                </m:rPr>
                <m:t>−</m:t>
              </m:r>
              <m:r>
                <m:rPr>
                  <m:sty m:val="b"/>
                </m:rPr>
                <m:t>h</m:t>
              </m:r>
            </m:e>
          </m:d>
          <m:r>
            <m:rPr>
              <m:sty m:val="p"/>
            </m:rPr>
            <m:t>.</m:t>
          </m:r>
        </m:oMath>
      </m:oMathPara>
    </w:p>
    <w:p>
      <w:pPr>
        <w:pStyle w:val="FirstParagraph"/>
      </w:pPr>
      <w:r>
        <w:t xml:space="preserve">En effet, l’inversion du vecteur de séparation change seulement l’ordre des deux valeurs :</w:t>
      </w:r>
    </w:p>
    <w:p>
      <w:pPr>
        <w:pStyle w:val="BodyText"/>
      </w:pPr>
      <m:oMathPara>
        <m:oMathParaPr>
          <m:jc m:val="center"/>
        </m:oMathParaPr>
        <m:oMath>
          <m:sSup>
            <m:e>
              <m:d>
                <m:dPr>
                  <m:begChr m:val="["/>
                  <m:sepChr m:val=""/>
                  <m:endChr m:val="]"/>
                  <m:grow/>
                </m:dPr>
                <m:e>
                  <m:r>
                    <m:t>Z</m:t>
                  </m:r>
                  <m:d>
                    <m:dPr>
                      <m:begChr m:val="("/>
                      <m:sepChr m:val=""/>
                      <m:endChr m:val=")"/>
                      <m:grow/>
                    </m:dPr>
                    <m:e>
                      <m:r>
                        <m:rPr>
                          <m:sty m:val="b"/>
                        </m:rPr>
                        <m:t>x</m:t>
                      </m:r>
                      <m:r>
                        <m:rPr>
                          <m:sty m:val="p"/>
                        </m:rPr>
                        <m:t>+</m:t>
                      </m:r>
                      <m:r>
                        <m:rPr>
                          <m:sty m:val="b"/>
                        </m:rPr>
                        <m:t>h</m:t>
                      </m:r>
                    </m:e>
                  </m:d>
                  <m:r>
                    <m:rPr>
                      <m:sty m:val="p"/>
                    </m:rPr>
                    <m:t>−</m:t>
                  </m:r>
                  <m:r>
                    <m:t>Z</m:t>
                  </m:r>
                  <m:d>
                    <m:dPr>
                      <m:begChr m:val="("/>
                      <m:sepChr m:val=""/>
                      <m:endChr m:val=")"/>
                      <m:grow/>
                    </m:dPr>
                    <m:e>
                      <m:r>
                        <m:rPr>
                          <m:sty m:val="b"/>
                        </m:rPr>
                        <m:t>x</m:t>
                      </m:r>
                    </m:e>
                  </m:d>
                </m:e>
              </m:d>
            </m:e>
            <m:sup>
              <m:r>
                <m:t>2</m:t>
              </m:r>
            </m:sup>
          </m:sSup>
          <m:r>
            <m:rPr>
              <m:sty m:val="p"/>
            </m:rPr>
            <m:t>=</m:t>
          </m:r>
          <m:sSup>
            <m:e>
              <m:d>
                <m:dPr>
                  <m:begChr m:val="["/>
                  <m:sepChr m:val=""/>
                  <m:endChr m:val="]"/>
                  <m:grow/>
                </m:dPr>
                <m:e>
                  <m:r>
                    <m:t>Z</m:t>
                  </m:r>
                  <m:d>
                    <m:dPr>
                      <m:begChr m:val="("/>
                      <m:sepChr m:val=""/>
                      <m:endChr m:val=")"/>
                      <m:grow/>
                    </m:dPr>
                    <m:e>
                      <m:r>
                        <m:rPr>
                          <m:sty m:val="b"/>
                        </m:rPr>
                        <m:t>x</m:t>
                      </m:r>
                    </m:e>
                  </m:d>
                  <m:r>
                    <m:rPr>
                      <m:sty m:val="p"/>
                    </m:rPr>
                    <m:t>−</m:t>
                  </m:r>
                  <m:r>
                    <m:t>Z</m:t>
                  </m:r>
                  <m:d>
                    <m:dPr>
                      <m:begChr m:val="("/>
                      <m:sepChr m:val=""/>
                      <m:endChr m:val=")"/>
                      <m:grow/>
                    </m:dPr>
                    <m:e>
                      <m:r>
                        <m:rPr>
                          <m:sty m:val="b"/>
                        </m:rPr>
                        <m:t>x</m:t>
                      </m:r>
                      <m:r>
                        <m:rPr>
                          <m:sty m:val="p"/>
                        </m:rPr>
                        <m:t>+</m:t>
                      </m:r>
                      <m:r>
                        <m:rPr>
                          <m:sty m:val="b"/>
                        </m:rPr>
                        <m:t>h</m:t>
                      </m:r>
                    </m:e>
                  </m:d>
                </m:e>
              </m:d>
            </m:e>
            <m:sup>
              <m:r>
                <m:t>2</m:t>
              </m:r>
            </m:sup>
          </m:sSup>
          <m:r>
            <m:rPr>
              <m:sty m:val="p"/>
            </m:rPr>
            <m:t>.</m:t>
          </m:r>
        </m:oMath>
      </m:oMathPara>
    </w:p>
    <w:p>
      <w:pPr>
        <w:pStyle w:val="FirstParagraph"/>
      </w:pPr>
      <w:r>
        <w:t xml:space="preserve">Une direction et son opposée sont donc équivalentes. Par exemple, en deux dimensions, les orientations de</w:t>
      </w:r>
      <w:r>
        <w:t xml:space="preserve"> </w:t>
      </w:r>
      <m:oMath>
        <m:sSup>
          <m:e>
            <m:r>
              <m:t>30</m:t>
            </m:r>
          </m:e>
          <m:sup>
            <m:r>
              <m:rPr>
                <m:sty m:val="p"/>
              </m:rPr>
              <m:t>∘</m:t>
            </m:r>
          </m:sup>
        </m:sSup>
      </m:oMath>
      <w:r>
        <w:t xml:space="preserve"> </w:t>
      </w:r>
      <w:r>
        <w:t xml:space="preserve">et de</w:t>
      </w:r>
      <w:r>
        <w:t xml:space="preserve"> </w:t>
      </w:r>
      <m:oMath>
        <m:sSup>
          <m:e>
            <m:r>
              <m:t>210</m:t>
            </m:r>
          </m:e>
          <m:sup>
            <m:r>
              <m:rPr>
                <m:sty m:val="p"/>
              </m:rPr>
              <m:t>∘</m:t>
            </m:r>
          </m:sup>
        </m:sSup>
      </m:oMath>
      <w:r>
        <w:t xml:space="preserve"> </w:t>
      </w:r>
      <w:r>
        <w:t xml:space="preserve">décrivent le même axe de continuité.</w:t>
      </w:r>
    </w:p>
    <w:bookmarkEnd w:id="83"/>
    <w:bookmarkStart w:id="84" w:name="condition-dadmissibilité"/>
    <w:p>
      <w:pPr>
        <w:pStyle w:val="Heading3"/>
      </w:pPr>
      <w:r>
        <w:t xml:space="preserve">4. Condition d’admissibilité</w:t>
      </w:r>
    </w:p>
    <w:p>
      <w:pPr>
        <w:pStyle w:val="FirstParagraph"/>
      </w:pPr>
      <w:r>
        <w:t xml:space="preserve">Toute fonction positive et symétrique n’est pas nécessairement un variogramme valide. Pour pouvoir être utilisée dans les méthodes géostatistiques, une fonction doit également être conditionnellement négative semi-définie.</w:t>
      </w:r>
    </w:p>
    <w:p>
      <w:pPr>
        <w:pStyle w:val="BodyText"/>
      </w:pPr>
      <w:r>
        <w:t xml:space="preserve">Pour un ensemble de</w:t>
      </w:r>
      <w:r>
        <w:t xml:space="preserve"> </w:t>
      </w:r>
      <m:oMath>
        <m:r>
          <m:t>n</m:t>
        </m:r>
      </m:oMath>
      <w:r>
        <w:t xml:space="preserve"> </w:t>
      </w:r>
      <w:r>
        <w:t xml:space="preserve">positions</w:t>
      </w:r>
      <w:r>
        <w:t xml:space="preserve"> </w:t>
      </w:r>
      <m:oMath>
        <m:sSub>
          <m:e>
            <m:r>
              <m:rPr>
                <m:sty m:val="b"/>
              </m:rPr>
              <m:t>x</m:t>
            </m:r>
          </m:e>
          <m:sub>
            <m:r>
              <m:t>1</m:t>
            </m:r>
          </m:sub>
        </m:sSub>
        <m:r>
          <m:rPr>
            <m:sty m:val="p"/>
          </m:rPr>
          <m:t>,</m:t>
        </m:r>
        <m:r>
          <m:rPr>
            <m:sty m:val="p"/>
          </m:rPr>
          <m:t>…</m:t>
        </m:r>
        <m:r>
          <m:rPr>
            <m:sty m:val="p"/>
          </m:rPr>
          <m:t>,</m:t>
        </m:r>
        <m:sSub>
          <m:e>
            <m:r>
              <m:rPr>
                <m:sty m:val="b"/>
              </m:rPr>
              <m:t>x</m:t>
            </m:r>
          </m:e>
          <m:sub>
            <m:r>
              <m:t>n</m:t>
            </m:r>
          </m:sub>
        </m:sSub>
      </m:oMath>
      <w:r>
        <w:t xml:space="preserve"> </w:t>
      </w:r>
      <w:r>
        <w:t xml:space="preserve">et de coefficients</w:t>
      </w:r>
      <w:r>
        <w:t xml:space="preserve"> </w:t>
      </w:r>
      <m:oMath>
        <m:sSub>
          <m:e>
            <m:r>
              <m:t>λ</m:t>
            </m:r>
          </m:e>
          <m:sub>
            <m:r>
              <m:t>1</m:t>
            </m:r>
          </m:sub>
        </m:sSub>
        <m:r>
          <m:rPr>
            <m:sty m:val="p"/>
          </m:rPr>
          <m:t>,</m:t>
        </m:r>
        <m:r>
          <m:rPr>
            <m:sty m:val="p"/>
          </m:rPr>
          <m:t>…</m:t>
        </m:r>
        <m:r>
          <m:rPr>
            <m:sty m:val="p"/>
          </m:rPr>
          <m:t>,</m:t>
        </m:r>
        <m:sSub>
          <m:e>
            <m:r>
              <m:t>λ</m:t>
            </m:r>
          </m:e>
          <m:sub>
            <m:r>
              <m:t>n</m:t>
            </m:r>
          </m:sub>
        </m:sSub>
      </m:oMath>
      <w:r>
        <w:t xml:space="preserve"> </w:t>
      </w:r>
      <w:r>
        <w:t xml:space="preserve">dont la somme est nulle,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λ</m:t>
                  </m:r>
                </m:e>
                <m:sub>
                  <m:r>
                    <m:t>i</m:t>
                  </m:r>
                </m:sub>
              </m:sSub>
            </m:e>
          </m:nary>
          <m:r>
            <m:rPr>
              <m:sty m:val="p"/>
            </m:rPr>
            <m:t>=</m:t>
          </m:r>
          <m:r>
            <m:t>0</m:t>
          </m:r>
          <m:r>
            <m:rPr>
              <m:sty m:val="p"/>
            </m:rPr>
            <m:t>,</m:t>
          </m:r>
        </m:oMath>
      </m:oMathPara>
    </w:p>
    <w:p>
      <w:pPr>
        <w:pStyle w:val="FirstParagraph"/>
      </w:pPr>
      <w:r>
        <w:t xml:space="preserve">la fonction doit satisfaire :</w:t>
      </w:r>
    </w:p>
    <w:p>
      <w:pPr>
        <w:pStyle w:val="BodyText"/>
      </w:pPr>
      <m:oMathPara>
        <m:oMathParaPr>
          <m:jc m:val="center"/>
        </m:oMathParaPr>
        <m:oMath>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λ</m:t>
                      </m:r>
                    </m:e>
                    <m:sub>
                      <m:r>
                        <m:t>i</m:t>
                      </m:r>
                    </m:sub>
                  </m:sSub>
                </m:e>
              </m:nary>
            </m:e>
          </m:nary>
          <m:sSub>
            <m:e>
              <m:r>
                <m:t>λ</m:t>
              </m:r>
            </m:e>
            <m:sub>
              <m:r>
                <m:t>j</m:t>
              </m:r>
            </m:sub>
          </m:sSub>
          <m:r>
            <m:t>γ</m:t>
          </m:r>
          <m:d>
            <m:dPr>
              <m:begChr m:val="("/>
              <m:sepChr m:val=""/>
              <m:endChr m:val=")"/>
              <m:grow/>
            </m:dPr>
            <m:e>
              <m:sSub>
                <m:e>
                  <m:r>
                    <m:rPr>
                      <m:sty m:val="b"/>
                    </m:rPr>
                    <m:t>x</m:t>
                  </m:r>
                </m:e>
                <m:sub>
                  <m:r>
                    <m:t>i</m:t>
                  </m:r>
                </m:sub>
              </m:sSub>
              <m:r>
                <m:rPr>
                  <m:sty m:val="p"/>
                </m:rPr>
                <m:t>−</m:t>
              </m:r>
              <m:sSub>
                <m:e>
                  <m:r>
                    <m:rPr>
                      <m:sty m:val="b"/>
                    </m:rPr>
                    <m:t>x</m:t>
                  </m:r>
                </m:e>
                <m:sub>
                  <m:r>
                    <m:t>j</m:t>
                  </m:r>
                </m:sub>
              </m:sSub>
            </m:e>
          </m:d>
          <m:r>
            <m:rPr>
              <m:sty m:val="p"/>
            </m:rPr>
            <m:t>≤</m:t>
          </m:r>
          <m:r>
            <m:t>0</m:t>
          </m:r>
          <m:r>
            <m:rPr>
              <m:sty m:val="p"/>
            </m:rPr>
            <m:t>.</m:t>
          </m:r>
        </m:oMath>
      </m:oMathPara>
    </w:p>
    <w:p>
      <w:pPr>
        <w:pStyle w:val="FirstParagraph"/>
      </w:pPr>
      <w:r>
        <w:t xml:space="preserve">Cette condition garantit la cohérence mathématique du modèle et permet notamment d’obtenir des variances d’estimation valides. Elle explique pourquoi on ne peut pas ajuster n’importe quelle courbe à un variogramme expérimental : le modèle retenu doit appartenir à une famille de variogrammes admissibles.</w:t>
      </w:r>
    </w:p>
    <w:bookmarkEnd w:id="84"/>
    <w:bookmarkStart w:id="85" w:name="évolution-avec-la-distance"/>
    <w:p>
      <w:pPr>
        <w:pStyle w:val="Heading3"/>
      </w:pPr>
      <w:r>
        <w:t xml:space="preserve">5. Évolution avec la distance</w:t>
      </w:r>
    </w:p>
    <w:p>
      <w:pPr>
        <w:pStyle w:val="FirstParagraph"/>
      </w:pPr>
      <w:r>
        <w:t xml:space="preserve">Dans de nombreux phénomènes naturels, le variogramme tend à augmenter avec la distance. Les valeurs observées à faible distance sont généralement semblables, de sorte que leurs différences sont faibles. Lorsque la distance augmente, les différences tendent à devenir plus importantes.</w:t>
      </w:r>
    </w:p>
    <w:p>
      <w:pPr>
        <w:pStyle w:val="BodyText"/>
      </w:pPr>
      <w:r>
        <w:t xml:space="preserve">Cette croissance n’est toutefois pas une propriété mathématique obligatoire. Un variogramme peut présenter des diminutions locales ou des oscillations lorsque le phénomène possède une organisation périodique.</w:t>
      </w:r>
    </w:p>
    <w:p>
      <w:pPr>
        <w:pStyle w:val="BodyText"/>
      </w:pPr>
      <w:r>
        <w:t xml:space="preserve">Par exemple, une succession régulière de couches géologiques peut produire des valeurs semblables à certaines distances et différentes à d’autres. Le variogramme peut alors augmenter, diminuer, puis augmenter de nouveau. Ce comportement est appelé</w:t>
      </w:r>
      <w:r>
        <w:t xml:space="preserve"> </w:t>
      </w:r>
      <w:r>
        <w:rPr>
          <w:b/>
          <w:bCs/>
        </w:rPr>
        <w:t xml:space="preserve">effet de trou</w:t>
      </w:r>
      <w:r>
        <w:t xml:space="preserve">.</w:t>
      </w:r>
    </w:p>
    <w:p>
      <w:pPr>
        <w:pStyle w:val="BodyText"/>
      </w:pPr>
      <w:r>
        <w:t xml:space="preserve">Un variogramme expérimental peut également être irrégulier en raison :</w:t>
      </w:r>
    </w:p>
    <w:p>
      <w:pPr>
        <w:pStyle w:val="Compact"/>
        <w:numPr>
          <w:ilvl w:val="0"/>
          <w:numId w:val="1012"/>
        </w:numPr>
      </w:pPr>
      <w:r>
        <w:t xml:space="preserve">d’un nombre insuffisant de paires;</w:t>
      </w:r>
    </w:p>
    <w:p>
      <w:pPr>
        <w:pStyle w:val="Compact"/>
        <w:numPr>
          <w:ilvl w:val="0"/>
          <w:numId w:val="1012"/>
        </w:numPr>
      </w:pPr>
      <w:r>
        <w:t xml:space="preserve">de valeurs extrêmes;</w:t>
      </w:r>
    </w:p>
    <w:p>
      <w:pPr>
        <w:pStyle w:val="Compact"/>
        <w:numPr>
          <w:ilvl w:val="0"/>
          <w:numId w:val="1012"/>
        </w:numPr>
      </w:pPr>
      <w:r>
        <w:t xml:space="preserve">d’une anisotropie non prise en compte;</w:t>
      </w:r>
    </w:p>
    <w:p>
      <w:pPr>
        <w:pStyle w:val="Compact"/>
        <w:numPr>
          <w:ilvl w:val="0"/>
          <w:numId w:val="1012"/>
        </w:numPr>
      </w:pPr>
      <w:r>
        <w:t xml:space="preserve">d’une tendance spatiale;</w:t>
      </w:r>
    </w:p>
    <w:p>
      <w:pPr>
        <w:pStyle w:val="Compact"/>
        <w:numPr>
          <w:ilvl w:val="0"/>
          <w:numId w:val="1012"/>
        </w:numPr>
      </w:pPr>
      <w:r>
        <w:t xml:space="preserve">d’une structure géologique complexe;</w:t>
      </w:r>
    </w:p>
    <w:p>
      <w:pPr>
        <w:pStyle w:val="Compact"/>
        <w:numPr>
          <w:ilvl w:val="0"/>
          <w:numId w:val="1012"/>
        </w:numPr>
      </w:pPr>
      <w:r>
        <w:t xml:space="preserve">de classes de distance ou de tolérances mal choisies.</w:t>
      </w:r>
    </w:p>
    <w:p>
      <w:pPr>
        <w:pStyle w:val="FirstParagraph"/>
      </w:pPr>
      <w:r>
        <w:t xml:space="preserve">L’interprétation ne doit donc pas reposer sur chaque fluctuation du variogramme expérimental, mais sur sa structure générale et sur sa cohérence avec le phénomène étudié.</w:t>
      </w:r>
    </w:p>
    <w:bookmarkEnd w:id="85"/>
    <w:bookmarkStart w:id="90" w:name="X52bb44b92dba3cb845e3ad4ddda681af73d12ec"/>
    <w:p>
      <w:pPr>
        <w:pStyle w:val="Heading3"/>
      </w:pPr>
      <w:r>
        <w:t xml:space="preserve">6. Relation avec la covariance et la corrélation</w:t>
      </w:r>
    </w:p>
    <w:p>
      <w:pPr>
        <w:pStyle w:val="FirstParagraph"/>
      </w:pPr>
      <w:r>
        <w:t xml:space="preserve">Sous l’hypothèse de stationnarité d’ordre 2, la continuité spatiale peut également être décrite à l’aide de la covariance :</w:t>
      </w:r>
    </w:p>
    <w:p>
      <w:pPr>
        <w:pStyle w:val="BodyText"/>
      </w:pPr>
      <m:oMathPara>
        <m:oMathParaPr>
          <m:jc m:val="center"/>
        </m:oMathParaPr>
        <m:oMath>
          <m:r>
            <m:t>C</m:t>
          </m:r>
          <m:d>
            <m:dPr>
              <m:begChr m:val="("/>
              <m:sepChr m:val=""/>
              <m:endChr m:val=")"/>
              <m:grow/>
            </m:dPr>
            <m:e>
              <m:r>
                <m:rPr>
                  <m:sty m:val="b"/>
                </m:rPr>
                <m:t>h</m:t>
              </m:r>
            </m:e>
          </m:d>
          <m:r>
            <m:rPr>
              <m:sty m:val="p"/>
            </m:rPr>
            <m:t>=</m:t>
          </m:r>
          <m:r>
            <m:rPr>
              <m:sty m:val="p"/>
            </m:rPr>
            <m:t>Cov</m:t>
          </m:r>
          <m:d>
            <m:dPr>
              <m:begChr m:val="["/>
              <m:sepChr m:val=""/>
              <m:endChr m:val="]"/>
              <m:grow/>
            </m:dPr>
            <m:e>
              <m:r>
                <m:t>Z</m:t>
              </m:r>
              <m:d>
                <m:dPr>
                  <m:begChr m:val="("/>
                  <m:sepChr m:val=""/>
                  <m:endChr m:val=")"/>
                  <m:grow/>
                </m:dPr>
                <m:e>
                  <m:r>
                    <m:rPr>
                      <m:sty m:val="b"/>
                    </m:rPr>
                    <m:t>x</m:t>
                  </m:r>
                </m:e>
              </m:d>
              <m:r>
                <m:rPr>
                  <m:sty m:val="p"/>
                </m:rPr>
                <m:t>,</m:t>
              </m:r>
              <m:r>
                <m:t>Z</m:t>
              </m:r>
              <m:d>
                <m:dPr>
                  <m:begChr m:val="("/>
                  <m:sepChr m:val=""/>
                  <m:endChr m:val=")"/>
                  <m:grow/>
                </m:dPr>
                <m:e>
                  <m:r>
                    <m:rPr>
                      <m:sty m:val="b"/>
                    </m:rPr>
                    <m:t>x</m:t>
                  </m:r>
                  <m:r>
                    <m:rPr>
                      <m:sty m:val="p"/>
                    </m:rPr>
                    <m:t>+</m:t>
                  </m:r>
                  <m:r>
                    <m:rPr>
                      <m:sty m:val="b"/>
                    </m:rPr>
                    <m:t>h</m:t>
                  </m:r>
                </m:e>
              </m:d>
            </m:e>
          </m:d>
          <m:r>
            <m:rPr>
              <m:sty m:val="p"/>
            </m:rPr>
            <m:t>.</m:t>
          </m:r>
        </m:oMath>
      </m:oMathPara>
    </w:p>
    <w:p>
      <w:pPr>
        <w:pStyle w:val="FirstParagraph"/>
      </w:pPr>
      <w:r>
        <w:t xml:space="preserve">Lorsque la moyenne</w:t>
      </w:r>
      <w:r>
        <w:t xml:space="preserve"> </w:t>
      </w:r>
      <m:oMath>
        <m:r>
          <m:t>m</m:t>
        </m:r>
      </m:oMath>
      <w:r>
        <w:t xml:space="preserve"> </w:t>
      </w:r>
      <w:r>
        <w:t xml:space="preserve">est constante, cette covariance s’écrit :</w:t>
      </w:r>
    </w:p>
    <w:p>
      <w:pPr>
        <w:pStyle w:val="BodyText"/>
      </w:pPr>
      <m:oMathPara>
        <m:oMathParaPr>
          <m:jc m:val="center"/>
        </m:oMathParaPr>
        <m:oMath>
          <m:r>
            <m:t>C</m:t>
          </m:r>
          <m:d>
            <m:dPr>
              <m:begChr m:val="("/>
              <m:sepChr m:val=""/>
              <m:endChr m:val=")"/>
              <m:grow/>
            </m:dPr>
            <m:e>
              <m:r>
                <m:rPr>
                  <m:sty m:val="b"/>
                </m:rPr>
                <m:t>h</m:t>
              </m:r>
            </m:e>
          </m:d>
          <m:r>
            <m:rPr>
              <m:sty m:val="p"/>
            </m:rPr>
            <m:t>=</m:t>
          </m:r>
          <m:r>
            <m:rPr>
              <m:sty m:val="p"/>
              <m:scr m:val="double-struck"/>
            </m:rPr>
            <m:t>E</m:t>
          </m:r>
          <m:d>
            <m:dPr>
              <m:begChr m:val="["/>
              <m:sepChr m:val=""/>
              <m:endChr m:val="]"/>
              <m:grow/>
            </m:dPr>
            <m:e>
              <m:d>
                <m:dPr>
                  <m:begChr m:val="("/>
                  <m:sepChr m:val=""/>
                  <m:endChr m:val=")"/>
                  <m:grow/>
                </m:dPr>
                <m:e>
                  <m:r>
                    <m:t>Z</m:t>
                  </m:r>
                  <m:d>
                    <m:dPr>
                      <m:begChr m:val="("/>
                      <m:sepChr m:val=""/>
                      <m:endChr m:val=")"/>
                      <m:grow/>
                    </m:dPr>
                    <m:e>
                      <m:r>
                        <m:rPr>
                          <m:sty m:val="b"/>
                        </m:rPr>
                        <m:t>x</m:t>
                      </m:r>
                    </m:e>
                  </m:d>
                  <m:r>
                    <m:rPr>
                      <m:sty m:val="p"/>
                    </m:rPr>
                    <m:t>−</m:t>
                  </m:r>
                  <m:r>
                    <m:t>m</m:t>
                  </m:r>
                </m:e>
              </m:d>
              <m:d>
                <m:dPr>
                  <m:begChr m:val="("/>
                  <m:sepChr m:val=""/>
                  <m:endChr m:val=")"/>
                  <m:grow/>
                </m:dPr>
                <m:e>
                  <m:r>
                    <m:t>Z</m:t>
                  </m:r>
                  <m:d>
                    <m:dPr>
                      <m:begChr m:val="("/>
                      <m:sepChr m:val=""/>
                      <m:endChr m:val=")"/>
                      <m:grow/>
                    </m:dPr>
                    <m:e>
                      <m:r>
                        <m:rPr>
                          <m:sty m:val="b"/>
                        </m:rPr>
                        <m:t>x</m:t>
                      </m:r>
                      <m:r>
                        <m:rPr>
                          <m:sty m:val="p"/>
                        </m:rPr>
                        <m:t>+</m:t>
                      </m:r>
                      <m:r>
                        <m:rPr>
                          <m:sty m:val="b"/>
                        </m:rPr>
                        <m:t>h</m:t>
                      </m:r>
                    </m:e>
                  </m:d>
                  <m:r>
                    <m:rPr>
                      <m:sty m:val="p"/>
                    </m:rPr>
                    <m:t>−</m:t>
                  </m:r>
                  <m:r>
                    <m:t>m</m:t>
                  </m:r>
                </m:e>
              </m:d>
            </m:e>
          </m:d>
          <m:r>
            <m:rPr>
              <m:sty m:val="p"/>
            </m:rPr>
            <m:t>.</m:t>
          </m:r>
        </m:oMath>
      </m:oMathPara>
    </w:p>
    <w:p>
      <w:pPr>
        <w:pStyle w:val="FirstParagraph"/>
      </w:pPr>
      <w:r>
        <w:t xml:space="preserve">À l’origine, la covariance correspond à la variance de la fonction aléatoire :</w:t>
      </w:r>
    </w:p>
    <w:p>
      <w:pPr>
        <w:pStyle w:val="BodyText"/>
      </w:pPr>
      <m:oMathPara>
        <m:oMathParaPr>
          <m:jc m:val="center"/>
        </m:oMathParaPr>
        <m:oMath>
          <m:r>
            <m:t>C</m:t>
          </m:r>
          <m:d>
            <m:dPr>
              <m:begChr m:val="("/>
              <m:sepChr m:val=""/>
              <m:endChr m:val=")"/>
              <m:grow/>
            </m:dPr>
            <m:e>
              <m:r>
                <m:rPr>
                  <m:sty m:val="b"/>
                </m:rPr>
                <m:t>0</m:t>
              </m:r>
            </m:e>
          </m:d>
          <m:r>
            <m:rPr>
              <m:sty m:val="p"/>
            </m:rPr>
            <m:t>=</m:t>
          </m:r>
          <m:r>
            <m:rPr>
              <m:sty m:val="p"/>
            </m:rPr>
            <m:t>Var</m:t>
          </m:r>
          <m:d>
            <m:dPr>
              <m:begChr m:val="["/>
              <m:sepChr m:val=""/>
              <m:endChr m:val="]"/>
              <m:grow/>
            </m:dPr>
            <m:e>
              <m:r>
                <m:t>Z</m:t>
              </m:r>
              <m:d>
                <m:dPr>
                  <m:begChr m:val="("/>
                  <m:sepChr m:val=""/>
                  <m:endChr m:val=")"/>
                  <m:grow/>
                </m:dPr>
                <m:e>
                  <m:r>
                    <m:rPr>
                      <m:sty m:val="b"/>
                    </m:rPr>
                    <m:t>x</m:t>
                  </m:r>
                </m:e>
              </m:d>
            </m:e>
          </m:d>
          <m:r>
            <m:rPr>
              <m:sty m:val="p"/>
            </m:rPr>
            <m:t>.</m:t>
          </m:r>
        </m:oMath>
      </m:oMathPara>
    </w:p>
    <w:p>
      <w:pPr>
        <w:pStyle w:val="FirstParagraph"/>
      </w:pPr>
      <w:r>
        <w:t xml:space="preserve">La fonction de corrélation spatiale est obtenue en normalisant la covariance par cette variance :</w:t>
      </w:r>
    </w:p>
    <w:p>
      <w:pPr>
        <w:pStyle w:val="BodyText"/>
      </w:pPr>
      <m:oMathPara>
        <m:oMathParaPr>
          <m:jc m:val="center"/>
        </m:oMathParaPr>
        <m:oMath>
          <m:r>
            <m:t>ρ</m:t>
          </m:r>
          <m:d>
            <m:dPr>
              <m:begChr m:val="("/>
              <m:sepChr m:val=""/>
              <m:endChr m:val=")"/>
              <m:grow/>
            </m:dPr>
            <m:e>
              <m:r>
                <m:rPr>
                  <m:sty m:val="b"/>
                </m:rPr>
                <m:t>h</m:t>
              </m:r>
            </m:e>
          </m:d>
          <m:r>
            <m:rPr>
              <m:sty m:val="p"/>
            </m:rPr>
            <m:t>=</m:t>
          </m:r>
          <m:f>
            <m:fPr>
              <m:type m:val="bar"/>
            </m:fPr>
            <m:num>
              <m:r>
                <m:t>C</m:t>
              </m:r>
              <m:d>
                <m:dPr>
                  <m:begChr m:val="("/>
                  <m:sepChr m:val=""/>
                  <m:endChr m:val=")"/>
                  <m:grow/>
                </m:dPr>
                <m:e>
                  <m:r>
                    <m:rPr>
                      <m:sty m:val="b"/>
                    </m:rPr>
                    <m:t>h</m:t>
                  </m:r>
                </m:e>
              </m:d>
            </m:num>
            <m:den>
              <m:r>
                <m:t>C</m:t>
              </m:r>
              <m:d>
                <m:dPr>
                  <m:begChr m:val="("/>
                  <m:sepChr m:val=""/>
                  <m:endChr m:val=")"/>
                  <m:grow/>
                </m:dPr>
                <m:e>
                  <m:r>
                    <m:rPr>
                      <m:sty m:val="b"/>
                    </m:rPr>
                    <m:t>0</m:t>
                  </m:r>
                </m:e>
              </m:d>
            </m:den>
          </m:f>
          <m:r>
            <m:rPr>
              <m:sty m:val="p"/>
            </m:rPr>
            <m:t>.</m:t>
          </m:r>
        </m:oMath>
      </m:oMathPara>
    </w:p>
    <w:p>
      <w:pPr>
        <w:pStyle w:val="FirstParagraph"/>
      </w:pPr>
      <w:r>
        <w:t xml:space="preserve">Elle satisfait :</w:t>
      </w:r>
    </w:p>
    <w:p>
      <w:pPr>
        <w:pStyle w:val="BodyText"/>
      </w:pPr>
      <m:oMathPara>
        <m:oMathParaPr>
          <m:jc m:val="center"/>
        </m:oMathParaPr>
        <m:oMath>
          <m:r>
            <m:t>ρ</m:t>
          </m:r>
          <m:d>
            <m:dPr>
              <m:begChr m:val="("/>
              <m:sepChr m:val=""/>
              <m:endChr m:val=")"/>
              <m:grow/>
            </m:dPr>
            <m:e>
              <m:r>
                <m:rPr>
                  <m:sty m:val="b"/>
                </m:rPr>
                <m:t>0</m:t>
              </m:r>
            </m:e>
          </m:d>
          <m:r>
            <m:rPr>
              <m:sty m:val="p"/>
            </m:rPr>
            <m:t>=</m:t>
          </m:r>
          <m:r>
            <m:t>1</m:t>
          </m:r>
          <m:r>
            <m:rPr>
              <m:sty m:val="p"/>
            </m:rPr>
            <m:t>.</m:t>
          </m:r>
        </m:oMath>
      </m:oMathPara>
    </w:p>
    <w:p>
      <w:pPr>
        <w:pStyle w:val="FirstParagraph"/>
      </w:pPr>
      <w:r>
        <w:t xml:space="preserve">Sous stationnarité d’ordre 2, le variogramme et la covariance sont liés par :</w:t>
      </w:r>
    </w:p>
    <w:p>
      <w:pPr>
        <w:pStyle w:val="BodyText"/>
      </w:pPr>
      <m:oMathPara>
        <m:oMathParaPr>
          <m:jc m:val="center"/>
        </m:oMathParaPr>
        <m:oMath>
          <m:r>
            <m:t>γ</m:t>
          </m:r>
          <m:d>
            <m:dPr>
              <m:begChr m:val="("/>
              <m:sepChr m:val=""/>
              <m:endChr m:val=")"/>
              <m:grow/>
            </m:dPr>
            <m:e>
              <m:r>
                <m:rPr>
                  <m:sty m:val="b"/>
                </m:rPr>
                <m:t>h</m:t>
              </m:r>
            </m:e>
          </m:d>
          <m:r>
            <m:rPr>
              <m:sty m:val="p"/>
            </m:rPr>
            <m:t>=</m:t>
          </m:r>
          <m:r>
            <m:t>C</m:t>
          </m:r>
          <m:d>
            <m:dPr>
              <m:begChr m:val="("/>
              <m:sepChr m:val=""/>
              <m:endChr m:val=")"/>
              <m:grow/>
            </m:dPr>
            <m:e>
              <m:r>
                <m:rPr>
                  <m:sty m:val="b"/>
                </m:rPr>
                <m:t>0</m:t>
              </m:r>
            </m:e>
          </m:d>
          <m:r>
            <m:rPr>
              <m:sty m:val="p"/>
            </m:rPr>
            <m:t>−</m:t>
          </m:r>
          <m:r>
            <m:t>C</m:t>
          </m:r>
          <m:d>
            <m:dPr>
              <m:begChr m:val="("/>
              <m:sepChr m:val=""/>
              <m:endChr m:val=")"/>
              <m:grow/>
            </m:dPr>
            <m:e>
              <m:r>
                <m:rPr>
                  <m:sty m:val="b"/>
                </m:rPr>
                <m:t>h</m:t>
              </m:r>
            </m:e>
          </m:d>
          <m:r>
            <m:rPr>
              <m:sty m:val="p"/>
            </m:rPr>
            <m:t>.</m:t>
          </m:r>
        </m:oMath>
      </m:oMathPara>
    </w:p>
    <w:p>
      <w:pPr>
        <w:pStyle w:val="FirstParagraph"/>
      </w:pPr>
      <w:r>
        <w:t xml:space="preserve">La relation peut également être exprimée en fonction de la corrélation :</w:t>
      </w:r>
    </w:p>
    <w:p>
      <w:pPr>
        <w:pStyle w:val="BodyText"/>
      </w:pPr>
      <m:oMathPara>
        <m:oMathParaPr>
          <m:jc m:val="center"/>
        </m:oMathParaPr>
        <m:oMath>
          <m:r>
            <m:t>γ</m:t>
          </m:r>
          <m:d>
            <m:dPr>
              <m:begChr m:val="("/>
              <m:sepChr m:val=""/>
              <m:endChr m:val=")"/>
              <m:grow/>
            </m:dPr>
            <m:e>
              <m:r>
                <m:rPr>
                  <m:sty m:val="b"/>
                </m:rPr>
                <m:t>h</m:t>
              </m:r>
            </m:e>
          </m:d>
          <m:r>
            <m:rPr>
              <m:sty m:val="p"/>
            </m:rPr>
            <m:t>=</m:t>
          </m:r>
          <m:r>
            <m:t>C</m:t>
          </m:r>
          <m:d>
            <m:dPr>
              <m:begChr m:val="("/>
              <m:sepChr m:val=""/>
              <m:endChr m:val=")"/>
              <m:grow/>
            </m:dPr>
            <m:e>
              <m:r>
                <m:rPr>
                  <m:sty m:val="b"/>
                </m:rPr>
                <m:t>0</m:t>
              </m:r>
            </m:e>
          </m:d>
          <m:d>
            <m:dPr>
              <m:begChr m:val="["/>
              <m:sepChr m:val=""/>
              <m:endChr m:val="]"/>
              <m:grow/>
            </m:dPr>
            <m:e>
              <m:r>
                <m:t>1</m:t>
              </m:r>
              <m:r>
                <m:rPr>
                  <m:sty m:val="p"/>
                </m:rPr>
                <m:t>−</m:t>
              </m:r>
              <m:r>
                <m:t>ρ</m:t>
              </m:r>
              <m:d>
                <m:dPr>
                  <m:begChr m:val="("/>
                  <m:sepChr m:val=""/>
                  <m:endChr m:val=")"/>
                  <m:grow/>
                </m:dPr>
                <m:e>
                  <m:r>
                    <m:rPr>
                      <m:sty m:val="b"/>
                    </m:rPr>
                    <m:t>h</m:t>
                  </m:r>
                </m:e>
              </m:d>
            </m:e>
          </m:d>
          <m:r>
            <m:rPr>
              <m:sty m:val="p"/>
            </m:rPr>
            <m:t>.</m:t>
          </m:r>
        </m:oMath>
      </m:oMathPara>
    </w:p>
    <w:p>
      <w:pPr>
        <w:pStyle w:val="FirstParagraph"/>
      </w:pPr>
      <w:r>
        <w:t xml:space="preserve">Le variogramme et la covariance décrivent donc la même structure spatiale, mais de manière inverse :</w:t>
      </w:r>
    </w:p>
    <w:p>
      <w:pPr>
        <w:pStyle w:val="Compact"/>
        <w:numPr>
          <w:ilvl w:val="0"/>
          <w:numId w:val="1013"/>
        </w:numPr>
      </w:pPr>
      <w:r>
        <w:t xml:space="preserve">lorsque la covariance est élevée, le variogramme est faible;</w:t>
      </w:r>
    </w:p>
    <w:p>
      <w:pPr>
        <w:pStyle w:val="Compact"/>
        <w:numPr>
          <w:ilvl w:val="0"/>
          <w:numId w:val="1013"/>
        </w:numPr>
      </w:pPr>
      <w:r>
        <w:t xml:space="preserve">lorsque la covariance diminue, le variogramme augmente;</w:t>
      </w:r>
    </w:p>
    <w:p>
      <w:pPr>
        <w:pStyle w:val="Compact"/>
        <w:numPr>
          <w:ilvl w:val="0"/>
          <w:numId w:val="1013"/>
        </w:numPr>
      </w:pPr>
      <w:r>
        <w:t xml:space="preserve">lorsque la covariance est négative, le variogramme peut dépasser</w:t>
      </w:r>
      <w:r>
        <w:t xml:space="preserve"> </w:t>
      </w:r>
      <m:oMath>
        <m:r>
          <m:t>C</m:t>
        </m:r>
        <m:d>
          <m:dPr>
            <m:begChr m:val="("/>
            <m:sepChr m:val=""/>
            <m:endChr m:val=")"/>
            <m:grow/>
          </m:dPr>
          <m:e>
            <m:r>
              <m:rPr>
                <m:sty m:val="b"/>
              </m:rPr>
              <m:t>0</m:t>
            </m:r>
          </m:e>
        </m:d>
      </m:oMath>
      <w:r>
        <w:t xml:space="preserve">.</w:t>
      </w:r>
    </w:p>
    <w:p>
      <w:pPr>
        <w:pStyle w:val="FirstParagraph"/>
      </w:pPr>
      <w:r>
        <w:t xml:space="preserve">Si la covariance tend vers zéro lorsque la distance augmente, les valeurs deviennent non corrélées et le variogramme tend vers la variance :</w:t>
      </w:r>
    </w:p>
    <w:p>
      <w:pPr>
        <w:pStyle w:val="BodyText"/>
      </w:pPr>
      <m:oMathPara>
        <m:oMathParaPr>
          <m:jc m:val="center"/>
        </m:oMathParaPr>
        <m:oMath>
          <m:limLow>
            <m:e>
              <m:r>
                <m:rPr>
                  <m:sty m:val="p"/>
                </m:rPr>
                <m:t>lim</m:t>
              </m:r>
            </m:e>
            <m:lim>
              <m:d>
                <m:dPr>
                  <m:begChr m:val="‖"/>
                  <m:sepChr m:val=""/>
                  <m:endChr m:val="‖"/>
                  <m:grow/>
                </m:dPr>
                <m:e>
                  <m:r>
                    <m:rPr>
                      <m:sty m:val="b"/>
                    </m:rPr>
                    <m:t>h</m:t>
                  </m:r>
                </m:e>
              </m:d>
              <m:r>
                <m:rPr>
                  <m:sty m:val="p"/>
                </m:rPr>
                <m:t>→</m:t>
              </m:r>
              <m:r>
                <m:rPr>
                  <m:sty m:val="p"/>
                </m:rPr>
                <m:t>∞</m:t>
              </m:r>
            </m:lim>
          </m:limLow>
          <m:r>
            <m:t>C</m:t>
          </m:r>
          <m:d>
            <m:dPr>
              <m:begChr m:val="("/>
              <m:sepChr m:val=""/>
              <m:endChr m:val=")"/>
              <m:grow/>
            </m:dPr>
            <m:e>
              <m:r>
                <m:rPr>
                  <m:sty m:val="b"/>
                </m:rPr>
                <m:t>h</m:t>
              </m:r>
            </m:e>
          </m:d>
          <m:r>
            <m:rPr>
              <m:sty m:val="p"/>
            </m:rPr>
            <m:t>=</m:t>
          </m:r>
          <m:r>
            <m:t>0</m:t>
          </m:r>
          <m:r>
            <m:t> </m:t>
          </m:r>
          <m:r>
            <m:rPr>
              <m:sty m:val="p"/>
            </m:rPr>
            <m:t>⇒</m:t>
          </m:r>
          <m:r>
            <m:t> </m:t>
          </m:r>
          <m:limLow>
            <m:e>
              <m:r>
                <m:rPr>
                  <m:sty m:val="p"/>
                </m:rPr>
                <m:t>lim</m:t>
              </m:r>
            </m:e>
            <m:lim>
              <m:d>
                <m:dPr>
                  <m:begChr m:val="‖"/>
                  <m:sepChr m:val=""/>
                  <m:endChr m:val="‖"/>
                  <m:grow/>
                </m:dPr>
                <m:e>
                  <m:r>
                    <m:rPr>
                      <m:sty m:val="b"/>
                    </m:rPr>
                    <m:t>h</m:t>
                  </m:r>
                </m:e>
              </m:d>
              <m:r>
                <m:rPr>
                  <m:sty m:val="p"/>
                </m:rPr>
                <m:t>→</m:t>
              </m:r>
              <m:r>
                <m:rPr>
                  <m:sty m:val="p"/>
                </m:rPr>
                <m:t>∞</m:t>
              </m:r>
            </m:lim>
          </m:limLow>
          <m:r>
            <m:t>γ</m:t>
          </m:r>
          <m:d>
            <m:dPr>
              <m:begChr m:val="("/>
              <m:sepChr m:val=""/>
              <m:endChr m:val=")"/>
              <m:grow/>
            </m:dPr>
            <m:e>
              <m:r>
                <m:rPr>
                  <m:sty m:val="b"/>
                </m:rPr>
                <m:t>h</m:t>
              </m:r>
            </m:e>
          </m:d>
          <m:r>
            <m:rPr>
              <m:sty m:val="p"/>
            </m:rPr>
            <m:t>=</m:t>
          </m:r>
          <m:r>
            <m:t>C</m:t>
          </m:r>
          <m:d>
            <m:dPr>
              <m:begChr m:val="("/>
              <m:sepChr m:val=""/>
              <m:endChr m:val=")"/>
              <m:grow/>
            </m:dPr>
            <m:e>
              <m:r>
                <m:rPr>
                  <m:sty m:val="b"/>
                </m:rPr>
                <m:t>0</m:t>
              </m:r>
            </m:e>
          </m:d>
          <m:r>
            <m:rPr>
              <m:sty m:val="p"/>
            </m:rPr>
            <m:t>.</m:t>
          </m:r>
        </m:oMath>
      </m:oMathPara>
    </w:p>
    <w:p>
      <w:pPr>
        <w:pStyle w:val="FirstParagraph"/>
      </w:pPr>
      <w:r>
        <w:t xml:space="preserve">La valeur</w:t>
      </w:r>
      <w:r>
        <w:t xml:space="preserve"> </w:t>
      </w:r>
      <m:oMath>
        <m:r>
          <m:t>C</m:t>
        </m:r>
        <m:d>
          <m:dPr>
            <m:begChr m:val="("/>
            <m:sepChr m:val=""/>
            <m:endChr m:val=")"/>
            <m:grow/>
          </m:dPr>
          <m:e>
            <m:r>
              <m:rPr>
                <m:sty m:val="b"/>
              </m:rPr>
              <m:t>0</m:t>
            </m:r>
          </m:e>
        </m:d>
      </m:oMath>
      <w:r>
        <w:t xml:space="preserve"> </w:t>
      </w:r>
      <w:r>
        <w:t xml:space="preserve">constitue alors le</w:t>
      </w:r>
      <w:r>
        <w:t xml:space="preserve"> </w:t>
      </w:r>
      <w:r>
        <w:rPr>
          <w:b/>
          <w:bCs/>
        </w:rPr>
        <w:t xml:space="preserve">palier</w:t>
      </w:r>
      <w:r>
        <w:t xml:space="preserve"> </w:t>
      </w:r>
      <w:r>
        <w:t xml:space="preserve">du variogramme.</w:t>
      </w:r>
    </w:p>
    <w:p>
      <w:pPr>
        <w:pStyle w:val="BodyText"/>
      </w:pPr>
      <w:r>
        <w:t xml:space="preserve">Une covariance nulle n’implique toutefois pas nécessairement que les valeurs sont indépendantes. Cette équivalence exige des hypothèses supplémentaires, notamment dans le cas d’une fonction aléatoire gaussienne.</w:t>
      </w:r>
    </w:p>
    <w:p>
      <w:pPr>
        <w:pStyle w:val="BodyText"/>
      </w:pPr>
      <w:r>
        <w:t xml:space="preserve">Sous la seule hypothèse intrinsèque, la covariance peut ne pas être définie. Le variogramme demeure alors utilisable et peut croître sans atteindre de palier.</w:t>
      </w:r>
    </w:p>
    <w:p>
      <w:pPr>
        <w:pStyle w:val="BodyText"/>
      </w:pPr>
      <w:r>
        <w:t xml:space="preserve">La</w:t>
      </w:r>
      <w:r>
        <w:t xml:space="preserve"> </w:t>
      </w:r>
      <w:hyperlink w:anchor="fig-gamma-covariance">
        <w:r>
          <w:rPr>
            <w:rStyle w:val="Hyperlink"/>
          </w:rPr>
          <w:t xml:space="preserve">Figure 6</w:t>
        </w:r>
      </w:hyperlink>
      <w:r>
        <w:t xml:space="preserve"> </w:t>
      </w:r>
      <w:r>
        <w:t xml:space="preserve">illustre la relation entre ces deux fonctions. Lorsque la covariance décroît, le variogramme augmente de manière complémentaire, leur somme demeurant égale à</w:t>
      </w:r>
      <w:r>
        <w:t xml:space="preserve"> </w:t>
      </w:r>
      <m:oMath>
        <m:r>
          <m:t>C</m:t>
        </m:r>
        <m:d>
          <m:dPr>
            <m:begChr m:val="("/>
            <m:sepChr m:val=""/>
            <m:endChr m:val=")"/>
            <m:grow/>
          </m:dPr>
          <m:e>
            <m:r>
              <m:rPr>
                <m:sty m:val="b"/>
              </m:rPr>
              <m:t>0</m:t>
            </m:r>
          </m:e>
        </m:d>
      </m:oMath>
      <w:r>
        <w:t xml:space="preserve">.</w:t>
      </w:r>
    </w:p>
    <w:tbl>
      <w:tblPr>
        <w:tblStyle w:val="Table"/>
        <w:tblW w:type="pct" w:w="5000"/>
        <w:tblLayout w:type="fixed"/>
        <w:tblLook w:firstRow="0" w:lastRow="0" w:firstColumn="0" w:lastColumn="0" w:noHBand="0" w:noVBand="0" w:val="0000"/>
      </w:tblPr>
      <w:tblGrid>
        <w:gridCol w:w="7920"/>
      </w:tblGrid>
      <w:tr>
        <w:tc>
          <w:tcPr/>
          <w:bookmarkStart w:id="89" w:name="fig-gamma-covariance"/>
          <w:p>
            <w:pPr>
              <w:pStyle w:val="Compact"/>
              <w:jc w:val="center"/>
            </w:pPr>
            <w:r>
              <w:drawing>
                <wp:inline>
                  <wp:extent cx="5334000" cy="3359695"/>
                  <wp:effectExtent b="0" l="0" r="0" t="0"/>
                  <wp:docPr descr="" title="" id="87" name="Picture"/>
                  <a:graphic>
                    <a:graphicData uri="http://schemas.openxmlformats.org/drawingml/2006/picture">
                      <pic:pic>
                        <pic:nvPicPr>
                          <pic:cNvPr descr="images/C7_gamma_covariance.png" id="88" name="Picture"/>
                          <pic:cNvPicPr>
                            <a:picLocks noChangeArrowheads="1" noChangeAspect="1"/>
                          </pic:cNvPicPr>
                        </pic:nvPicPr>
                        <pic:blipFill>
                          <a:blip r:embed="rId86"/>
                          <a:stretch>
                            <a:fillRect/>
                          </a:stretch>
                        </pic:blipFill>
                        <pic:spPr bwMode="auto">
                          <a:xfrm>
                            <a:off x="0" y="0"/>
                            <a:ext cx="5334000" cy="3359695"/>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Lien entre la covariance et le variogramme sous stationnarité d’ordre 2. La covariance</w:t>
            </w:r>
            <w:r>
              <w:t xml:space="preserve"> </w:t>
            </w:r>
            <m:oMath>
              <m:r>
                <m:t>C</m:t>
              </m:r>
              <m:d>
                <m:dPr>
                  <m:begChr m:val="("/>
                  <m:sepChr m:val=""/>
                  <m:endChr m:val=")"/>
                  <m:grow/>
                </m:dPr>
                <m:e>
                  <m:r>
                    <m:t>h</m:t>
                  </m:r>
                </m:e>
              </m:d>
            </m:oMath>
            <w:r>
              <w:t xml:space="preserve"> </w:t>
            </w:r>
            <w:r>
              <w:t xml:space="preserve">part de la variance</w:t>
            </w:r>
            <w:r>
              <w:t xml:space="preserve"> </w:t>
            </w:r>
            <m:oMath>
              <m:r>
                <m:t>C</m:t>
              </m:r>
              <m:d>
                <m:dPr>
                  <m:begChr m:val="("/>
                  <m:sepChr m:val=""/>
                  <m:endChr m:val=")"/>
                  <m:grow/>
                </m:dPr>
                <m:e>
                  <m:r>
                    <m:t>0</m:t>
                  </m:r>
                </m:e>
              </m:d>
            </m:oMath>
            <w:r>
              <w:t xml:space="preserve"> </w:t>
            </w:r>
            <w:r>
              <w:t xml:space="preserve">et décroît avec la distance, tandis que le variogramme</w:t>
            </w:r>
            <w:r>
              <w:t xml:space="preserve"> </w:t>
            </w:r>
            <m:oMath>
              <m:r>
                <m:t>γ</m:t>
              </m:r>
              <m:d>
                <m:dPr>
                  <m:begChr m:val="("/>
                  <m:sepChr m:val=""/>
                  <m:endChr m:val=")"/>
                  <m:grow/>
                </m:dPr>
                <m:e>
                  <m:r>
                    <m:t>h</m:t>
                  </m:r>
                </m:e>
              </m:d>
              <m:r>
                <m:rPr>
                  <m:sty m:val="p"/>
                </m:rPr>
                <m:t>=</m:t>
              </m:r>
              <m:r>
                <m:t>C</m:t>
              </m:r>
              <m:d>
                <m:dPr>
                  <m:begChr m:val="("/>
                  <m:sepChr m:val=""/>
                  <m:endChr m:val=")"/>
                  <m:grow/>
                </m:dPr>
                <m:e>
                  <m:r>
                    <m:t>0</m:t>
                  </m:r>
                </m:e>
              </m:d>
              <m:r>
                <m:rPr>
                  <m:sty m:val="p"/>
                </m:rPr>
                <m:t>−</m:t>
              </m:r>
              <m:r>
                <m:t>C</m:t>
              </m:r>
              <m:d>
                <m:dPr>
                  <m:begChr m:val="("/>
                  <m:sepChr m:val=""/>
                  <m:endChr m:val=")"/>
                  <m:grow/>
                </m:dPr>
                <m:e>
                  <m:r>
                    <m:t>h</m:t>
                  </m:r>
                </m:e>
              </m:d>
            </m:oMath>
            <w:r>
              <w:t xml:space="preserve"> </w:t>
            </w:r>
            <w:r>
              <w:t xml:space="preserve">augmente. Lorsque la covariance tend vers zéro, le variogramme tend vers son palier</w:t>
            </w:r>
            <w:r>
              <w:t xml:space="preserve"> </w:t>
            </w:r>
            <m:oMath>
              <m:r>
                <m:t>C</m:t>
              </m:r>
              <m:d>
                <m:dPr>
                  <m:begChr m:val="("/>
                  <m:sepChr m:val=""/>
                  <m:endChr m:val=")"/>
                  <m:grow/>
                </m:dPr>
                <m:e>
                  <m:r>
                    <m:t>0</m:t>
                  </m:r>
                </m:e>
              </m:d>
            </m:oMath>
            <w:r>
              <w:t xml:space="preserve">.</w:t>
            </w:r>
          </w:p>
          <w:bookmarkEnd w:id="89"/>
        </w:tc>
      </w:tr>
    </w:tbl>
    <w:bookmarkEnd w:id="90"/>
    <w:bookmarkEnd w:id="91"/>
    <w:bookmarkStart w:id="92" w:name="X26025e8006f3b5bf51f4705eed543fae31fa37e"/>
    <w:p>
      <w:pPr>
        <w:pStyle w:val="Heading2"/>
      </w:pPr>
      <w:r>
        <w:t xml:space="preserve">🧮 Atelier interactif 7.2 — Covariance, corrélation et variogramme</w:t>
      </w:r>
    </w:p>
    <w:p>
      <w:pPr>
        <w:pStyle w:val="FirstParagraph"/>
      </w:pPr>
      <w:r>
        <w:t xml:space="preserve">Cet atelier interactif est disponible uniquement dans la version web du chapitre. Il illustre le lien entre le nuage des couples</w:t>
      </w:r>
      <w:r>
        <w:t xml:space="preserve"> </w:t>
      </w:r>
      <m:oMath>
        <m:r>
          <m:t>z</m:t>
        </m:r>
        <m:d>
          <m:dPr>
            <m:begChr m:val="("/>
            <m:sepChr m:val=""/>
            <m:endChr m:val=")"/>
            <m:grow/>
          </m:dPr>
          <m:e>
            <m:r>
              <m:rPr>
                <m:sty m:val="b"/>
              </m:rPr>
              <m:t>x</m:t>
            </m:r>
          </m:e>
        </m:d>
      </m:oMath>
      <w:r>
        <w:t xml:space="preserve"> </w:t>
      </w:r>
      <w:r>
        <w:t xml:space="preserve">et</w:t>
      </w:r>
      <w:r>
        <w:t xml:space="preserve"> </w:t>
      </w:r>
      <m:oMath>
        <m:r>
          <m:t>z</m:t>
        </m:r>
        <m:d>
          <m:dPr>
            <m:begChr m:val="("/>
            <m:sepChr m:val=""/>
            <m:endChr m:val=")"/>
            <m:grow/>
          </m:dPr>
          <m:e>
            <m:r>
              <m:rPr>
                <m:sty m:val="b"/>
              </m:rPr>
              <m:t>x</m:t>
            </m:r>
            <m:r>
              <m:rPr>
                <m:sty m:val="p"/>
              </m:rPr>
              <m:t>+</m:t>
            </m:r>
            <m:r>
              <m:rPr>
                <m:sty m:val="b"/>
              </m:rPr>
              <m:t>h</m:t>
            </m:r>
          </m:e>
        </m:d>
      </m:oMath>
      <w:r>
        <w:t xml:space="preserve">, leurs écarts par rapport à la diagonale, le variogramme, la covariance et la corrélation spatiale.</w:t>
      </w:r>
    </w:p>
    <w:bookmarkEnd w:id="92"/>
    <w:bookmarkStart w:id="128" w:name="modèles-mathématiques-admissibles"/>
    <w:p>
      <w:pPr>
        <w:pStyle w:val="Heading2"/>
      </w:pPr>
      <w:r>
        <w:t xml:space="preserve">4 Modèles mathématiques admissibles</w:t>
      </w:r>
    </w:p>
    <w:p>
      <w:pPr>
        <w:pStyle w:val="FirstParagraph"/>
      </w:pPr>
      <w:r>
        <w:t xml:space="preserve">Une fois le variogramme expérimental calculé, il faut lui ajuster un modèle théorique. Ce modèle est une fonction analytique définie pour toute distance et toute direction. Il permet de représenter la structure spatiale au-delà des seules classes du variogramme expérimental et sera utilisé dans les méthodes d’estimation et de simulation.</w:t>
      </w:r>
    </w:p>
    <w:p>
      <w:pPr>
        <w:pStyle w:val="BodyText"/>
      </w:pPr>
      <w:r>
        <w:t xml:space="preserve">Avant de présenter les principaux modèles, il convient de préciser les paramètres qui décrivent un variogramme.</w:t>
      </w:r>
    </w:p>
    <w:bookmarkStart w:id="97" w:name="paramètres-du-variogramme"/>
    <w:p>
      <w:pPr>
        <w:pStyle w:val="Heading3"/>
      </w:pPr>
      <w:r>
        <w:t xml:space="preserve">Paramètres du variogramme</w:t>
      </w:r>
    </w:p>
    <w:p>
      <w:pPr>
        <w:pStyle w:val="FirstParagraph"/>
      </w:pPr>
      <w:r>
        <w:t xml:space="preserve">Dans un cas isotrope, ou en une dimension, un variogramme est généralement décrit à l’aide de trois paramètres principaux :</w:t>
      </w:r>
    </w:p>
    <w:p>
      <w:pPr>
        <w:pStyle w:val="Compact"/>
        <w:numPr>
          <w:ilvl w:val="0"/>
          <w:numId w:val="1014"/>
        </w:numPr>
      </w:pPr>
      <w:r>
        <w:rPr>
          <w:b/>
          <w:bCs/>
        </w:rPr>
        <w:t xml:space="preserve">Effet de pépite</w:t>
      </w:r>
      <w:r>
        <w:t xml:space="preserve"> </w:t>
      </w:r>
      <w:r>
        <w:t xml:space="preserve">(</w:t>
      </w:r>
      <w:r>
        <w:rPr>
          <w:i/>
          <w:iCs/>
        </w:rPr>
        <w:t xml:space="preserve">nugget effect</w:t>
      </w:r>
      <w:r>
        <w:t xml:space="preserve">), noté</w:t>
      </w:r>
      <w:r>
        <w:t xml:space="preserve"> </w:t>
      </w:r>
      <m:oMath>
        <m:sSub>
          <m:e>
            <m:r>
              <m:t>C</m:t>
            </m:r>
          </m:e>
          <m:sub>
            <m:r>
              <m:t>0</m:t>
            </m:r>
          </m:sub>
        </m:sSub>
      </m:oMath>
      <w:r>
        <w:t xml:space="preserve"> </w:t>
      </w:r>
      <w:r>
        <w:t xml:space="preserve">: discontinuité du variogramme à l’origine. Par définition,</w:t>
      </w:r>
      <w:r>
        <w:t xml:space="preserve"> </w:t>
      </w:r>
      <m:oMath>
        <m:r>
          <m:t>γ</m:t>
        </m:r>
        <m:d>
          <m:dPr>
            <m:begChr m:val="("/>
            <m:sepChr m:val=""/>
            <m:endChr m:val=")"/>
            <m:grow/>
          </m:dPr>
          <m:e>
            <m:r>
              <m:rPr>
                <m:sty m:val="b"/>
              </m:rPr>
              <m:t>0</m:t>
            </m:r>
          </m:e>
        </m:d>
        <m:r>
          <m:rPr>
            <m:sty m:val="p"/>
          </m:rPr>
          <m:t>=</m:t>
        </m:r>
        <m:r>
          <m:t>0</m:t>
        </m:r>
      </m:oMath>
      <w:r>
        <w:t xml:space="preserve">, mais, en présence d’un effet de pépite,</w:t>
      </w:r>
    </w:p>
    <w:p>
      <w:pPr>
        <w:pStyle w:val="FirstParagraph"/>
      </w:pPr>
      <m:oMathPara>
        <m:oMathParaPr>
          <m:jc m:val="center"/>
        </m:oMathParaPr>
        <m:oMath>
          <m:limLow>
            <m:e>
              <m:r>
                <m:rPr>
                  <m:sty m:val="p"/>
                </m:rPr>
                <m:t>lim</m:t>
              </m:r>
            </m:e>
            <m:lim>
              <m:m>
                <m:mPr>
                  <m:baseJc m:val="center"/>
                  <m:plcHide m:val="on"/>
                  <m:mcs>
                    <m:mc>
                      <m:mcPr>
                        <m:mcJc m:val="center"/>
                        <m:count m:val="1"/>
                      </m:mcPr>
                    </m:mc>
                  </m:mcs>
                </m:mPr>
                <m:mr>
                  <m:e>
                    <m:r>
                      <m:rPr>
                        <m:sty m:val="b"/>
                      </m:rPr>
                      <m:t>h</m:t>
                    </m:r>
                    <m:r>
                      <m:rPr>
                        <m:sty m:val="p"/>
                      </m:rPr>
                      <m:t>→</m:t>
                    </m:r>
                    <m:r>
                      <m:rPr>
                        <m:sty m:val="b"/>
                      </m:rPr>
                      <m:t>0</m:t>
                    </m:r>
                  </m:e>
                </m:mr>
                <m:mr>
                  <m:e>
                    <m:r>
                      <m:rPr>
                        <m:sty m:val="b"/>
                      </m:rPr>
                      <m:t>h</m:t>
                    </m:r>
                    <m:r>
                      <m:rPr>
                        <m:sty m:val="p"/>
                      </m:rPr>
                      <m:t>≠</m:t>
                    </m:r>
                    <m:r>
                      <m:rPr>
                        <m:sty m:val="b"/>
                      </m:rPr>
                      <m:t>0</m:t>
                    </m:r>
                  </m:e>
                </m:mr>
              </m:m>
            </m:lim>
          </m:limLow>
          <m:r>
            <m:t>γ</m:t>
          </m:r>
          <m:d>
            <m:dPr>
              <m:begChr m:val="("/>
              <m:sepChr m:val=""/>
              <m:endChr m:val=")"/>
              <m:grow/>
            </m:dPr>
            <m:e>
              <m:r>
                <m:rPr>
                  <m:sty m:val="b"/>
                </m:rPr>
                <m:t>h</m:t>
              </m:r>
            </m:e>
          </m:d>
          <m:r>
            <m:rPr>
              <m:sty m:val="p"/>
            </m:rPr>
            <m:t>=</m:t>
          </m:r>
          <m:sSub>
            <m:e>
              <m:r>
                <m:t>C</m:t>
              </m:r>
            </m:e>
            <m:sub>
              <m:r>
                <m:t>0</m:t>
              </m:r>
            </m:sub>
          </m:sSub>
          <m:r>
            <m:rPr>
              <m:sty m:val="p"/>
            </m:rPr>
            <m:t>.</m:t>
          </m:r>
        </m:oMath>
      </m:oMathPara>
    </w:p>
    <w:p>
      <w:pPr>
        <w:pStyle w:val="FirstParagraph"/>
      </w:pPr>
      <w:r>
        <w:t xml:space="preserve">Cette discontinuité peut représenter une variabilité à une échelle plus fine que celle de l’échantillonnage, des erreurs de mesure, ou une combinaison des deux.</w:t>
      </w:r>
    </w:p>
    <w:p>
      <w:pPr>
        <w:pStyle w:val="Compact"/>
        <w:numPr>
          <w:ilvl w:val="0"/>
          <w:numId w:val="1015"/>
        </w:numPr>
      </w:pPr>
      <w:r>
        <w:rPr>
          <w:b/>
          <w:bCs/>
        </w:rPr>
        <w:t xml:space="preserve">Palier total</w:t>
      </w:r>
      <w:r>
        <w:t xml:space="preserve"> </w:t>
      </w:r>
      <w:r>
        <w:t xml:space="preserve">(</w:t>
      </w:r>
      <w:r>
        <w:rPr>
          <w:i/>
          <w:iCs/>
        </w:rPr>
        <w:t xml:space="preserve">total sill</w:t>
      </w:r>
      <w:r>
        <w:t xml:space="preserve">), noté</w:t>
      </w:r>
      <w:r>
        <w:t xml:space="preserve"> </w:t>
      </w:r>
      <m:oMath>
        <m:sSub>
          <m:e>
            <m:r>
              <m:t>C</m:t>
            </m:r>
          </m:e>
          <m:sub>
            <m:r>
              <m:rPr>
                <m:sty m:val="p"/>
              </m:rPr>
              <m:t>t</m:t>
            </m:r>
            <m:r>
              <m:rPr>
                <m:sty m:val="p"/>
              </m:rPr>
              <m:t>o</m:t>
            </m:r>
            <m:r>
              <m:rPr>
                <m:sty m:val="p"/>
              </m:rPr>
              <m:t>t</m:t>
            </m:r>
          </m:sub>
        </m:sSub>
      </m:oMath>
      <w:r>
        <w:t xml:space="preserve"> </w:t>
      </w:r>
      <w:r>
        <w:t xml:space="preserve">: valeur vers laquelle le variogramme tend ou se stabilise lorsque la corrélation spatiale devient négligeable. Pour un modèle emboîté comprenant un effet de pépite et</w:t>
      </w:r>
      <w:r>
        <w:t xml:space="preserve"> </w:t>
      </w:r>
      <m:oMath>
        <m:r>
          <m:t>n</m:t>
        </m:r>
      </m:oMath>
      <w:r>
        <w:t xml:space="preserve"> </w:t>
      </w:r>
      <w:r>
        <w:t xml:space="preserve">structures spatiales,</w:t>
      </w:r>
    </w:p>
    <w:p>
      <w:pPr>
        <w:pStyle w:val="FirstParagraph"/>
      </w:pPr>
      <m:oMathPara>
        <m:oMathParaPr>
          <m:jc m:val="center"/>
        </m:oMathParaPr>
        <m:oMath>
          <m:sSub>
            <m:e>
              <m:r>
                <m:t>C</m:t>
              </m:r>
            </m:e>
            <m:sub>
              <m:r>
                <m:rPr>
                  <m:sty m:val="p"/>
                </m:rPr>
                <m:t>t</m:t>
              </m:r>
              <m:r>
                <m:rPr>
                  <m:sty m:val="p"/>
                </m:rPr>
                <m:t>o</m:t>
              </m:r>
              <m:r>
                <m:rPr>
                  <m:sty m:val="p"/>
                </m:rPr>
                <m:t>t</m:t>
              </m:r>
            </m:sub>
          </m:sSub>
          <m:r>
            <m:rPr>
              <m:sty m:val="p"/>
            </m:rPr>
            <m:t>=</m:t>
          </m:r>
          <m:sSub>
            <m:e>
              <m:r>
                <m:t>C</m:t>
              </m:r>
            </m:e>
            <m:sub>
              <m:r>
                <m:t>0</m:t>
              </m:r>
            </m:sub>
          </m:sSub>
          <m:r>
            <m:rPr>
              <m:sty m:val="p"/>
            </m:rPr>
            <m:t>+</m:t>
          </m:r>
          <m:nary>
            <m:naryPr>
              <m:chr m:val="∑"/>
              <m:limLoc m:val="undOvr"/>
              <m:subHide m:val="off"/>
              <m:supHide m:val="off"/>
            </m:naryPr>
            <m:sub>
              <m:r>
                <m:t>i</m:t>
              </m:r>
              <m:r>
                <m:rPr>
                  <m:sty m:val="p"/>
                </m:rPr>
                <m:t>=</m:t>
              </m:r>
              <m:r>
                <m:t>1</m:t>
              </m:r>
            </m:sub>
            <m:sup>
              <m:r>
                <m:t>n</m:t>
              </m:r>
            </m:sup>
            <m:e>
              <m:sSub>
                <m:e>
                  <m:r>
                    <m:t>C</m:t>
                  </m:r>
                </m:e>
                <m:sub>
                  <m:r>
                    <m:t>i</m:t>
                  </m:r>
                </m:sub>
              </m:sSub>
            </m:e>
          </m:nary>
          <m:r>
            <m:rPr>
              <m:sty m:val="p"/>
            </m:rPr>
            <m:t>,</m:t>
          </m:r>
        </m:oMath>
      </m:oMathPara>
    </w:p>
    <w:p>
      <w:pPr>
        <w:pStyle w:val="FirstParagraph"/>
      </w:pPr>
      <w:r>
        <w:t xml:space="preserve">où les</w:t>
      </w:r>
      <w:r>
        <w:t xml:space="preserve"> </w:t>
      </w:r>
      <m:oMath>
        <m:sSub>
          <m:e>
            <m:r>
              <m:t>C</m:t>
            </m:r>
          </m:e>
          <m:sub>
            <m:r>
              <m:t>i</m:t>
            </m:r>
          </m:sub>
        </m:sSub>
      </m:oMath>
      <w:r>
        <w:t xml:space="preserve"> </w:t>
      </w:r>
      <w:r>
        <w:t xml:space="preserve">sont les paliers partiels des structures.</w:t>
      </w:r>
    </w:p>
    <w:p>
      <w:pPr>
        <w:pStyle w:val="Compact"/>
        <w:numPr>
          <w:ilvl w:val="0"/>
          <w:numId w:val="1016"/>
        </w:numPr>
      </w:pPr>
      <w:r>
        <w:rPr>
          <w:b/>
          <w:bCs/>
        </w:rPr>
        <w:t xml:space="preserve">Portée</w:t>
      </w:r>
      <w:r>
        <w:t xml:space="preserve"> </w:t>
      </w:r>
      <w:r>
        <w:t xml:space="preserve">(</w:t>
      </w:r>
      <w:r>
        <w:rPr>
          <w:i/>
          <w:iCs/>
        </w:rPr>
        <w:t xml:space="preserve">range</w:t>
      </w:r>
      <w:r>
        <w:t xml:space="preserve">) : distance caractérisant l’étendue de la continuité spatiale. Pour un modèle à portée finie, comme le modèle sphérique, elle correspond à la distance à laquelle le palier est atteint. Pour un modèle asymptotique, comme les modèles exponentiel et gaussien, on utilise plutôt une</w:t>
      </w:r>
      <w:r>
        <w:t xml:space="preserve"> </w:t>
      </w:r>
      <w:r>
        <w:rPr>
          <w:b/>
          <w:bCs/>
        </w:rPr>
        <w:t xml:space="preserve">portée effective</w:t>
      </w:r>
      <w:r>
        <w:t xml:space="preserve">, souvent définie comme la distance à laquelle 95 % du palier est atteint.</w:t>
      </w:r>
    </w:p>
    <w:p>
      <w:pPr>
        <w:pStyle w:val="FirstParagraph"/>
      </w:pPr>
      <w:r>
        <w:t xml:space="preserve">Dans un modèle isotrope, ces paramètres sont identiques dans toutes les directions. En deux ou trois dimensions, la continuité peut toutefois varier selon l’orientation. Le modèle doit alors comprendre des portées directionnelles et les angles qui définissent les axes principaux de l’anisotropie.</w:t>
      </w:r>
    </w:p>
    <w:tbl>
      <w:tblPr>
        <w:tblStyle w:val="Table"/>
        <w:tblW w:type="pct" w:w="5000"/>
        <w:tblLayout w:type="fixed"/>
        <w:tblLook w:firstRow="0" w:lastRow="0" w:firstColumn="0" w:lastColumn="0" w:noHBand="0" w:noVBand="0" w:val="0000"/>
      </w:tblPr>
      <w:tblGrid>
        <w:gridCol w:w="7920"/>
      </w:tblGrid>
      <w:tr>
        <w:tc>
          <w:tcPr/>
          <w:bookmarkStart w:id="96" w:name="fig-varioparam"/>
          <w:p>
            <w:pPr>
              <w:pStyle w:val="Compact"/>
              <w:jc w:val="center"/>
            </w:pPr>
            <w:r>
              <w:drawing>
                <wp:inline>
                  <wp:extent cx="4738254" cy="3222780"/>
                  <wp:effectExtent b="0" l="0" r="0" t="0"/>
                  <wp:docPr descr="" title="" id="94" name="Picture"/>
                  <a:graphic>
                    <a:graphicData uri="http://schemas.openxmlformats.org/drawingml/2006/picture">
                      <pic:pic>
                        <pic:nvPicPr>
                          <pic:cNvPr descr="images/C7_Variogramme.PNG" id="95" name="Picture"/>
                          <pic:cNvPicPr>
                            <a:picLocks noChangeArrowheads="1" noChangeAspect="1"/>
                          </pic:cNvPicPr>
                        </pic:nvPicPr>
                        <pic:blipFill>
                          <a:blip r:embed="rId93"/>
                          <a:stretch>
                            <a:fillRect/>
                          </a:stretch>
                        </pic:blipFill>
                        <pic:spPr bwMode="auto">
                          <a:xfrm>
                            <a:off x="0" y="0"/>
                            <a:ext cx="4738254" cy="322278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Représentation des principaux paramètres d’un variogramme théorique dans un cas isotrope.</w:t>
            </w:r>
          </w:p>
          <w:bookmarkEnd w:id="96"/>
        </w:tc>
      </w:tr>
    </w:tbl>
    <w:bookmarkEnd w:id="97"/>
    <w:bookmarkStart w:id="100" w:name="conditions-dadmissibilité-des-modèles"/>
    <w:p>
      <w:pPr>
        <w:pStyle w:val="Heading3"/>
      </w:pPr>
      <w:r>
        <w:t xml:space="preserve">Conditions d’admissibilité des modèles</w:t>
      </w:r>
    </w:p>
    <w:p>
      <w:pPr>
        <w:pStyle w:val="FirstParagraph"/>
      </w:pPr>
      <w:r>
        <w:t xml:space="preserve">Toute fonction croissante ne peut pas être utilisée comme modèle de variogramme. Le modèle doit respecter des conditions mathématiques qui garantissent la cohérence des variances et des systèmes de krigeage.</w:t>
      </w:r>
    </w:p>
    <w:bookmarkStart w:id="98" w:name="admissibilité-dune-covariance"/>
    <w:p>
      <w:pPr>
        <w:pStyle w:val="Heading4"/>
      </w:pPr>
      <w:r>
        <w:t xml:space="preserve">Admissibilité d’une covariance</w:t>
      </w:r>
    </w:p>
    <w:p>
      <w:pPr>
        <w:pStyle w:val="FirstParagraph"/>
      </w:pPr>
      <w:r>
        <w:t xml:space="preserve">Considérons une combinaison linéaire de variables aléatoires :</w:t>
      </w:r>
    </w:p>
    <w:p>
      <w:pPr>
        <w:pStyle w:val="BodyText"/>
      </w:pPr>
      <m:oMathPara>
        <m:oMathParaPr>
          <m:jc m:val="center"/>
        </m:oMathParaPr>
        <m:oMath>
          <m:r>
            <m:t>L</m:t>
          </m:r>
          <m:r>
            <m:rPr>
              <m:sty m:val="p"/>
            </m:rPr>
            <m:t>=</m:t>
          </m:r>
          <m:nary>
            <m:naryPr>
              <m:chr m:val="∑"/>
              <m:limLoc m:val="undOvr"/>
              <m:subHide m:val="off"/>
              <m:supHide m:val="off"/>
            </m:naryPr>
            <m:sub>
              <m:r>
                <m:t>i</m:t>
              </m:r>
              <m:r>
                <m:rPr>
                  <m:sty m:val="p"/>
                </m:rPr>
                <m:t>=</m:t>
              </m:r>
              <m:r>
                <m:t>1</m:t>
              </m:r>
            </m:sub>
            <m:sup>
              <m:r>
                <m:t>n</m:t>
              </m:r>
            </m:sup>
            <m:e>
              <m:sSub>
                <m:e>
                  <m:r>
                    <m:t>λ</m:t>
                  </m:r>
                </m:e>
                <m:sub>
                  <m:r>
                    <m:t>i</m:t>
                  </m:r>
                </m:sub>
              </m:sSub>
            </m:e>
          </m:nary>
          <m:r>
            <m:t>Z</m:t>
          </m:r>
          <m:d>
            <m:dPr>
              <m:begChr m:val="("/>
              <m:sepChr m:val=""/>
              <m:endChr m:val=")"/>
              <m:grow/>
            </m:dPr>
            <m:e>
              <m:sSub>
                <m:e>
                  <m:r>
                    <m:rPr>
                      <m:sty m:val="b"/>
                    </m:rPr>
                    <m:t>x</m:t>
                  </m:r>
                </m:e>
                <m:sub>
                  <m:r>
                    <m:t>i</m:t>
                  </m:r>
                </m:sub>
              </m:sSub>
            </m:e>
          </m:d>
          <m:r>
            <m:rPr>
              <m:sty m:val="p"/>
            </m:rPr>
            <m:t>.</m:t>
          </m:r>
        </m:oMath>
      </m:oMathPara>
    </w:p>
    <w:p>
      <w:pPr>
        <w:pStyle w:val="FirstParagraph"/>
      </w:pPr>
      <w:r>
        <w:t xml:space="preserve">Sa variance doit être positive ou nulle :</w:t>
      </w:r>
    </w:p>
    <w:p>
      <w:pPr>
        <w:pStyle w:val="BodyText"/>
      </w:pPr>
      <m:oMathPara>
        <m:oMathParaPr>
          <m:jc m:val="center"/>
        </m:oMathParaPr>
        <m:oMath>
          <m:r>
            <m:rPr>
              <m:sty m:val="p"/>
            </m:rPr>
            <m:t>Var</m:t>
          </m:r>
          <m:d>
            <m:dPr>
              <m:begChr m:val="("/>
              <m:sepChr m:val=""/>
              <m:endChr m:val=")"/>
              <m:grow/>
            </m:dPr>
            <m:e>
              <m:r>
                <m:t>L</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λ</m:t>
                      </m:r>
                    </m:e>
                    <m:sub>
                      <m:r>
                        <m:t>i</m:t>
                      </m:r>
                    </m:sub>
                  </m:sSub>
                </m:e>
              </m:nary>
            </m:e>
          </m:nary>
          <m:sSub>
            <m:e>
              <m:r>
                <m:t>λ</m:t>
              </m:r>
            </m:e>
            <m:sub>
              <m:r>
                <m:t>j</m:t>
              </m:r>
            </m:sub>
          </m:sSub>
          <m:r>
            <m:t>C</m:t>
          </m:r>
          <m:d>
            <m:dPr>
              <m:begChr m:val="("/>
              <m:sepChr m:val=""/>
              <m:endChr m:val=")"/>
              <m:grow/>
            </m:dPr>
            <m:e>
              <m:sSub>
                <m:e>
                  <m:r>
                    <m:rPr>
                      <m:sty m:val="b"/>
                    </m:rPr>
                    <m:t>x</m:t>
                  </m:r>
                </m:e>
                <m:sub>
                  <m:r>
                    <m:t>i</m:t>
                  </m:r>
                </m:sub>
              </m:sSub>
              <m:r>
                <m:rPr>
                  <m:sty m:val="p"/>
                </m:rPr>
                <m:t>−</m:t>
              </m:r>
              <m:sSub>
                <m:e>
                  <m:r>
                    <m:rPr>
                      <m:sty m:val="b"/>
                    </m:rPr>
                    <m:t>x</m:t>
                  </m:r>
                </m:e>
                <m:sub>
                  <m:r>
                    <m:t>j</m:t>
                  </m:r>
                </m:sub>
              </m:sSub>
            </m:e>
          </m:d>
          <m:r>
            <m:rPr>
              <m:sty m:val="p"/>
            </m:rPr>
            <m:t>≥</m:t>
          </m:r>
          <m:r>
            <m:t>0</m:t>
          </m:r>
          <m:r>
            <m:rPr>
              <m:sty m:val="p"/>
            </m:rPr>
            <m:t>.</m:t>
          </m:r>
        </m:oMath>
      </m:oMathPara>
    </w:p>
    <w:p>
      <w:pPr>
        <w:pStyle w:val="FirstParagraph"/>
      </w:pPr>
      <w:r>
        <w:t xml:space="preserve">La fonction de covariance</w:t>
      </w:r>
      <w:r>
        <w:t xml:space="preserve"> </w:t>
      </w:r>
      <m:oMath>
        <m:r>
          <m:t>C</m:t>
        </m:r>
        <m:d>
          <m:dPr>
            <m:begChr m:val="("/>
            <m:sepChr m:val=""/>
            <m:endChr m:val=")"/>
            <m:grow/>
          </m:dPr>
          <m:e>
            <m:r>
              <m:rPr>
                <m:sty m:val="b"/>
              </m:rPr>
              <m:t>h</m:t>
            </m:r>
          </m:e>
        </m:d>
      </m:oMath>
      <w:r>
        <w:t xml:space="preserve"> </w:t>
      </w:r>
      <w:r>
        <w:t xml:space="preserve">doit donc être</w:t>
      </w:r>
      <w:r>
        <w:t xml:space="preserve"> </w:t>
      </w:r>
      <w:r>
        <w:rPr>
          <w:b/>
          <w:bCs/>
        </w:rPr>
        <w:t xml:space="preserve">définie positive</w:t>
      </w:r>
      <w:r>
        <w:t xml:space="preserve">.</w:t>
      </w:r>
    </w:p>
    <w:bookmarkEnd w:id="98"/>
    <w:bookmarkStart w:id="99" w:name="admissibilité-dun-variogramme"/>
    <w:p>
      <w:pPr>
        <w:pStyle w:val="Heading4"/>
      </w:pPr>
      <w:r>
        <w:t xml:space="preserve">Admissibilité d’un variogramme</w:t>
      </w:r>
    </w:p>
    <w:p>
      <w:pPr>
        <w:pStyle w:val="FirstParagraph"/>
      </w:pPr>
      <w:r>
        <w:t xml:space="preserve">Dans le cadre intrinsèque, la covariance n’est pas nécessairement définie. On travaille alors directement avec le variogramme. Pour tout ensemble de coefficients dont la somme est nulle,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λ</m:t>
                  </m:r>
                </m:e>
                <m:sub>
                  <m:r>
                    <m:t>i</m:t>
                  </m:r>
                </m:sub>
              </m:sSub>
            </m:e>
          </m:nary>
          <m:r>
            <m:rPr>
              <m:sty m:val="p"/>
            </m:rPr>
            <m:t>=</m:t>
          </m:r>
          <m:r>
            <m:t>0</m:t>
          </m:r>
          <m:r>
            <m:rPr>
              <m:sty m:val="p"/>
            </m:rPr>
            <m:t>,</m:t>
          </m:r>
        </m:oMath>
      </m:oMathPara>
    </w:p>
    <w:p>
      <w:pPr>
        <w:pStyle w:val="FirstParagraph"/>
      </w:pPr>
      <w:r>
        <w:t xml:space="preserve">le variogramme doit satisfaire :</w:t>
      </w:r>
    </w:p>
    <w:p>
      <w:pPr>
        <w:pStyle w:val="BodyText"/>
      </w:pPr>
      <m:oMathPara>
        <m:oMathParaPr>
          <m:jc m:val="center"/>
        </m:oMathParaPr>
        <m:oMath>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λ</m:t>
                      </m:r>
                    </m:e>
                    <m:sub>
                      <m:r>
                        <m:t>i</m:t>
                      </m:r>
                    </m:sub>
                  </m:sSub>
                </m:e>
              </m:nary>
            </m:e>
          </m:nary>
          <m:sSub>
            <m:e>
              <m:r>
                <m:t>λ</m:t>
              </m:r>
            </m:e>
            <m:sub>
              <m:r>
                <m:t>j</m:t>
              </m:r>
            </m:sub>
          </m:sSub>
          <m:r>
            <m:t>γ</m:t>
          </m:r>
          <m:d>
            <m:dPr>
              <m:begChr m:val="("/>
              <m:sepChr m:val=""/>
              <m:endChr m:val=")"/>
              <m:grow/>
            </m:dPr>
            <m:e>
              <m:sSub>
                <m:e>
                  <m:r>
                    <m:rPr>
                      <m:sty m:val="b"/>
                    </m:rPr>
                    <m:t>x</m:t>
                  </m:r>
                </m:e>
                <m:sub>
                  <m:r>
                    <m:t>i</m:t>
                  </m:r>
                </m:sub>
              </m:sSub>
              <m:r>
                <m:rPr>
                  <m:sty m:val="p"/>
                </m:rPr>
                <m:t>−</m:t>
              </m:r>
              <m:sSub>
                <m:e>
                  <m:r>
                    <m:rPr>
                      <m:sty m:val="b"/>
                    </m:rPr>
                    <m:t>x</m:t>
                  </m:r>
                </m:e>
                <m:sub>
                  <m:r>
                    <m:t>j</m:t>
                  </m:r>
                </m:sub>
              </m:sSub>
            </m:e>
          </m:d>
          <m:r>
            <m:rPr>
              <m:sty m:val="p"/>
            </m:rPr>
            <m:t>≤</m:t>
          </m:r>
          <m:r>
            <m:t>0</m:t>
          </m:r>
          <m:r>
            <m:rPr>
              <m:sty m:val="p"/>
            </m:rPr>
            <m:t>.</m:t>
          </m:r>
        </m:oMath>
      </m:oMathPara>
    </w:p>
    <w:p>
      <w:pPr>
        <w:pStyle w:val="FirstParagraph"/>
      </w:pPr>
      <w:r>
        <w:t xml:space="preserve">Le variogramme est alors dit</w:t>
      </w:r>
      <w:r>
        <w:t xml:space="preserve"> </w:t>
      </w:r>
      <w:r>
        <w:rPr>
          <w:b/>
          <w:bCs/>
        </w:rPr>
        <w:t xml:space="preserve">conditionnellement négatif semi-défini</w:t>
      </w:r>
      <w:r>
        <w:t xml:space="preserve">.</w:t>
      </w:r>
    </w:p>
    <w:p>
      <w:pPr>
        <w:pStyle w:val="BodyText"/>
      </w:pPr>
      <w:r>
        <w:t xml:space="preserve">Lorsque la covariance existe, les deux formulations sont équivalentes. En utilisant</w:t>
      </w:r>
    </w:p>
    <w:p>
      <w:pPr>
        <w:pStyle w:val="BodyText"/>
      </w:pPr>
      <m:oMathPara>
        <m:oMathParaPr>
          <m:jc m:val="center"/>
        </m:oMathParaPr>
        <m:oMath>
          <m:r>
            <m:t>γ</m:t>
          </m:r>
          <m:d>
            <m:dPr>
              <m:begChr m:val="("/>
              <m:sepChr m:val=""/>
              <m:endChr m:val=")"/>
              <m:grow/>
            </m:dPr>
            <m:e>
              <m:r>
                <m:rPr>
                  <m:sty m:val="b"/>
                </m:rPr>
                <m:t>h</m:t>
              </m:r>
            </m:e>
          </m:d>
          <m:r>
            <m:rPr>
              <m:sty m:val="p"/>
            </m:rPr>
            <m:t>=</m:t>
          </m:r>
          <m:r>
            <m:t>C</m:t>
          </m:r>
          <m:d>
            <m:dPr>
              <m:begChr m:val="("/>
              <m:sepChr m:val=""/>
              <m:endChr m:val=")"/>
              <m:grow/>
            </m:dPr>
            <m:e>
              <m:r>
                <m:rPr>
                  <m:sty m:val="b"/>
                </m:rPr>
                <m:t>0</m:t>
              </m:r>
            </m:e>
          </m:d>
          <m:r>
            <m:rPr>
              <m:sty m:val="p"/>
            </m:rPr>
            <m:t>−</m:t>
          </m:r>
          <m:r>
            <m:t>C</m:t>
          </m:r>
          <m:d>
            <m:dPr>
              <m:begChr m:val="("/>
              <m:sepChr m:val=""/>
              <m:endChr m:val=")"/>
              <m:grow/>
            </m:dPr>
            <m:e>
              <m:r>
                <m:rPr>
                  <m:sty m:val="b"/>
                </m:rPr>
                <m:t>h</m:t>
              </m:r>
            </m:e>
          </m:d>
          <m:r>
            <m:rPr>
              <m:sty m:val="p"/>
            </m:rPr>
            <m:t>,</m:t>
          </m:r>
        </m:oMath>
      </m:oMathPara>
    </w:p>
    <w:p>
      <w:pPr>
        <w:pStyle w:val="FirstParagraph"/>
      </w:pPr>
      <w:r>
        <w:t xml:space="preserve">le terme constant</w:t>
      </w:r>
      <w:r>
        <w:t xml:space="preserve"> </w:t>
      </w:r>
      <m:oMath>
        <m:r>
          <m:t>C</m:t>
        </m:r>
        <m:d>
          <m:dPr>
            <m:begChr m:val="("/>
            <m:sepChr m:val=""/>
            <m:endChr m:val=")"/>
            <m:grow/>
          </m:dPr>
          <m:e>
            <m:r>
              <m:rPr>
                <m:sty m:val="b"/>
              </m:rPr>
              <m:t>0</m:t>
            </m:r>
          </m:e>
        </m:d>
      </m:oMath>
      <w:r>
        <w:t xml:space="preserve"> </w:t>
      </w:r>
      <w:r>
        <w:t xml:space="preserve">disparaît lorsque la somme des poids est nulle.</w:t>
      </w:r>
    </w:p>
    <w:p>
      <w:pPr>
        <w:pStyle w:val="BodyText"/>
      </w:pPr>
      <w:r>
        <w:t xml:space="preserve">En pratique, l’admissibilité n’est généralement pas vérifiée directement. On utilise des familles de modèles dont la validité est connue. Les propriétés suivantes sont notamment utiles :</w:t>
      </w:r>
    </w:p>
    <w:p>
      <w:pPr>
        <w:pStyle w:val="Compact"/>
        <w:numPr>
          <w:ilvl w:val="0"/>
          <w:numId w:val="1017"/>
        </w:numPr>
      </w:pPr>
      <w:r>
        <w:t xml:space="preserve">une somme de modèles de variogramme admissibles, avec des coefficients positifs, demeure admissible;</w:t>
      </w:r>
    </w:p>
    <w:p>
      <w:pPr>
        <w:pStyle w:val="Compact"/>
        <w:numPr>
          <w:ilvl w:val="0"/>
          <w:numId w:val="1017"/>
        </w:numPr>
      </w:pPr>
      <w:r>
        <w:t xml:space="preserve">une somme de modèles de covariance admissibles, avec des coefficients positifs, demeure admissible;</w:t>
      </w:r>
    </w:p>
    <w:p>
      <w:pPr>
        <w:pStyle w:val="Compact"/>
        <w:numPr>
          <w:ilvl w:val="0"/>
          <w:numId w:val="1017"/>
        </w:numPr>
      </w:pPr>
      <w:r>
        <w:t xml:space="preserve">un produit de modèles de covariance admissibles demeure admissible;</w:t>
      </w:r>
    </w:p>
    <w:p>
      <w:pPr>
        <w:pStyle w:val="Compact"/>
        <w:numPr>
          <w:ilvl w:val="0"/>
          <w:numId w:val="1017"/>
        </w:numPr>
      </w:pPr>
      <w:r>
        <w:t xml:space="preserve">chaque structure d’un modèle emboîté peut posséder ses propres paramètres et sa propre anisotropie.</w:t>
      </w:r>
    </w:p>
    <w:p>
      <w:pPr>
        <w:pStyle w:val="FirstParagraph"/>
      </w:pPr>
      <w:r>
        <w:t xml:space="preserve">L’admissibilité dépend aussi de la dimension. Un modèle valide en trois dimensions l’est également dans les dimensions inférieures, mais un modèle valide uniquement en une dimension n’est pas nécessairement admissible en deux ou trois dimensions.</w:t>
      </w:r>
    </w:p>
    <w:bookmarkEnd w:id="99"/>
    <w:bookmarkEnd w:id="100"/>
    <w:bookmarkStart w:id="127" w:name="modèles-classiques-de-variogramme"/>
    <w:p>
      <w:pPr>
        <w:pStyle w:val="Heading3"/>
      </w:pPr>
      <w:r>
        <w:t xml:space="preserve">Modèles classiques de variogramme</w:t>
      </w:r>
    </w:p>
    <w:p>
      <w:pPr>
        <w:pStyle w:val="FirstParagraph"/>
      </w:pPr>
      <w:r>
        <w:t xml:space="preserve">Les modèles suivants sont couramment utilisés en géostatistique. Dans les modèles stationnaires, le variogramme et la covariance sont liés par :</w:t>
      </w:r>
    </w:p>
    <w:p>
      <w:pPr>
        <w:pStyle w:val="BodyText"/>
      </w:pPr>
      <m:oMathPara>
        <m:oMathParaPr>
          <m:jc m:val="center"/>
        </m:oMathParaPr>
        <m:oMath>
          <m:r>
            <m:t>γ</m:t>
          </m:r>
          <m:d>
            <m:dPr>
              <m:begChr m:val="("/>
              <m:sepChr m:val=""/>
              <m:endChr m:val=")"/>
              <m:grow/>
            </m:dPr>
            <m:e>
              <m:r>
                <m:rPr>
                  <m:sty m:val="b"/>
                </m:rPr>
                <m:t>h</m:t>
              </m:r>
            </m:e>
          </m:d>
          <m:r>
            <m:rPr>
              <m:sty m:val="p"/>
            </m:rPr>
            <m:t>=</m:t>
          </m:r>
          <m:r>
            <m:t>C</m:t>
          </m:r>
          <m:d>
            <m:dPr>
              <m:begChr m:val="("/>
              <m:sepChr m:val=""/>
              <m:endChr m:val=")"/>
              <m:grow/>
            </m:dPr>
            <m:e>
              <m:r>
                <m:rPr>
                  <m:sty m:val="b"/>
                </m:rPr>
                <m:t>0</m:t>
              </m:r>
            </m:e>
          </m:d>
          <m:r>
            <m:rPr>
              <m:sty m:val="p"/>
            </m:rPr>
            <m:t>−</m:t>
          </m:r>
          <m:r>
            <m:t>C</m:t>
          </m:r>
          <m:d>
            <m:dPr>
              <m:begChr m:val="("/>
              <m:sepChr m:val=""/>
              <m:endChr m:val=")"/>
              <m:grow/>
            </m:dPr>
            <m:e>
              <m:r>
                <m:rPr>
                  <m:sty m:val="b"/>
                </m:rPr>
                <m:t>h</m:t>
              </m:r>
            </m:e>
          </m:d>
          <m:r>
            <m:rPr>
              <m:sty m:val="p"/>
            </m:rPr>
            <m:t>.</m:t>
          </m:r>
        </m:oMath>
      </m:oMathPara>
    </w:p>
    <w:p>
      <w:pPr>
        <w:pStyle w:val="FirstParagraph"/>
      </w:pPr>
      <w:r>
        <w:t xml:space="preserve">Dans les équations ci-dessous,</w:t>
      </w:r>
      <w:r>
        <w:t xml:space="preserve"> </w:t>
      </w:r>
      <m:oMath>
        <m:r>
          <m:t>C</m:t>
        </m:r>
      </m:oMath>
      <w:r>
        <w:t xml:space="preserve"> </w:t>
      </w:r>
      <w:r>
        <w:t xml:space="preserve">représente le palier partiel de la structure considérée. Un effet de pépite</w:t>
      </w:r>
      <w:r>
        <w:t xml:space="preserve"> </w:t>
      </w:r>
      <m:oMath>
        <m:sSub>
          <m:e>
            <m:r>
              <m:t>C</m:t>
            </m:r>
          </m:e>
          <m:sub>
            <m:r>
              <m:t>0</m:t>
            </m:r>
          </m:sub>
        </m:sSub>
      </m:oMath>
      <w:r>
        <w:t xml:space="preserve"> </w:t>
      </w:r>
      <w:r>
        <w:t xml:space="preserve">peut être ajouté séparément au modèle.</w:t>
      </w:r>
    </w:p>
    <w:bookmarkStart w:id="103" w:name="effet-de-pépite-pur"/>
    <w:p>
      <w:pPr>
        <w:pStyle w:val="Heading4"/>
      </w:pPr>
      <w:r>
        <w:t xml:space="preserve">Effet de pépite pur</w:t>
      </w:r>
    </w:p>
    <w:p>
      <w:pPr>
        <w:pStyle w:val="FirstParagraph"/>
      </w:pPr>
      <w:r>
        <w:t xml:space="preserve">Le modèle de pépite pure est défini par :</w:t>
      </w:r>
    </w:p>
    <w:p>
      <w:pPr>
        <w:pStyle w:val="BodyText"/>
      </w:pPr>
      <m:oMathPara>
        <m:oMathParaPr>
          <m:jc m:val="center"/>
        </m:oMathParaPr>
        <m:oMath>
          <m:r>
            <m:t>γ</m:t>
          </m:r>
          <m:d>
            <m:dPr>
              <m:begChr m:val="("/>
              <m:sepChr m:val=""/>
              <m:endChr m:val=")"/>
              <m:grow/>
            </m:dPr>
            <m:e>
              <m:r>
                <m:rPr>
                  <m:sty m:val="b"/>
                </m:rPr>
                <m:t>h</m:t>
              </m:r>
            </m:e>
          </m:d>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nor/>
                        <m:sty m:val="p"/>
                      </m:rPr>
                      <m:t>si </m:t>
                    </m:r>
                    <m:r>
                      <m:rPr>
                        <m:sty m:val="b"/>
                      </m:rPr>
                      <m:t>h</m:t>
                    </m:r>
                    <m:r>
                      <m:rPr>
                        <m:sty m:val="p"/>
                      </m:rPr>
                      <m:t>=</m:t>
                    </m:r>
                    <m:r>
                      <m:rPr>
                        <m:sty m:val="b"/>
                      </m:rPr>
                      <m:t>0</m:t>
                    </m:r>
                    <m:r>
                      <m:rPr>
                        <m:sty m:val="p"/>
                      </m:rPr>
                      <m:t>,</m:t>
                    </m:r>
                  </m:e>
                </m:mr>
                <m:mr>
                  <m:e>
                    <m:sSub>
                      <m:e>
                        <m:r>
                          <m:t>C</m:t>
                        </m:r>
                      </m:e>
                      <m:sub>
                        <m:r>
                          <m:t>0</m:t>
                        </m:r>
                      </m:sub>
                    </m:sSub>
                    <m:r>
                      <m:rPr>
                        <m:sty m:val="p"/>
                      </m:rPr>
                      <m:t>,</m:t>
                    </m:r>
                  </m:e>
                  <m:e>
                    <m:r>
                      <m:rPr>
                        <m:nor/>
                        <m:sty m:val="p"/>
                      </m:rPr>
                      <m:t>si </m:t>
                    </m:r>
                    <m:r>
                      <m:rPr>
                        <m:sty m:val="b"/>
                      </m:rPr>
                      <m:t>h</m:t>
                    </m:r>
                    <m:r>
                      <m:rPr>
                        <m:sty m:val="p"/>
                      </m:rPr>
                      <m:t>≠</m:t>
                    </m:r>
                    <m:r>
                      <m:rPr>
                        <m:sty m:val="b"/>
                      </m:rPr>
                      <m:t>0</m:t>
                    </m:r>
                    <m:r>
                      <m:rPr>
                        <m:sty m:val="p"/>
                      </m:rPr>
                      <m:t>.</m:t>
                    </m:r>
                  </m:e>
                </m:mr>
              </m:m>
            </m:e>
          </m:d>
        </m:oMath>
      </m:oMathPara>
    </w:p>
    <w:p>
      <w:pPr>
        <w:pStyle w:val="FirstParagraph"/>
      </w:pPr>
      <w:r>
        <w:t xml:space="preserve">La covariance correspondante est :</w:t>
      </w:r>
    </w:p>
    <w:p>
      <w:pPr>
        <w:pStyle w:val="BodyText"/>
      </w:pPr>
      <m:oMathPara>
        <m:oMathParaPr>
          <m:jc m:val="center"/>
        </m:oMathParaPr>
        <m:oMath>
          <m:r>
            <m:t>C</m:t>
          </m:r>
          <m:d>
            <m:dPr>
              <m:begChr m:val="("/>
              <m:sepChr m:val=""/>
              <m:endChr m:val=")"/>
              <m:grow/>
            </m:dPr>
            <m:e>
              <m:r>
                <m:rPr>
                  <m:sty m:val="b"/>
                </m:rPr>
                <m:t>h</m:t>
              </m:r>
            </m:e>
          </m:d>
          <m:r>
            <m:rPr>
              <m:sty m:val="p"/>
            </m:rPr>
            <m:t>=</m:t>
          </m:r>
          <m:d>
            <m:dPr>
              <m:begChr m:val="{"/>
              <m:sepChr m:val=""/>
              <m:endChr m:val=""/>
              <m:grow/>
            </m:dPr>
            <m:e>
              <m:m>
                <m:mPr>
                  <m:baseJc m:val="center"/>
                  <m:plcHide m:val="on"/>
                  <m:mcs>
                    <m:mc>
                      <m:mcPr>
                        <m:mcJc m:val="left"/>
                        <m:count m:val="1"/>
                      </m:mcPr>
                    </m:mc>
                    <m:mc>
                      <m:mcPr>
                        <m:mcJc m:val="left"/>
                        <m:count m:val="1"/>
                      </m:mcPr>
                    </m:mc>
                  </m:mcs>
                </m:mPr>
                <m:mr>
                  <m:e>
                    <m:sSub>
                      <m:e>
                        <m:r>
                          <m:t>C</m:t>
                        </m:r>
                      </m:e>
                      <m:sub>
                        <m:r>
                          <m:t>0</m:t>
                        </m:r>
                      </m:sub>
                    </m:sSub>
                    <m:r>
                      <m:rPr>
                        <m:sty m:val="p"/>
                      </m:rPr>
                      <m:t>,</m:t>
                    </m:r>
                  </m:e>
                  <m:e>
                    <m:r>
                      <m:rPr>
                        <m:nor/>
                        <m:sty m:val="p"/>
                      </m:rPr>
                      <m:t>si </m:t>
                    </m:r>
                    <m:r>
                      <m:rPr>
                        <m:sty m:val="b"/>
                      </m:rPr>
                      <m:t>h</m:t>
                    </m:r>
                    <m:r>
                      <m:rPr>
                        <m:sty m:val="p"/>
                      </m:rPr>
                      <m:t>=</m:t>
                    </m:r>
                    <m:r>
                      <m:rPr>
                        <m:sty m:val="b"/>
                      </m:rPr>
                      <m:t>0</m:t>
                    </m:r>
                    <m:r>
                      <m:rPr>
                        <m:sty m:val="p"/>
                      </m:rPr>
                      <m:t>,</m:t>
                    </m:r>
                  </m:e>
                </m:mr>
                <m:mr>
                  <m:e>
                    <m:r>
                      <m:t>0</m:t>
                    </m:r>
                    <m:r>
                      <m:rPr>
                        <m:sty m:val="p"/>
                      </m:rPr>
                      <m:t>,</m:t>
                    </m:r>
                  </m:e>
                  <m:e>
                    <m:r>
                      <m:rPr>
                        <m:nor/>
                        <m:sty m:val="p"/>
                      </m:rPr>
                      <m:t>si </m:t>
                    </m:r>
                    <m:r>
                      <m:rPr>
                        <m:sty m:val="b"/>
                      </m:rPr>
                      <m:t>h</m:t>
                    </m:r>
                    <m:r>
                      <m:rPr>
                        <m:sty m:val="p"/>
                      </m:rPr>
                      <m:t>≠</m:t>
                    </m:r>
                    <m:r>
                      <m:rPr>
                        <m:sty m:val="b"/>
                      </m:rPr>
                      <m:t>0</m:t>
                    </m:r>
                    <m:r>
                      <m:rPr>
                        <m:sty m:val="p"/>
                      </m:rPr>
                      <m:t>.</m:t>
                    </m:r>
                  </m:e>
                </m:mr>
              </m:m>
            </m:e>
          </m:d>
        </m:oMath>
      </m:oMathPara>
    </w:p>
    <w:p>
      <w:pPr>
        <w:pStyle w:val="FirstParagraph"/>
      </w:pPr>
      <w:r>
        <w:t xml:space="preserve">Deux positions distinctes ne présentent alors aucune covariance spatiale. Ce modèle représente un bruit spatial non corrélé ou une variabilité entièrement située sous l’échelle d’observation.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C:\Users\danyl\AppData\Local\Programs\Quarto\share\formats\docx\important.png" id="10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Effet de pépite</w:t>
            </w:r>
          </w:p>
        </w:tc>
      </w:tr>
      <w:tr>
        <w:trPr>
          <w:cantSplit/>
        </w:trPr>
        <w:tc>
          <w:tcPr>
            <w:tcMar>
              <w:top w:w="108" w:type="dxa"/>
              <w:bottom w:w="108" w:type="dxa"/>
            </w:tcMar>
          </w:tcPr>
          <w:p>
            <w:pPr>
              <w:pStyle w:val="BodyText"/>
            </w:pPr>
            <w:pPr>
              <w:spacing w:before="16" w:after="16"/>
            </w:pPr>
            <w:r>
              <w:t xml:space="preserve">L’effet de pépite n’est pas la valeur du variogramme exactement à l’origine. Le variogramme satisfait toujours</w:t>
            </w:r>
            <w:r>
              <w:t xml:space="preserve"> </w:t>
            </w:r>
            <m:oMath>
              <m:r>
                <m:t>γ</m:t>
              </m:r>
              <m:d>
                <m:dPr>
                  <m:begChr m:val="("/>
                  <m:sepChr m:val=""/>
                  <m:endChr m:val=")"/>
                  <m:grow/>
                </m:dPr>
                <m:e>
                  <m:r>
                    <m:rPr>
                      <m:sty m:val="b"/>
                    </m:rPr>
                    <m:t>0</m:t>
                  </m:r>
                </m:e>
              </m:d>
              <m:r>
                <m:rPr>
                  <m:sty m:val="p"/>
                </m:rPr>
                <m:t>=</m:t>
              </m:r>
              <m:r>
                <m:t>0</m:t>
              </m:r>
            </m:oMath>
            <w:r>
              <w:t xml:space="preserve">. L’effet de pépite correspond au saut entre cette valeur et le variogramme observé pour une distance non nulle tendant vers zéro.</w:t>
            </w:r>
          </w:p>
          <w:p/>
        </w:tc>
      </w:tr>
    </w:tbl>
    <w:bookmarkEnd w:id="103"/>
    <w:bookmarkStart w:id="104" w:name="modèle-sphérique"/>
    <w:p>
      <w:pPr>
        <w:pStyle w:val="Heading4"/>
      </w:pPr>
      <w:r>
        <w:t xml:space="preserve">Modèle sphérique</w:t>
      </w:r>
    </w:p>
    <w:p>
      <w:pPr>
        <w:pStyle w:val="FirstParagraph"/>
      </w:pPr>
      <w:r>
        <w:t xml:space="preserve">Le modèle sphérique s’écrit :</w:t>
      </w:r>
    </w:p>
    <w:p>
      <w:pPr>
        <w:pStyle w:val="BodyText"/>
      </w:pPr>
      <m:oMathPara>
        <m:oMathParaPr>
          <m:jc m:val="center"/>
        </m:oMathParaPr>
        <m:oMath>
          <m:r>
            <m:t>γ</m:t>
          </m:r>
          <m:d>
            <m:dPr>
              <m:begChr m:val="("/>
              <m:sepChr m:val=""/>
              <m:endChr m:val=")"/>
              <m:grow/>
            </m:dPr>
            <m:e>
              <m:r>
                <m:t>h</m:t>
              </m:r>
            </m:e>
          </m:d>
          <m:r>
            <m:rPr>
              <m:sty m:val="p"/>
            </m:rPr>
            <m:t>=</m:t>
          </m:r>
          <m:d>
            <m:dPr>
              <m:begChr m:val="{"/>
              <m:sepChr m:val=""/>
              <m:endChr m:val=""/>
              <m:grow/>
            </m:dPr>
            <m:e>
              <m:m>
                <m:mPr>
                  <m:baseJc m:val="center"/>
                  <m:plcHide m:val="on"/>
                  <m:mcs>
                    <m:mc>
                      <m:mcPr>
                        <m:mcJc m:val="left"/>
                        <m:count m:val="1"/>
                      </m:mcPr>
                    </m:mc>
                    <m:mc>
                      <m:mcPr>
                        <m:mcJc m:val="left"/>
                        <m:count m:val="1"/>
                      </m:mcPr>
                    </m:mc>
                  </m:mcs>
                </m:mPr>
                <m:mr>
                  <m:e>
                    <m:r>
                      <m:t>C</m:t>
                    </m:r>
                    <m:d>
                      <m:dPr>
                        <m:begChr m:val="["/>
                        <m:sepChr m:val=""/>
                        <m:endChr m:val="]"/>
                        <m:grow/>
                      </m:dPr>
                      <m:e>
                        <m:f>
                          <m:fPr>
                            <m:type m:val="bar"/>
                          </m:fPr>
                          <m:num>
                            <m:r>
                              <m:t>3</m:t>
                            </m:r>
                            <m:r>
                              <m:t>h</m:t>
                            </m:r>
                          </m:num>
                          <m:den>
                            <m:r>
                              <m:t>2</m:t>
                            </m:r>
                            <m:r>
                              <m:t>a</m:t>
                            </m:r>
                          </m:den>
                        </m:f>
                        <m:r>
                          <m:rPr>
                            <m:sty m:val="p"/>
                          </m:rPr>
                          <m:t>−</m:t>
                        </m:r>
                        <m:f>
                          <m:fPr>
                            <m:type m:val="bar"/>
                          </m:fPr>
                          <m:num>
                            <m:r>
                              <m:t>1</m:t>
                            </m:r>
                          </m:num>
                          <m:den>
                            <m:r>
                              <m:t>2</m:t>
                            </m:r>
                          </m:den>
                        </m:f>
                        <m:sSup>
                          <m:e>
                            <m:d>
                              <m:dPr>
                                <m:begChr m:val="("/>
                                <m:sepChr m:val=""/>
                                <m:endChr m:val=")"/>
                                <m:grow/>
                              </m:dPr>
                              <m:e>
                                <m:f>
                                  <m:fPr>
                                    <m:type m:val="bar"/>
                                  </m:fPr>
                                  <m:num>
                                    <m:r>
                                      <m:t>h</m:t>
                                    </m:r>
                                  </m:num>
                                  <m:den>
                                    <m:r>
                                      <m:t>a</m:t>
                                    </m:r>
                                  </m:den>
                                </m:f>
                              </m:e>
                            </m:d>
                          </m:e>
                          <m:sup>
                            <m:r>
                              <m:t>3</m:t>
                            </m:r>
                          </m:sup>
                        </m:sSup>
                      </m:e>
                    </m:d>
                    <m:r>
                      <m:rPr>
                        <m:sty m:val="p"/>
                      </m:rPr>
                      <m:t>,</m:t>
                    </m:r>
                  </m:e>
                  <m:e>
                    <m:r>
                      <m:t>0</m:t>
                    </m:r>
                    <m:r>
                      <m:rPr>
                        <m:sty m:val="p"/>
                      </m:rPr>
                      <m:t>&lt;</m:t>
                    </m:r>
                    <m:r>
                      <m:t>h</m:t>
                    </m:r>
                    <m:r>
                      <m:rPr>
                        <m:sty m:val="p"/>
                      </m:rPr>
                      <m:t>≤</m:t>
                    </m:r>
                    <m:r>
                      <m:t>a</m:t>
                    </m:r>
                    <m:r>
                      <m:rPr>
                        <m:sty m:val="p"/>
                      </m:rPr>
                      <m:t>,</m:t>
                    </m:r>
                  </m:e>
                </m:mr>
                <m:mr>
                  <m:e>
                    <m:r>
                      <m:t>C</m:t>
                    </m:r>
                    <m:r>
                      <m:rPr>
                        <m:sty m:val="p"/>
                      </m:rPr>
                      <m:t>,</m:t>
                    </m:r>
                  </m:e>
                  <m:e>
                    <m:r>
                      <m:t>h</m:t>
                    </m:r>
                    <m:r>
                      <m:rPr>
                        <m:sty m:val="p"/>
                      </m:rPr>
                      <m:t>&gt;</m:t>
                    </m:r>
                    <m:r>
                      <m:t>a</m:t>
                    </m:r>
                    <m:r>
                      <m:rPr>
                        <m:sty m:val="p"/>
                      </m:rPr>
                      <m:t>,</m:t>
                    </m:r>
                  </m:e>
                </m:mr>
                <m:mr>
                  <m:e>
                    <m:r>
                      <m:t>0</m:t>
                    </m:r>
                    <m:r>
                      <m:rPr>
                        <m:sty m:val="p"/>
                      </m:rPr>
                      <m:t>,</m:t>
                    </m:r>
                  </m:e>
                  <m:e>
                    <m:r>
                      <m:t>h</m:t>
                    </m:r>
                    <m:r>
                      <m:rPr>
                        <m:sty m:val="p"/>
                      </m:rPr>
                      <m:t>=</m:t>
                    </m:r>
                    <m:r>
                      <m:t>0</m:t>
                    </m:r>
                    <m:r>
                      <m:rPr>
                        <m:sty m:val="p"/>
                      </m:rPr>
                      <m:t>.</m:t>
                    </m:r>
                  </m:e>
                </m:mr>
              </m:m>
            </m:e>
          </m:d>
        </m:oMath>
      </m:oMathPara>
    </w:p>
    <w:p>
      <w:pPr>
        <w:pStyle w:val="FirstParagraph"/>
      </w:pPr>
      <w:r>
        <w:t xml:space="preserve">La covariance correspondante est :</w:t>
      </w:r>
    </w:p>
    <w:p>
      <w:pPr>
        <w:pStyle w:val="BodyText"/>
      </w:pPr>
      <m:oMathPara>
        <m:oMathParaPr>
          <m:jc m:val="center"/>
        </m:oMathParaPr>
        <m:oMath>
          <m:r>
            <m:t>C</m:t>
          </m:r>
          <m:d>
            <m:dPr>
              <m:begChr m:val="("/>
              <m:sepChr m:val=""/>
              <m:endChr m:val=")"/>
              <m:grow/>
            </m:dPr>
            <m:e>
              <m:r>
                <m:t>h</m:t>
              </m:r>
            </m:e>
          </m:d>
          <m:r>
            <m:rPr>
              <m:sty m:val="p"/>
            </m:rPr>
            <m:t>=</m:t>
          </m:r>
          <m:d>
            <m:dPr>
              <m:begChr m:val="{"/>
              <m:sepChr m:val=""/>
              <m:endChr m:val=""/>
              <m:grow/>
            </m:dPr>
            <m:e>
              <m:m>
                <m:mPr>
                  <m:baseJc m:val="center"/>
                  <m:plcHide m:val="on"/>
                  <m:mcs>
                    <m:mc>
                      <m:mcPr>
                        <m:mcJc m:val="left"/>
                        <m:count m:val="1"/>
                      </m:mcPr>
                    </m:mc>
                    <m:mc>
                      <m:mcPr>
                        <m:mcJc m:val="left"/>
                        <m:count m:val="1"/>
                      </m:mcPr>
                    </m:mc>
                  </m:mcs>
                </m:mPr>
                <m:mr>
                  <m:e>
                    <m:r>
                      <m:t>C</m:t>
                    </m:r>
                    <m:d>
                      <m:dPr>
                        <m:begChr m:val="["/>
                        <m:sepChr m:val=""/>
                        <m:endChr m:val="]"/>
                        <m:grow/>
                      </m:dPr>
                      <m:e>
                        <m:r>
                          <m:t>1</m:t>
                        </m:r>
                        <m:r>
                          <m:rPr>
                            <m:sty m:val="p"/>
                          </m:rPr>
                          <m:t>−</m:t>
                        </m:r>
                        <m:f>
                          <m:fPr>
                            <m:type m:val="bar"/>
                          </m:fPr>
                          <m:num>
                            <m:r>
                              <m:t>3</m:t>
                            </m:r>
                            <m:r>
                              <m:t>h</m:t>
                            </m:r>
                          </m:num>
                          <m:den>
                            <m:r>
                              <m:t>2</m:t>
                            </m:r>
                            <m:r>
                              <m:t>a</m:t>
                            </m:r>
                          </m:den>
                        </m:f>
                        <m:r>
                          <m:rPr>
                            <m:sty m:val="p"/>
                          </m:rPr>
                          <m:t>+</m:t>
                        </m:r>
                        <m:f>
                          <m:fPr>
                            <m:type m:val="bar"/>
                          </m:fPr>
                          <m:num>
                            <m:r>
                              <m:t>1</m:t>
                            </m:r>
                          </m:num>
                          <m:den>
                            <m:r>
                              <m:t>2</m:t>
                            </m:r>
                          </m:den>
                        </m:f>
                        <m:sSup>
                          <m:e>
                            <m:d>
                              <m:dPr>
                                <m:begChr m:val="("/>
                                <m:sepChr m:val=""/>
                                <m:endChr m:val=")"/>
                                <m:grow/>
                              </m:dPr>
                              <m:e>
                                <m:f>
                                  <m:fPr>
                                    <m:type m:val="bar"/>
                                  </m:fPr>
                                  <m:num>
                                    <m:r>
                                      <m:t>h</m:t>
                                    </m:r>
                                  </m:num>
                                  <m:den>
                                    <m:r>
                                      <m:t>a</m:t>
                                    </m:r>
                                  </m:den>
                                </m:f>
                              </m:e>
                            </m:d>
                          </m:e>
                          <m:sup>
                            <m:r>
                              <m:t>3</m:t>
                            </m:r>
                          </m:sup>
                        </m:sSup>
                      </m:e>
                    </m:d>
                    <m:r>
                      <m:rPr>
                        <m:sty m:val="p"/>
                      </m:rPr>
                      <m:t>,</m:t>
                    </m:r>
                  </m:e>
                  <m:e>
                    <m:r>
                      <m:t>0</m:t>
                    </m:r>
                    <m:r>
                      <m:rPr>
                        <m:sty m:val="p"/>
                      </m:rPr>
                      <m:t>≤</m:t>
                    </m:r>
                    <m:r>
                      <m:t>h</m:t>
                    </m:r>
                    <m:r>
                      <m:rPr>
                        <m:sty m:val="p"/>
                      </m:rPr>
                      <m:t>≤</m:t>
                    </m:r>
                    <m:r>
                      <m:t>a</m:t>
                    </m:r>
                    <m:r>
                      <m:rPr>
                        <m:sty m:val="p"/>
                      </m:rPr>
                      <m:t>,</m:t>
                    </m:r>
                  </m:e>
                </m:mr>
                <m:mr>
                  <m:e>
                    <m:r>
                      <m:t>0</m:t>
                    </m:r>
                    <m:r>
                      <m:rPr>
                        <m:sty m:val="p"/>
                      </m:rPr>
                      <m:t>,</m:t>
                    </m:r>
                  </m:e>
                  <m:e>
                    <m:r>
                      <m:t>h</m:t>
                    </m:r>
                    <m:r>
                      <m:rPr>
                        <m:sty m:val="p"/>
                      </m:rPr>
                      <m:t>&gt;</m:t>
                    </m:r>
                    <m:r>
                      <m:t>a</m:t>
                    </m:r>
                    <m:r>
                      <m:rPr>
                        <m:sty m:val="p"/>
                      </m:rPr>
                      <m:t>.</m:t>
                    </m:r>
                  </m:e>
                </m:mr>
              </m:m>
            </m:e>
          </m:d>
        </m:oMath>
      </m:oMathPara>
    </w:p>
    <w:p>
      <w:pPr>
        <w:pStyle w:val="FirstParagraph"/>
      </w:pPr>
      <w:r>
        <w:t xml:space="preserve">Le modèle sphérique :</w:t>
      </w:r>
    </w:p>
    <w:p>
      <w:pPr>
        <w:pStyle w:val="Compact"/>
        <w:numPr>
          <w:ilvl w:val="0"/>
          <w:numId w:val="1018"/>
        </w:numPr>
      </w:pPr>
      <w:r>
        <w:t xml:space="preserve">atteint exactement son palier à la distance</w:t>
      </w:r>
      <w:r>
        <w:t xml:space="preserve"> </w:t>
      </w:r>
      <m:oMath>
        <m:r>
          <m:t>a</m:t>
        </m:r>
      </m:oMath>
      <w:r>
        <w:t xml:space="preserve">;</w:t>
      </w:r>
    </w:p>
    <w:p>
      <w:pPr>
        <w:pStyle w:val="Compact"/>
        <w:numPr>
          <w:ilvl w:val="0"/>
          <w:numId w:val="1018"/>
        </w:numPr>
      </w:pPr>
      <w:r>
        <w:t xml:space="preserve">possède une pente non nulle à l’origine;</w:t>
      </w:r>
    </w:p>
    <w:p>
      <w:pPr>
        <w:pStyle w:val="Compact"/>
        <w:numPr>
          <w:ilvl w:val="0"/>
          <w:numId w:val="1018"/>
        </w:numPr>
      </w:pPr>
      <w:r>
        <w:t xml:space="preserve">est fréquemment utilisé pour représenter des structures géologiques présentant une portée finie.</w:t>
      </w:r>
    </w:p>
    <w:bookmarkEnd w:id="104"/>
    <w:bookmarkStart w:id="109" w:name="modèle-exponentiel"/>
    <w:p>
      <w:pPr>
        <w:pStyle w:val="Heading4"/>
      </w:pPr>
      <w:r>
        <w:t xml:space="preserve">Modèle exponentiel</w:t>
      </w:r>
    </w:p>
    <w:p>
      <w:pPr>
        <w:pStyle w:val="FirstParagraph"/>
      </w:pPr>
      <w:r>
        <w:t xml:space="preserve">Le modèle exponentiel est asymptotique : il tend vers son palier sans jamais l’atteindre exactement.</w:t>
      </w:r>
    </w:p>
    <w:p>
      <w:pPr>
        <w:pStyle w:val="BodyText"/>
      </w:pPr>
      <w:r>
        <w:t xml:space="preserve">Deux conventions sont couramment utilisées.</w:t>
      </w:r>
    </w:p>
    <w:bookmarkStart w:id="105" w:name="Xb9c4d34d25c7936b4255450772b64021e294cb4"/>
    <w:p>
      <w:pPr>
        <w:pStyle w:val="Heading5"/>
      </w:pPr>
      <w:r>
        <w:t xml:space="preserve">Convention fondée sur la longueur caractéristique</w:t>
      </w:r>
    </w:p>
    <w:p>
      <w:pPr>
        <w:pStyle w:val="FirstParagraph"/>
      </w:pPr>
      <w:r>
        <w:t xml:space="preserve">Dans cette convention,</w:t>
      </w:r>
    </w:p>
    <w:p>
      <w:pPr>
        <w:pStyle w:val="BodyText"/>
      </w:pPr>
      <m:oMathPara>
        <m:oMathParaPr>
          <m:jc m:val="center"/>
        </m:oMathParaPr>
        <m:oMath>
          <m:r>
            <m:t>γ</m:t>
          </m:r>
          <m:d>
            <m:dPr>
              <m:begChr m:val="("/>
              <m:sepChr m:val=""/>
              <m:endChr m:val=")"/>
              <m:grow/>
            </m:dPr>
            <m:e>
              <m:r>
                <m:t>h</m:t>
              </m:r>
            </m:e>
          </m:d>
          <m:r>
            <m:rPr>
              <m:sty m:val="p"/>
            </m:rPr>
            <m:t>=</m:t>
          </m:r>
          <m:r>
            <m:t>C</m:t>
          </m:r>
          <m:d>
            <m:dPr>
              <m:begChr m:val="["/>
              <m:sepChr m:val=""/>
              <m:endChr m:val="]"/>
              <m:grow/>
            </m:dPr>
            <m:e>
              <m:r>
                <m:t>1</m:t>
              </m:r>
              <m:r>
                <m:rPr>
                  <m:sty m:val="p"/>
                </m:rPr>
                <m:t>−</m:t>
              </m:r>
              <m:r>
                <m:rPr>
                  <m:sty m:val="p"/>
                </m:rPr>
                <m:t>exp</m:t>
              </m:r>
              <m:d>
                <m:dPr>
                  <m:begChr m:val="("/>
                  <m:sepChr m:val=""/>
                  <m:endChr m:val=")"/>
                  <m:grow/>
                </m:dPr>
                <m:e>
                  <m:r>
                    <m:rPr>
                      <m:sty m:val="p"/>
                    </m:rPr>
                    <m:t>−</m:t>
                  </m:r>
                  <m:f>
                    <m:fPr>
                      <m:type m:val="bar"/>
                    </m:fPr>
                    <m:num>
                      <m:r>
                        <m:t>h</m:t>
                      </m:r>
                    </m:num>
                    <m:den>
                      <m:r>
                        <m:t>a</m:t>
                      </m:r>
                    </m:den>
                  </m:f>
                </m:e>
              </m:d>
            </m:e>
          </m:d>
          <m:r>
            <m:rPr>
              <m:sty m:val="p"/>
            </m:rPr>
            <m:t>,</m:t>
          </m:r>
        </m:oMath>
      </m:oMathPara>
    </w:p>
    <w:p>
      <w:pPr>
        <w:pStyle w:val="FirstParagraph"/>
      </w:pPr>
      <w:r>
        <w:t xml:space="preserve">et</w:t>
      </w:r>
    </w:p>
    <w:p>
      <w:pPr>
        <w:pStyle w:val="BodyText"/>
      </w:pPr>
      <m:oMathPara>
        <m:oMathParaPr>
          <m:jc m:val="center"/>
        </m:oMathParaPr>
        <m:oMath>
          <m:r>
            <m:t>C</m:t>
          </m:r>
          <m:d>
            <m:dPr>
              <m:begChr m:val="("/>
              <m:sepChr m:val=""/>
              <m:endChr m:val=")"/>
              <m:grow/>
            </m:dPr>
            <m:e>
              <m:r>
                <m:t>h</m:t>
              </m:r>
            </m:e>
          </m:d>
          <m:r>
            <m:rPr>
              <m:sty m:val="p"/>
            </m:rPr>
            <m:t>=</m:t>
          </m:r>
          <m:r>
            <m:t>C</m:t>
          </m:r>
          <m:r>
            <m:rPr>
              <m:sty m:val="p"/>
            </m:rPr>
            <m:t>exp</m:t>
          </m:r>
          <m:d>
            <m:dPr>
              <m:begChr m:val="("/>
              <m:sepChr m:val=""/>
              <m:endChr m:val=")"/>
              <m:grow/>
            </m:dPr>
            <m:e>
              <m:r>
                <m:rPr>
                  <m:sty m:val="p"/>
                </m:rPr>
                <m:t>−</m:t>
              </m:r>
              <m:f>
                <m:fPr>
                  <m:type m:val="bar"/>
                </m:fPr>
                <m:num>
                  <m:r>
                    <m:t>h</m:t>
                  </m:r>
                </m:num>
                <m:den>
                  <m:r>
                    <m:t>a</m:t>
                  </m:r>
                </m:den>
              </m:f>
            </m:e>
          </m:d>
          <m:r>
            <m:rPr>
              <m:sty m:val="p"/>
            </m:rPr>
            <m:t>.</m:t>
          </m:r>
        </m:oMath>
      </m:oMathPara>
    </w:p>
    <w:p>
      <w:pPr>
        <w:pStyle w:val="FirstParagraph"/>
      </w:pPr>
      <w:r>
        <w:t xml:space="preserve">À la distance</w:t>
      </w:r>
      <w:r>
        <w:t xml:space="preserve"> </w:t>
      </w:r>
      <m:oMath>
        <m:r>
          <m:t>h</m:t>
        </m:r>
        <m:r>
          <m:rPr>
            <m:sty m:val="p"/>
          </m:rPr>
          <m:t>=</m:t>
        </m:r>
        <m:r>
          <m:t>a</m:t>
        </m:r>
      </m:oMath>
      <w:r>
        <w:t xml:space="preserve">, le variogramme atteint :</w:t>
      </w:r>
    </w:p>
    <w:p>
      <w:pPr>
        <w:pStyle w:val="BodyText"/>
      </w:pPr>
      <m:oMathPara>
        <m:oMathParaPr>
          <m:jc m:val="center"/>
        </m:oMathParaPr>
        <m:oMath>
          <m:r>
            <m:t>1</m:t>
          </m:r>
          <m:r>
            <m:rPr>
              <m:sty m:val="p"/>
            </m:rPr>
            <m:t>−</m:t>
          </m:r>
          <m:r>
            <m:rPr>
              <m:sty m:val="p"/>
            </m:rPr>
            <m:t>exp</m:t>
          </m:r>
          <m:d>
            <m:dPr>
              <m:begChr m:val="("/>
              <m:sepChr m:val=""/>
              <m:endChr m:val=")"/>
              <m:grow/>
            </m:dPr>
            <m:e>
              <m:r>
                <m:rPr>
                  <m:sty m:val="p"/>
                </m:rPr>
                <m:t>−</m:t>
              </m:r>
              <m:r>
                <m:t>1</m:t>
              </m:r>
            </m:e>
          </m:d>
          <m:r>
            <m:rPr>
              <m:sty m:val="p"/>
            </m:rPr>
            <m:t>≈</m:t>
          </m:r>
          <m:r>
            <m:t>0</m:t>
          </m:r>
          <m:r>
            <m:rPr>
              <m:sty m:val="p"/>
            </m:rPr>
            <m:t>,</m:t>
          </m:r>
          <m:r>
            <m:t>632</m:t>
          </m:r>
        </m:oMath>
      </m:oMathPara>
    </w:p>
    <w:p>
      <w:pPr>
        <w:pStyle w:val="FirstParagraph"/>
      </w:pPr>
      <w:r>
        <w:t xml:space="preserve">du palier. La portée effective à 95 % vaut approximativement :</w:t>
      </w:r>
    </w:p>
    <w:p>
      <w:pPr>
        <w:pStyle w:val="BodyText"/>
      </w:pPr>
      <m:oMathPara>
        <m:oMathParaPr>
          <m:jc m:val="center"/>
        </m:oMathParaPr>
        <m:oMath>
          <m:sSub>
            <m:e>
              <m:r>
                <m:t>a</m:t>
              </m:r>
            </m:e>
            <m:sub>
              <m:r>
                <m:t>95</m:t>
              </m:r>
            </m:sub>
          </m:sSub>
          <m:r>
            <m:rPr>
              <m:sty m:val="p"/>
            </m:rPr>
            <m:t>≈</m:t>
          </m:r>
          <m:r>
            <m:t>3</m:t>
          </m:r>
          <m:r>
            <m:t>a</m:t>
          </m:r>
          <m:r>
            <m:rPr>
              <m:sty m:val="p"/>
            </m:rPr>
            <m:t>.</m:t>
          </m:r>
        </m:oMath>
      </m:oMathPara>
    </w:p>
    <w:bookmarkEnd w:id="105"/>
    <w:bookmarkStart w:id="108" w:name="X8f25fdb36d42862188e46e3adf77a5015af50c9"/>
    <w:p>
      <w:pPr>
        <w:pStyle w:val="Heading5"/>
      </w:pPr>
      <w:r>
        <w:t xml:space="preserve">Convention fondée sur la portée effective</w:t>
      </w:r>
    </w:p>
    <w:p>
      <w:pPr>
        <w:pStyle w:val="FirstParagraph"/>
      </w:pPr>
      <w:r>
        <w:t xml:space="preserve">Si le paramètre</w:t>
      </w:r>
      <w:r>
        <w:t xml:space="preserve"> </w:t>
      </w:r>
      <m:oMath>
        <m:r>
          <m:t>a</m:t>
        </m:r>
      </m:oMath>
      <w:r>
        <w:t xml:space="preserve"> </w:t>
      </w:r>
      <w:r>
        <w:t xml:space="preserve">représente directement la portée effective à 95 %, le modèle s’écrit :</w:t>
      </w:r>
    </w:p>
    <w:p>
      <w:pPr>
        <w:pStyle w:val="BodyText"/>
      </w:pPr>
      <m:oMathPara>
        <m:oMathParaPr>
          <m:jc m:val="center"/>
        </m:oMathParaPr>
        <m:oMath>
          <m:r>
            <m:t>γ</m:t>
          </m:r>
          <m:d>
            <m:dPr>
              <m:begChr m:val="("/>
              <m:sepChr m:val=""/>
              <m:endChr m:val=")"/>
              <m:grow/>
            </m:dPr>
            <m:e>
              <m:r>
                <m:t>h</m:t>
              </m:r>
            </m:e>
          </m:d>
          <m:r>
            <m:rPr>
              <m:sty m:val="p"/>
            </m:rPr>
            <m:t>=</m:t>
          </m:r>
          <m:r>
            <m:t>C</m:t>
          </m:r>
          <m:d>
            <m:dPr>
              <m:begChr m:val="["/>
              <m:sepChr m:val=""/>
              <m:endChr m:val="]"/>
              <m:grow/>
            </m:dPr>
            <m:e>
              <m:r>
                <m:t>1</m:t>
              </m:r>
              <m:r>
                <m:rPr>
                  <m:sty m:val="p"/>
                </m:rPr>
                <m:t>−</m:t>
              </m:r>
              <m:r>
                <m:rPr>
                  <m:sty m:val="p"/>
                </m:rPr>
                <m:t>exp</m:t>
              </m:r>
              <m:d>
                <m:dPr>
                  <m:begChr m:val="("/>
                  <m:sepChr m:val=""/>
                  <m:endChr m:val=")"/>
                  <m:grow/>
                </m:dPr>
                <m:e>
                  <m:r>
                    <m:rPr>
                      <m:sty m:val="p"/>
                    </m:rPr>
                    <m:t>−</m:t>
                  </m:r>
                  <m:f>
                    <m:fPr>
                      <m:type m:val="bar"/>
                    </m:fPr>
                    <m:num>
                      <m:r>
                        <m:t>3</m:t>
                      </m:r>
                      <m:r>
                        <m:t>h</m:t>
                      </m:r>
                    </m:num>
                    <m:den>
                      <m:r>
                        <m:t>a</m:t>
                      </m:r>
                    </m:den>
                  </m:f>
                </m:e>
              </m:d>
            </m:e>
          </m:d>
          <m:r>
            <m:rPr>
              <m:sty m:val="p"/>
            </m:rPr>
            <m:t>,</m:t>
          </m:r>
        </m:oMath>
      </m:oMathPara>
    </w:p>
    <w:p>
      <w:pPr>
        <w:pStyle w:val="FirstParagraph"/>
      </w:pPr>
      <w:r>
        <w:t xml:space="preserve">et</w:t>
      </w:r>
    </w:p>
    <w:p>
      <w:pPr>
        <w:pStyle w:val="BodyText"/>
      </w:pPr>
      <m:oMathPara>
        <m:oMathParaPr>
          <m:jc m:val="center"/>
        </m:oMathParaPr>
        <m:oMath>
          <m:r>
            <m:t>C</m:t>
          </m:r>
          <m:d>
            <m:dPr>
              <m:begChr m:val="("/>
              <m:sepChr m:val=""/>
              <m:endChr m:val=")"/>
              <m:grow/>
            </m:dPr>
            <m:e>
              <m:r>
                <m:t>h</m:t>
              </m:r>
            </m:e>
          </m:d>
          <m:r>
            <m:rPr>
              <m:sty m:val="p"/>
            </m:rPr>
            <m:t>=</m:t>
          </m:r>
          <m:r>
            <m:t>C</m:t>
          </m:r>
          <m:r>
            <m:rPr>
              <m:sty m:val="p"/>
            </m:rPr>
            <m:t>exp</m:t>
          </m:r>
          <m:d>
            <m:dPr>
              <m:begChr m:val="("/>
              <m:sepChr m:val=""/>
              <m:endChr m:val=")"/>
              <m:grow/>
            </m:dPr>
            <m:e>
              <m:r>
                <m:rPr>
                  <m:sty m:val="p"/>
                </m:rPr>
                <m:t>−</m:t>
              </m:r>
              <m:f>
                <m:fPr>
                  <m:type m:val="bar"/>
                </m:fPr>
                <m:num>
                  <m:r>
                    <m:t>3</m:t>
                  </m:r>
                  <m:r>
                    <m:t>h</m:t>
                  </m:r>
                </m:num>
                <m:den>
                  <m:r>
                    <m:t>a</m:t>
                  </m:r>
                </m:den>
              </m:f>
            </m:e>
          </m:d>
          <m:r>
            <m:rPr>
              <m:sty m:val="p"/>
            </m:rPr>
            <m:t>.</m:t>
          </m:r>
        </m:oMath>
      </m:oMathPara>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C:\Users\danyl\AppData\Local\Programs\Quarto\share\formats\docx\important.png" id="10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Les deux conventions sont utilisées dans les logiciels et dans la littérature. Il faut toujours vérifier la définition du paramètre</w:t>
            </w:r>
            <w:r>
              <w:t xml:space="preserve"> </w:t>
            </w:r>
            <m:oMath>
              <m:r>
                <m:t>a</m:t>
              </m:r>
            </m:oMath>
            <w:r>
              <w:t xml:space="preserve"> </w:t>
            </w:r>
            <w:r>
              <w:t xml:space="preserve">avant de comparer des portées obtenues avec différents outils. Dans cet ouvrage, la convention fondée sur la portée effective à 95 % est utilisée.</w:t>
            </w:r>
          </w:p>
          <w:p/>
        </w:tc>
      </w:tr>
    </w:tbl>
    <w:p>
      <w:pPr>
        <w:pStyle w:val="BodyText"/>
      </w:pPr>
      <w:r>
        <w:t xml:space="preserve">Le modèle exponentiel présente une croissance approximativement linéaire à l’origine et produit des champs relativement rugueux à courte distance.</w:t>
      </w:r>
    </w:p>
    <w:bookmarkEnd w:id="108"/>
    <w:bookmarkEnd w:id="109"/>
    <w:bookmarkStart w:id="112" w:name="modèle-gaussien"/>
    <w:p>
      <w:pPr>
        <w:pStyle w:val="Heading4"/>
      </w:pPr>
      <w:r>
        <w:t xml:space="preserve">Modèle gaussien</w:t>
      </w:r>
    </w:p>
    <w:p>
      <w:pPr>
        <w:pStyle w:val="FirstParagraph"/>
      </w:pPr>
      <w:r>
        <w:t xml:space="preserve">Le modèle gaussien est également asymptotique.</w:t>
      </w:r>
    </w:p>
    <w:bookmarkStart w:id="110" w:name="Xd2d6f94c50f0d221b0468f7bf6695d76f657d14"/>
    <w:p>
      <w:pPr>
        <w:pStyle w:val="Heading5"/>
      </w:pPr>
      <w:r>
        <w:t xml:space="preserve">Convention fondée sur la longueur caractéristique</w:t>
      </w:r>
    </w:p>
    <w:p>
      <w:pPr>
        <w:pStyle w:val="FirstParagraph"/>
      </w:pPr>
      <m:oMathPara>
        <m:oMathParaPr>
          <m:jc m:val="center"/>
        </m:oMathParaPr>
        <m:oMath>
          <m:r>
            <m:t>γ</m:t>
          </m:r>
          <m:d>
            <m:dPr>
              <m:begChr m:val="("/>
              <m:sepChr m:val=""/>
              <m:endChr m:val=")"/>
              <m:grow/>
            </m:dPr>
            <m:e>
              <m:r>
                <m:t>h</m:t>
              </m:r>
            </m:e>
          </m:d>
          <m:r>
            <m:rPr>
              <m:sty m:val="p"/>
            </m:rPr>
            <m:t>=</m:t>
          </m:r>
          <m:r>
            <m:t>C</m:t>
          </m:r>
          <m:d>
            <m:dPr>
              <m:begChr m:val="["/>
              <m:sepChr m:val=""/>
              <m:endChr m:val="]"/>
              <m:grow/>
            </m:dPr>
            <m:e>
              <m:r>
                <m:t>1</m:t>
              </m:r>
              <m:r>
                <m:rPr>
                  <m:sty m:val="p"/>
                </m:rPr>
                <m:t>−</m:t>
              </m:r>
              <m:r>
                <m:rPr>
                  <m:sty m:val="p"/>
                </m:rPr>
                <m:t>exp</m:t>
              </m:r>
              <m:d>
                <m:dPr>
                  <m:begChr m:val="("/>
                  <m:sepChr m:val=""/>
                  <m:endChr m:val=")"/>
                  <m:grow/>
                </m:dPr>
                <m:e>
                  <m:r>
                    <m:rPr>
                      <m:sty m:val="p"/>
                    </m:rPr>
                    <m:t>−</m:t>
                  </m:r>
                  <m:sSup>
                    <m:e>
                      <m:d>
                        <m:dPr>
                          <m:begChr m:val="("/>
                          <m:sepChr m:val=""/>
                          <m:endChr m:val=")"/>
                          <m:grow/>
                        </m:dPr>
                        <m:e>
                          <m:f>
                            <m:fPr>
                              <m:type m:val="bar"/>
                            </m:fPr>
                            <m:num>
                              <m:r>
                                <m:t>h</m:t>
                              </m:r>
                            </m:num>
                            <m:den>
                              <m:r>
                                <m:t>a</m:t>
                              </m:r>
                            </m:den>
                          </m:f>
                        </m:e>
                      </m:d>
                    </m:e>
                    <m:sup>
                      <m:r>
                        <m:t>2</m:t>
                      </m:r>
                    </m:sup>
                  </m:sSup>
                </m:e>
              </m:d>
            </m:e>
          </m:d>
          <m:r>
            <m:rPr>
              <m:sty m:val="p"/>
            </m:rPr>
            <m:t>,</m:t>
          </m:r>
        </m:oMath>
      </m:oMathPara>
    </w:p>
    <w:p>
      <w:pPr>
        <w:pStyle w:val="FirstParagraph"/>
      </w:pPr>
      <w:r>
        <w:t xml:space="preserve">et</w:t>
      </w:r>
    </w:p>
    <w:p>
      <w:pPr>
        <w:pStyle w:val="BodyText"/>
      </w:pPr>
      <m:oMathPara>
        <m:oMathParaPr>
          <m:jc m:val="center"/>
        </m:oMathParaPr>
        <m:oMath>
          <m:r>
            <m:t>C</m:t>
          </m:r>
          <m:d>
            <m:dPr>
              <m:begChr m:val="("/>
              <m:sepChr m:val=""/>
              <m:endChr m:val=")"/>
              <m:grow/>
            </m:dPr>
            <m:e>
              <m:r>
                <m:t>h</m:t>
              </m:r>
            </m:e>
          </m:d>
          <m:r>
            <m:rPr>
              <m:sty m:val="p"/>
            </m:rPr>
            <m:t>=</m:t>
          </m:r>
          <m:r>
            <m:t>C</m:t>
          </m:r>
          <m:r>
            <m:rPr>
              <m:sty m:val="p"/>
            </m:rPr>
            <m:t>exp</m:t>
          </m:r>
          <m:d>
            <m:dPr>
              <m:begChr m:val="("/>
              <m:sepChr m:val=""/>
              <m:endChr m:val=")"/>
              <m:grow/>
            </m:dPr>
            <m:e>
              <m:r>
                <m:rPr>
                  <m:sty m:val="p"/>
                </m:rPr>
                <m:t>−</m:t>
              </m:r>
              <m:sSup>
                <m:e>
                  <m:d>
                    <m:dPr>
                      <m:begChr m:val="("/>
                      <m:sepChr m:val=""/>
                      <m:endChr m:val=")"/>
                      <m:grow/>
                    </m:dPr>
                    <m:e>
                      <m:f>
                        <m:fPr>
                          <m:type m:val="bar"/>
                        </m:fPr>
                        <m:num>
                          <m:r>
                            <m:t>h</m:t>
                          </m:r>
                        </m:num>
                        <m:den>
                          <m:r>
                            <m:t>a</m:t>
                          </m:r>
                        </m:den>
                      </m:f>
                    </m:e>
                  </m:d>
                </m:e>
                <m:sup>
                  <m:r>
                    <m:t>2</m:t>
                  </m:r>
                </m:sup>
              </m:sSup>
            </m:e>
          </m:d>
          <m:r>
            <m:rPr>
              <m:sty m:val="p"/>
            </m:rPr>
            <m:t>.</m:t>
          </m:r>
        </m:oMath>
      </m:oMathPara>
    </w:p>
    <w:bookmarkEnd w:id="110"/>
    <w:bookmarkStart w:id="111" w:name="X0691d20b90aa920f6b60011fc14689f85aa1ccb"/>
    <w:p>
      <w:pPr>
        <w:pStyle w:val="Heading5"/>
      </w:pPr>
      <w:r>
        <w:t xml:space="preserve">Convention fondée sur la portée effective</w:t>
      </w:r>
    </w:p>
    <w:p>
      <w:pPr>
        <w:pStyle w:val="FirstParagraph"/>
      </w:pPr>
      <w:r>
        <w:t xml:space="preserve">Si</w:t>
      </w:r>
      <w:r>
        <w:t xml:space="preserve"> </w:t>
      </w:r>
      <m:oMath>
        <m:r>
          <m:t>a</m:t>
        </m:r>
      </m:oMath>
      <w:r>
        <w:t xml:space="preserve"> </w:t>
      </w:r>
      <w:r>
        <w:t xml:space="preserve">représente la portée effective à 95 % :</w:t>
      </w:r>
    </w:p>
    <w:p>
      <w:pPr>
        <w:pStyle w:val="BodyText"/>
      </w:pPr>
      <m:oMathPara>
        <m:oMathParaPr>
          <m:jc m:val="center"/>
        </m:oMathParaPr>
        <m:oMath>
          <m:r>
            <m:t>γ</m:t>
          </m:r>
          <m:d>
            <m:dPr>
              <m:begChr m:val="("/>
              <m:sepChr m:val=""/>
              <m:endChr m:val=")"/>
              <m:grow/>
            </m:dPr>
            <m:e>
              <m:r>
                <m:t>h</m:t>
              </m:r>
            </m:e>
          </m:d>
          <m:r>
            <m:rPr>
              <m:sty m:val="p"/>
            </m:rPr>
            <m:t>=</m:t>
          </m:r>
          <m:r>
            <m:t>C</m:t>
          </m:r>
          <m:d>
            <m:dPr>
              <m:begChr m:val="["/>
              <m:sepChr m:val=""/>
              <m:endChr m:val="]"/>
              <m:grow/>
            </m:dPr>
            <m:e>
              <m:r>
                <m:t>1</m:t>
              </m:r>
              <m:r>
                <m:rPr>
                  <m:sty m:val="p"/>
                </m:rPr>
                <m:t>−</m:t>
              </m:r>
              <m:r>
                <m:rPr>
                  <m:sty m:val="p"/>
                </m:rPr>
                <m:t>exp</m:t>
              </m:r>
              <m:d>
                <m:dPr>
                  <m:begChr m:val="("/>
                  <m:sepChr m:val=""/>
                  <m:endChr m:val=")"/>
                  <m:grow/>
                </m:dPr>
                <m:e>
                  <m:r>
                    <m:rPr>
                      <m:sty m:val="p"/>
                    </m:rPr>
                    <m:t>−</m:t>
                  </m:r>
                  <m:r>
                    <m:t>3</m:t>
                  </m:r>
                  <m:sSup>
                    <m:e>
                      <m:d>
                        <m:dPr>
                          <m:begChr m:val="("/>
                          <m:sepChr m:val=""/>
                          <m:endChr m:val=")"/>
                          <m:grow/>
                        </m:dPr>
                        <m:e>
                          <m:f>
                            <m:fPr>
                              <m:type m:val="bar"/>
                            </m:fPr>
                            <m:num>
                              <m:r>
                                <m:t>h</m:t>
                              </m:r>
                            </m:num>
                            <m:den>
                              <m:r>
                                <m:t>a</m:t>
                              </m:r>
                            </m:den>
                          </m:f>
                        </m:e>
                      </m:d>
                    </m:e>
                    <m:sup>
                      <m:r>
                        <m:t>2</m:t>
                      </m:r>
                    </m:sup>
                  </m:sSup>
                </m:e>
              </m:d>
            </m:e>
          </m:d>
          <m:r>
            <m:rPr>
              <m:sty m:val="p"/>
            </m:rPr>
            <m:t>,</m:t>
          </m:r>
        </m:oMath>
      </m:oMathPara>
    </w:p>
    <w:p>
      <w:pPr>
        <w:pStyle w:val="FirstParagraph"/>
      </w:pPr>
      <w:r>
        <w:t xml:space="preserve">et</w:t>
      </w:r>
    </w:p>
    <w:p>
      <w:pPr>
        <w:pStyle w:val="BodyText"/>
      </w:pPr>
      <m:oMathPara>
        <m:oMathParaPr>
          <m:jc m:val="center"/>
        </m:oMathParaPr>
        <m:oMath>
          <m:r>
            <m:t>C</m:t>
          </m:r>
          <m:d>
            <m:dPr>
              <m:begChr m:val="("/>
              <m:sepChr m:val=""/>
              <m:endChr m:val=")"/>
              <m:grow/>
            </m:dPr>
            <m:e>
              <m:r>
                <m:t>h</m:t>
              </m:r>
            </m:e>
          </m:d>
          <m:r>
            <m:rPr>
              <m:sty m:val="p"/>
            </m:rPr>
            <m:t>=</m:t>
          </m:r>
          <m:r>
            <m:t>C</m:t>
          </m:r>
          <m:r>
            <m:rPr>
              <m:sty m:val="p"/>
            </m:rPr>
            <m:t>exp</m:t>
          </m:r>
          <m:d>
            <m:dPr>
              <m:begChr m:val="("/>
              <m:sepChr m:val=""/>
              <m:endChr m:val=")"/>
              <m:grow/>
            </m:dPr>
            <m:e>
              <m:r>
                <m:rPr>
                  <m:sty m:val="p"/>
                </m:rPr>
                <m:t>−</m:t>
              </m:r>
              <m:r>
                <m:t>3</m:t>
              </m:r>
              <m:sSup>
                <m:e>
                  <m:d>
                    <m:dPr>
                      <m:begChr m:val="("/>
                      <m:sepChr m:val=""/>
                      <m:endChr m:val=")"/>
                      <m:grow/>
                    </m:dPr>
                    <m:e>
                      <m:f>
                        <m:fPr>
                          <m:type m:val="bar"/>
                        </m:fPr>
                        <m:num>
                          <m:r>
                            <m:t>h</m:t>
                          </m:r>
                        </m:num>
                        <m:den>
                          <m:r>
                            <m:t>a</m:t>
                          </m:r>
                        </m:den>
                      </m:f>
                    </m:e>
                  </m:d>
                </m:e>
                <m:sup>
                  <m:r>
                    <m:t>2</m:t>
                  </m:r>
                </m:sup>
              </m:sSup>
            </m:e>
          </m:d>
          <m:r>
            <m:rPr>
              <m:sty m:val="p"/>
            </m:rPr>
            <m:t>.</m:t>
          </m:r>
        </m:oMath>
      </m:oMathPara>
    </w:p>
    <w:p>
      <w:pPr>
        <w:pStyle w:val="FirstParagraph"/>
      </w:pPr>
      <w:r>
        <w:t xml:space="preserve">Le modèle gaussien présente une croissance parabolique à l’origine. Il décrit donc une très forte continuité à courte distance et produit des champs beaucoup plus lisses que les modèles sphérique ou exponentiel.</w:t>
      </w:r>
    </w:p>
    <w:p>
      <w:pPr>
        <w:pStyle w:val="BodyText"/>
      </w:pPr>
      <w:r>
        <w:t xml:space="preserve">Un modèle gaussien sans pépite peut conduire à des matrices de covariance mal conditionnées lorsque plusieurs données sont très rapprochées. L’ajout d’une petite pépite peut alors améliorer la stabilité numérique, mais il doit rester justifié par les données et non être ajouté systématiquement.</w:t>
      </w:r>
    </w:p>
    <w:bookmarkEnd w:id="111"/>
    <w:bookmarkEnd w:id="112"/>
    <w:bookmarkStart w:id="113" w:name="modèle-de-puissance"/>
    <w:p>
      <w:pPr>
        <w:pStyle w:val="Heading4"/>
      </w:pPr>
      <w:r>
        <w:t xml:space="preserve">Modèle de puissance</w:t>
      </w:r>
    </w:p>
    <w:p>
      <w:pPr>
        <w:pStyle w:val="FirstParagraph"/>
      </w:pPr>
      <w:r>
        <w:t xml:space="preserve">Le modèle de puissance s’écrit :</w:t>
      </w:r>
    </w:p>
    <w:p>
      <w:pPr>
        <w:pStyle w:val="BodyText"/>
      </w:pPr>
      <m:oMathPara>
        <m:oMathParaPr>
          <m:jc m:val="center"/>
        </m:oMathParaPr>
        <m:oMath>
          <m:r>
            <m:t>γ</m:t>
          </m:r>
          <m:d>
            <m:dPr>
              <m:begChr m:val="("/>
              <m:sepChr m:val=""/>
              <m:endChr m:val=")"/>
              <m:grow/>
            </m:dPr>
            <m:e>
              <m:r>
                <m:t>h</m:t>
              </m:r>
            </m:e>
          </m:d>
          <m:r>
            <m:rPr>
              <m:sty m:val="p"/>
            </m:rPr>
            <m:t>=</m:t>
          </m:r>
          <m:r>
            <m:t>k</m:t>
          </m:r>
          <m:sSup>
            <m:e>
              <m:r>
                <m:t>h</m:t>
              </m:r>
            </m:e>
            <m:sup>
              <m:r>
                <m:t>α</m:t>
              </m:r>
            </m:sup>
          </m:sSup>
          <m:r>
            <m:rPr>
              <m:sty m:val="p"/>
            </m:rPr>
            <m:t>,</m:t>
          </m:r>
        </m:oMath>
      </m:oMathPara>
    </w:p>
    <w:p>
      <w:pPr>
        <w:pStyle w:val="FirstParagraph"/>
      </w:pPr>
      <w:r>
        <w:t xml:space="preserve">avec, dans l’usage courant,</w:t>
      </w:r>
    </w:p>
    <w:p>
      <w:pPr>
        <w:pStyle w:val="BodyText"/>
      </w:pPr>
      <m:oMathPara>
        <m:oMathParaPr>
          <m:jc m:val="center"/>
        </m:oMathParaPr>
        <m:oMath>
          <m:r>
            <m:t>0</m:t>
          </m:r>
          <m:r>
            <m:rPr>
              <m:sty m:val="p"/>
            </m:rPr>
            <m:t>&lt;</m:t>
          </m:r>
          <m:r>
            <m:t>α</m:t>
          </m:r>
          <m:r>
            <m:rPr>
              <m:sty m:val="p"/>
            </m:rPr>
            <m:t>&lt;</m:t>
          </m:r>
          <m:r>
            <m:t>2</m:t>
          </m:r>
          <m:r>
            <m:rPr>
              <m:sty m:val="p"/>
            </m:rPr>
            <m:t>.</m:t>
          </m:r>
        </m:oMath>
      </m:oMathPara>
    </w:p>
    <w:p>
      <w:pPr>
        <w:pStyle w:val="FirstParagraph"/>
      </w:pPr>
      <w:r>
        <w:t xml:space="preserve">Ce modèle :</w:t>
      </w:r>
    </w:p>
    <w:p>
      <w:pPr>
        <w:pStyle w:val="Compact"/>
        <w:numPr>
          <w:ilvl w:val="0"/>
          <w:numId w:val="1019"/>
        </w:numPr>
      </w:pPr>
      <w:r>
        <w:t xml:space="preserve">ne possède pas de palier;</w:t>
      </w:r>
    </w:p>
    <w:p>
      <w:pPr>
        <w:pStyle w:val="Compact"/>
        <w:numPr>
          <w:ilvl w:val="0"/>
          <w:numId w:val="1019"/>
        </w:numPr>
      </w:pPr>
      <w:r>
        <w:t xml:space="preserve">relève du cadre intrinsèque;</w:t>
      </w:r>
    </w:p>
    <w:p>
      <w:pPr>
        <w:pStyle w:val="Compact"/>
        <w:numPr>
          <w:ilvl w:val="0"/>
          <w:numId w:val="1019"/>
        </w:numPr>
      </w:pPr>
      <w:r>
        <w:t xml:space="preserve">ne possède pas de covariance stationnaire associée;</w:t>
      </w:r>
    </w:p>
    <w:p>
      <w:pPr>
        <w:pStyle w:val="Compact"/>
        <w:numPr>
          <w:ilvl w:val="0"/>
          <w:numId w:val="1019"/>
        </w:numPr>
      </w:pPr>
      <w:r>
        <w:t xml:space="preserve">est utilisé lorsque la continuité spatiale ne présente pas de portée apparente à l’échelle étudiée.</w:t>
      </w:r>
    </w:p>
    <w:p>
      <w:pPr>
        <w:pStyle w:val="FirstParagraph"/>
      </w:pPr>
      <w:r>
        <w:t xml:space="preserve">Le cas</w:t>
      </w:r>
      <w:r>
        <w:t xml:space="preserve"> </w:t>
      </w:r>
      <m:oMath>
        <m:r>
          <m:t>α</m:t>
        </m:r>
        <m:r>
          <m:rPr>
            <m:sty m:val="p"/>
          </m:rPr>
          <m:t>=</m:t>
        </m:r>
        <m:r>
          <m:t>1</m:t>
        </m:r>
      </m:oMath>
      <w:r>
        <w:t xml:space="preserve"> </w:t>
      </w:r>
      <w:r>
        <w:t xml:space="preserve">correspond au modèle linéaire. La valeur</w:t>
      </w:r>
      <w:r>
        <w:t xml:space="preserve"> </w:t>
      </w:r>
      <m:oMath>
        <m:r>
          <m:t>α</m:t>
        </m:r>
        <m:r>
          <m:rPr>
            <m:sty m:val="p"/>
          </m:rPr>
          <m:t>=</m:t>
        </m:r>
        <m:r>
          <m:t>2</m:t>
        </m:r>
      </m:oMath>
      <w:r>
        <w:t xml:space="preserve"> </w:t>
      </w:r>
      <w:r>
        <w:t xml:space="preserve">constitue un cas limite admissible dans certains cadres théoriques, mais elle correspond à une structure très particulière, associée à un gradient aléatoire parfaitement régulier. Elle est généralement exclue des modèles de puissance usuels employés pour représenter une variabilité spatiale stationnaire ou intrinsèque ordinaire.</w:t>
      </w:r>
    </w:p>
    <w:bookmarkEnd w:id="113"/>
    <w:bookmarkStart w:id="126" w:name="modèle-à-effet-de-trou"/>
    <w:p>
      <w:pPr>
        <w:pStyle w:val="Heading4"/>
      </w:pPr>
      <w:r>
        <w:t xml:space="preserve">Modèle à effet de trou</w:t>
      </w:r>
    </w:p>
    <w:p>
      <w:pPr>
        <w:pStyle w:val="FirstParagraph"/>
      </w:pPr>
      <w:r>
        <w:t xml:space="preserve">Certains phénomènes présentent une organisation pseudo-périodique. Le variogramme peut alors dépasser son palier, redescendre, puis osciller avec une amplitude qui diminue progressivement. Ce comportement est appelé</w:t>
      </w:r>
      <w:r>
        <w:t xml:space="preserve"> </w:t>
      </w:r>
      <w:r>
        <w:rPr>
          <w:b/>
          <w:bCs/>
        </w:rPr>
        <w:t xml:space="preserve">effet de trou</w:t>
      </w:r>
      <w:r>
        <w:t xml:space="preserve">.</w:t>
      </w:r>
    </w:p>
    <w:p>
      <w:pPr>
        <w:pStyle w:val="BodyText"/>
      </w:pPr>
      <w:r>
        <w:t xml:space="preserve">Un modèle classique est fondé sur le sinus cardinal :</w:t>
      </w:r>
    </w:p>
    <w:p>
      <w:pPr>
        <w:pStyle w:val="BodyText"/>
      </w:pPr>
      <m:oMathPara>
        <m:oMathParaPr>
          <m:jc m:val="center"/>
        </m:oMathParaPr>
        <m:oMath>
          <m:r>
            <m:t>C</m:t>
          </m:r>
          <m:d>
            <m:dPr>
              <m:begChr m:val="("/>
              <m:sepChr m:val=""/>
              <m:endChr m:val=")"/>
              <m:grow/>
            </m:dPr>
            <m:e>
              <m:r>
                <m:t>h</m:t>
              </m:r>
            </m:e>
          </m:d>
          <m:r>
            <m:rPr>
              <m:sty m:val="p"/>
            </m:rPr>
            <m:t>=</m:t>
          </m:r>
          <m:r>
            <m:t>C</m:t>
          </m:r>
          <m:f>
            <m:fPr>
              <m:type m:val="bar"/>
            </m:fPr>
            <m:num>
              <m:r>
                <m:rPr>
                  <m:sty m:val="p"/>
                </m:rPr>
                <m:t>sin</m:t>
              </m:r>
              <m:d>
                <m:dPr>
                  <m:begChr m:val="("/>
                  <m:sepChr m:val=""/>
                  <m:endChr m:val=")"/>
                  <m:grow/>
                </m:dPr>
                <m:e>
                  <m:r>
                    <m:t>h</m:t>
                  </m:r>
                  <m:r>
                    <m:rPr>
                      <m:sty m:val="p"/>
                    </m:rPr>
                    <m:t>/</m:t>
                  </m:r>
                  <m:r>
                    <m:t>a</m:t>
                  </m:r>
                </m:e>
              </m:d>
            </m:num>
            <m:den>
              <m:r>
                <m:t>h</m:t>
              </m:r>
              <m:r>
                <m:rPr>
                  <m:sty m:val="p"/>
                </m:rPr>
                <m:t>/</m:t>
              </m:r>
              <m:r>
                <m:t>a</m:t>
              </m:r>
            </m:den>
          </m:f>
          <m:r>
            <m:rPr>
              <m:sty m:val="p"/>
            </m:rPr>
            <m:t>.</m:t>
          </m:r>
        </m:oMath>
      </m:oMathPara>
    </w:p>
    <w:p>
      <w:pPr>
        <w:pStyle w:val="FirstParagraph"/>
      </w:pPr>
      <w:r>
        <w:t xml:space="preserve">Le variogramme correspondant est :</w:t>
      </w:r>
    </w:p>
    <w:p>
      <w:pPr>
        <w:pStyle w:val="BodyText"/>
      </w:pPr>
      <m:oMathPara>
        <m:oMathParaPr>
          <m:jc m:val="center"/>
        </m:oMathParaPr>
        <m:oMath>
          <m:r>
            <m:t>γ</m:t>
          </m:r>
          <m:d>
            <m:dPr>
              <m:begChr m:val="("/>
              <m:sepChr m:val=""/>
              <m:endChr m:val=")"/>
              <m:grow/>
            </m:dPr>
            <m:e>
              <m:r>
                <m:t>h</m:t>
              </m:r>
            </m:e>
          </m:d>
          <m:r>
            <m:rPr>
              <m:sty m:val="p"/>
            </m:rPr>
            <m:t>=</m:t>
          </m:r>
          <m:r>
            <m:t>C</m:t>
          </m:r>
          <m:d>
            <m:dPr>
              <m:begChr m:val="["/>
              <m:sepChr m:val=""/>
              <m:endChr m:val="]"/>
              <m:grow/>
            </m:dPr>
            <m:e>
              <m:r>
                <m:t>1</m:t>
              </m:r>
              <m:r>
                <m:rPr>
                  <m:sty m:val="p"/>
                </m:rPr>
                <m:t>−</m:t>
              </m:r>
              <m:f>
                <m:fPr>
                  <m:type m:val="bar"/>
                </m:fPr>
                <m:num>
                  <m:r>
                    <m:rPr>
                      <m:sty m:val="p"/>
                    </m:rPr>
                    <m:t>sin</m:t>
                  </m:r>
                  <m:d>
                    <m:dPr>
                      <m:begChr m:val="("/>
                      <m:sepChr m:val=""/>
                      <m:endChr m:val=")"/>
                      <m:grow/>
                    </m:dPr>
                    <m:e>
                      <m:r>
                        <m:t>h</m:t>
                      </m:r>
                      <m:r>
                        <m:rPr>
                          <m:sty m:val="p"/>
                        </m:rPr>
                        <m:t>/</m:t>
                      </m:r>
                      <m:r>
                        <m:t>a</m:t>
                      </m:r>
                    </m:e>
                  </m:d>
                </m:num>
                <m:den>
                  <m:r>
                    <m:t>h</m:t>
                  </m:r>
                  <m:r>
                    <m:rPr>
                      <m:sty m:val="p"/>
                    </m:rPr>
                    <m:t>/</m:t>
                  </m:r>
                  <m:r>
                    <m:t>a</m:t>
                  </m:r>
                </m:den>
              </m:f>
            </m:e>
          </m:d>
          <m:r>
            <m:rPr>
              <m:sty m:val="p"/>
            </m:rPr>
            <m:t>.</m:t>
          </m:r>
        </m:oMath>
      </m:oMathPara>
    </w:p>
    <w:p>
      <w:pPr>
        <w:pStyle w:val="FirstParagraph"/>
      </w:pPr>
      <w:r>
        <w:t xml:space="preserve">À l’origine, on utilise la limite :</w:t>
      </w:r>
    </w:p>
    <w:p>
      <w:pPr>
        <w:pStyle w:val="BodyText"/>
      </w:pPr>
      <m:oMathPara>
        <m:oMathParaPr>
          <m:jc m:val="center"/>
        </m:oMathParaPr>
        <m:oMath>
          <m:limLow>
            <m:e>
              <m:r>
                <m:rPr>
                  <m:sty m:val="p"/>
                </m:rPr>
                <m:t>lim</m:t>
              </m:r>
            </m:e>
            <m:lim>
              <m:r>
                <m:t>h</m:t>
              </m:r>
              <m:r>
                <m:rPr>
                  <m:sty m:val="p"/>
                </m:rPr>
                <m:t>→</m:t>
              </m:r>
              <m:r>
                <m:t>0</m:t>
              </m:r>
            </m:lim>
          </m:limLow>
          <m:f>
            <m:fPr>
              <m:type m:val="bar"/>
            </m:fPr>
            <m:num>
              <m:r>
                <m:rPr>
                  <m:sty m:val="p"/>
                </m:rPr>
                <m:t>sin</m:t>
              </m:r>
              <m:d>
                <m:dPr>
                  <m:begChr m:val="("/>
                  <m:sepChr m:val=""/>
                  <m:endChr m:val=")"/>
                  <m:grow/>
                </m:dPr>
                <m:e>
                  <m:r>
                    <m:t>h</m:t>
                  </m:r>
                  <m:r>
                    <m:rPr>
                      <m:sty m:val="p"/>
                    </m:rPr>
                    <m:t>/</m:t>
                  </m:r>
                  <m:r>
                    <m:t>a</m:t>
                  </m:r>
                </m:e>
              </m:d>
            </m:num>
            <m:den>
              <m:r>
                <m:t>h</m:t>
              </m:r>
              <m:r>
                <m:rPr>
                  <m:sty m:val="p"/>
                </m:rPr>
                <m:t>/</m:t>
              </m:r>
              <m:r>
                <m:t>a</m:t>
              </m:r>
            </m:den>
          </m:f>
          <m:r>
            <m:rPr>
              <m:sty m:val="p"/>
            </m:rPr>
            <m:t>=</m:t>
          </m:r>
          <m:r>
            <m:t>1</m:t>
          </m:r>
          <m:r>
            <m:rPr>
              <m:sty m:val="p"/>
            </m:rPr>
            <m:t>.</m:t>
          </m:r>
        </m:oMath>
      </m:oMathPara>
    </w:p>
    <w:p>
      <w:pPr>
        <w:pStyle w:val="FirstParagraph"/>
      </w:pPr>
      <w:r>
        <w:t xml:space="preserve">L’effet de trou peut représenter une alternance plus ou moins régulière de structures, par exemple des bancs riches et pauvres ou des lentilles espacées de façon répétitive.</w:t>
      </w:r>
    </w:p>
    <w:p>
      <w:pPr>
        <w:pStyle w:val="BodyText"/>
      </w:pPr>
      <w:r>
        <w:t xml:space="preserve">Un creux dans un variogramme expérimental ne suffit toutefois pas à démontrer un effet de trou. Il peut aussi résulter d’un faible nombre de paires, de classes de distance inadéquates ou d’un variogramme bruité. L’interprétation doit donc être cohérente avec la géologie et, idéalement, être observée dans plusieurs directions ou plusieurs ensembles de données.</w:t>
      </w:r>
    </w:p>
    <w:tbl>
      <w:tblPr>
        <w:tblStyle w:val="Table"/>
        <w:tblW w:type="pct" w:w="5000"/>
        <w:tblLayout w:type="fixed"/>
        <w:tblLook w:firstRow="0" w:lastRow="0" w:firstColumn="0" w:lastColumn="0" w:noHBand="0" w:noVBand="0" w:val="0000"/>
      </w:tblPr>
      <w:tblGrid>
        <w:gridCol w:w="7920"/>
      </w:tblGrid>
      <w:tr>
        <w:tc>
          <w:tcPr/>
          <w:bookmarkStart w:id="117" w:name="fig-effet-trou"/>
          <w:p>
            <w:pPr>
              <w:pStyle w:val="Compact"/>
              <w:jc w:val="center"/>
            </w:pPr>
            <w:r>
              <w:drawing>
                <wp:inline>
                  <wp:extent cx="5334000" cy="3359695"/>
                  <wp:effectExtent b="0" l="0" r="0" t="0"/>
                  <wp:docPr descr="" title="" id="115" name="Picture"/>
                  <a:graphic>
                    <a:graphicData uri="http://schemas.openxmlformats.org/drawingml/2006/picture">
                      <pic:pic>
                        <pic:nvPicPr>
                          <pic:cNvPr descr="images/C7_effet_trou.png" id="116" name="Picture"/>
                          <pic:cNvPicPr>
                            <a:picLocks noChangeArrowheads="1" noChangeAspect="1"/>
                          </pic:cNvPicPr>
                        </pic:nvPicPr>
                        <pic:blipFill>
                          <a:blip r:embed="rId114"/>
                          <a:stretch>
                            <a:fillRect/>
                          </a:stretch>
                        </pic:blipFill>
                        <pic:spPr bwMode="auto">
                          <a:xfrm>
                            <a:off x="0" y="0"/>
                            <a:ext cx="5334000" cy="3359695"/>
                          </a:xfrm>
                          <a:prstGeom prst="rect">
                            <a:avLst/>
                          </a:prstGeom>
                          <a:noFill/>
                          <a:ln w="9525">
                            <a:noFill/>
                            <a:headEnd/>
                            <a:tailEnd/>
                          </a:ln>
                        </pic:spPr>
                      </pic:pic>
                    </a:graphicData>
                  </a:graphic>
                </wp:inline>
              </w:drawing>
            </w:r>
          </w:p>
          <w:p>
            <w:pPr>
              <w:jc w:val="center"/>
            </w:pPr>
            <w:pPr>
              <w:jc w:val="left"/>
              <w:spacing w:before="200"/>
              <w:pStyle w:val="ImageCaption"/>
            </w:pPr>
            <w:r>
              <w:t xml:space="preserve">Figure 8: Modèle à effet de trou : le variogramme dépasse son palier puis oscille avec une amplitude décroissante.</w:t>
            </w:r>
          </w:p>
          <w:bookmarkEnd w:id="117"/>
        </w:tc>
      </w:tr>
    </w:tbl>
    <w:p>
      <w:pPr>
        <w:pStyle w:val="BodyText"/>
      </w:pPr>
      <w:r>
        <w:t xml:space="preserve">La</w:t>
      </w:r>
      <w:r>
        <w:t xml:space="preserve"> </w:t>
      </w:r>
      <w:hyperlink w:anchor="fig-modeles">
        <w:r>
          <w:rPr>
            <w:rStyle w:val="Hyperlink"/>
          </w:rPr>
          <w:t xml:space="preserve">Figure 9</w:t>
        </w:r>
      </w:hyperlink>
      <w:r>
        <w:t xml:space="preserve"> </w:t>
      </w:r>
      <w:r>
        <w:t xml:space="preserve">compare le comportement des principaux modèles. Le modèle gaussien est parabolique à l’origine, tandis que les modèles sphérique et exponentiel présentent une pente non nulle. Le modèle de puissance ne possède pas de palier et le modèle à effet de trou oscille autour de celui-ci.</w:t>
      </w:r>
    </w:p>
    <w:tbl>
      <w:tblPr>
        <w:tblStyle w:val="Table"/>
        <w:tblW w:type="pct" w:w="5000"/>
        <w:tblLayout w:type="fixed"/>
        <w:tblLook w:firstRow="0" w:lastRow="0" w:firstColumn="0" w:lastColumn="0" w:noHBand="0" w:noVBand="0" w:val="0000"/>
      </w:tblPr>
      <w:tblGrid>
        <w:gridCol w:w="7920"/>
      </w:tblGrid>
      <w:tr>
        <w:tc>
          <w:tcPr/>
          <w:bookmarkStart w:id="121" w:name="fig-modeles"/>
          <w:p>
            <w:pPr>
              <w:pStyle w:val="Compact"/>
              <w:jc w:val="center"/>
            </w:pPr>
            <w:r>
              <w:drawing>
                <wp:inline>
                  <wp:extent cx="5334000" cy="3379084"/>
                  <wp:effectExtent b="0" l="0" r="0" t="0"/>
                  <wp:docPr descr="" title="" id="119" name="Picture"/>
                  <a:graphic>
                    <a:graphicData uri="http://schemas.openxmlformats.org/drawingml/2006/picture">
                      <pic:pic>
                        <pic:nvPicPr>
                          <pic:cNvPr descr="images/C7_modeles.PNG" id="120" name="Picture"/>
                          <pic:cNvPicPr>
                            <a:picLocks noChangeArrowheads="1" noChangeAspect="1"/>
                          </pic:cNvPicPr>
                        </pic:nvPicPr>
                        <pic:blipFill>
                          <a:blip r:embed="rId118"/>
                          <a:stretch>
                            <a:fillRect/>
                          </a:stretch>
                        </pic:blipFill>
                        <pic:spPr bwMode="auto">
                          <a:xfrm>
                            <a:off x="0" y="0"/>
                            <a:ext cx="5334000" cy="3379084"/>
                          </a:xfrm>
                          <a:prstGeom prst="rect">
                            <a:avLst/>
                          </a:prstGeom>
                          <a:noFill/>
                          <a:ln w="9525">
                            <a:noFill/>
                            <a:headEnd/>
                            <a:tailEnd/>
                          </a:ln>
                        </pic:spPr>
                      </pic:pic>
                    </a:graphicData>
                  </a:graphic>
                </wp:inline>
              </w:drawing>
            </w:r>
          </w:p>
          <w:p>
            <w:pPr>
              <w:jc w:val="center"/>
            </w:pPr>
            <w:pPr>
              <w:jc w:val="left"/>
              <w:spacing w:before="200"/>
              <w:pStyle w:val="ImageCaption"/>
            </w:pPr>
            <w:r>
              <w:t xml:space="preserve">Figure 9: Comparaison des principaux modèles de variogramme à palier et portée comparables.</w:t>
            </w:r>
          </w:p>
          <w:bookmarkEnd w:id="121"/>
        </w:tc>
      </w:tr>
    </w:tbl>
    <w:p>
      <w:pPr>
        <w:pStyle w:val="BodyText"/>
      </w:pPr>
      <w:r>
        <w:t xml:space="preserve">La forme du variogramme à l’origine contrôle la régularité du champ modélisé :</w:t>
      </w:r>
    </w:p>
    <w:p>
      <w:pPr>
        <w:pStyle w:val="Compact"/>
        <w:numPr>
          <w:ilvl w:val="0"/>
          <w:numId w:val="1020"/>
        </w:numPr>
      </w:pPr>
      <w:r>
        <w:t xml:space="preserve">avec une pépite pure, deux positions distinctes, même très rapprochées, peuvent présenter des valeurs très différentes;</w:t>
      </w:r>
    </w:p>
    <w:p>
      <w:pPr>
        <w:pStyle w:val="Compact"/>
        <w:numPr>
          <w:ilvl w:val="0"/>
          <w:numId w:val="1020"/>
        </w:numPr>
      </w:pPr>
      <w:r>
        <w:t xml:space="preserve">avec une croissance linéaire à l’origine, comme pour les modèles sphérique et exponentiel, le champ est continu en moyenne quadratique mais présente une variabilité marquée à courte distance;</w:t>
      </w:r>
    </w:p>
    <w:p>
      <w:pPr>
        <w:pStyle w:val="Compact"/>
        <w:numPr>
          <w:ilvl w:val="0"/>
          <w:numId w:val="1020"/>
        </w:numPr>
      </w:pPr>
      <w:r>
        <w:t xml:space="preserve">avec une croissance parabolique, comme pour le modèle gaussien, le champ est beaucoup plus lisse.</w:t>
      </w:r>
    </w:p>
    <w:p>
      <w:pPr>
        <w:pStyle w:val="FirstParagraph"/>
      </w:pPr>
      <w:r>
        <w:t xml:space="preserve">La</w:t>
      </w:r>
      <w:r>
        <w:t xml:space="preserve"> </w:t>
      </w:r>
      <w:hyperlink w:anchor="fig-simulations">
        <w:r>
          <w:rPr>
            <w:rStyle w:val="Hyperlink"/>
          </w:rPr>
          <w:t xml:space="preserve">Figure 10</w:t>
        </w:r>
      </w:hyperlink>
      <w:r>
        <w:t xml:space="preserve"> </w:t>
      </w:r>
      <w:r>
        <w:t xml:space="preserve">illustre l’effet du choix du modèle sur les champs simulés.</w:t>
      </w:r>
    </w:p>
    <w:tbl>
      <w:tblPr>
        <w:tblStyle w:val="Table"/>
        <w:tblW w:type="pct" w:w="5000"/>
        <w:tblLayout w:type="fixed"/>
        <w:tblLook w:firstRow="0" w:lastRow="0" w:firstColumn="0" w:lastColumn="0" w:noHBand="0" w:noVBand="0" w:val="0000"/>
      </w:tblPr>
      <w:tblGrid>
        <w:gridCol w:w="7920"/>
      </w:tblGrid>
      <w:tr>
        <w:tc>
          <w:tcPr/>
          <w:bookmarkStart w:id="125" w:name="fig-simulations"/>
          <w:p>
            <w:pPr>
              <w:pStyle w:val="Compact"/>
              <w:jc w:val="center"/>
            </w:pPr>
            <w:r>
              <w:drawing>
                <wp:inline>
                  <wp:extent cx="5334000" cy="4206574"/>
                  <wp:effectExtent b="0" l="0" r="0" t="0"/>
                  <wp:docPr descr="" title="" id="123" name="Picture"/>
                  <a:graphic>
                    <a:graphicData uri="http://schemas.openxmlformats.org/drawingml/2006/picture">
                      <pic:pic>
                        <pic:nvPicPr>
                          <pic:cNvPr descr="images/C7_simulations.PNG" id="124" name="Picture"/>
                          <pic:cNvPicPr>
                            <a:picLocks noChangeArrowheads="1" noChangeAspect="1"/>
                          </pic:cNvPicPr>
                        </pic:nvPicPr>
                        <pic:blipFill>
                          <a:blip r:embed="rId122"/>
                          <a:stretch>
                            <a:fillRect/>
                          </a:stretch>
                        </pic:blipFill>
                        <pic:spPr bwMode="auto">
                          <a:xfrm>
                            <a:off x="0" y="0"/>
                            <a:ext cx="5334000" cy="4206574"/>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Comparaison de simulations produites à partir de différents modèles de variogramme.</w:t>
            </w:r>
          </w:p>
          <w:bookmarkEnd w:id="125"/>
        </w:tc>
      </w:tr>
    </w:tbl>
    <w:bookmarkEnd w:id="126"/>
    <w:bookmarkEnd w:id="127"/>
    <w:bookmarkEnd w:id="128"/>
    <w:bookmarkStart w:id="155" w:name="X80c9e35f2ac7ec8a75cdbb1df25182b307c665f"/>
    <w:p>
      <w:pPr>
        <w:pStyle w:val="Heading2"/>
      </w:pPr>
      <w:r>
        <w:t xml:space="preserve">🧮 Atelier interactif 7.3 — Modèles théoriques de variogramme</w:t>
      </w:r>
    </w:p>
    <w:p>
      <w:pPr>
        <w:pStyle w:val="FirstParagraph"/>
      </w:pPr>
      <w:r>
        <w:t xml:space="preserve">Cet atelier interactif est disponible uniquement dans la version web du chapitre.</w:t>
      </w:r>
    </w:p>
    <w:p>
      <w:pPr>
        <w:pStyle w:val="BodyText"/>
      </w:pPr>
      <w:r>
        <w:t xml:space="preserve">Les modèles précédents supposent que la continuité est identique dans toutes les directions. Cette hypothèse est rarement vérifiée dans les milieux géologiques. Il faut alors introduire l’anisotropie.</w:t>
      </w:r>
    </w:p>
    <w:bookmarkStart w:id="154" w:name="anisotropie"/>
    <w:p>
      <w:pPr>
        <w:pStyle w:val="Heading3"/>
      </w:pPr>
      <w:r>
        <w:t xml:space="preserve">Anisotropie</w:t>
      </w:r>
    </w:p>
    <w:p>
      <w:pPr>
        <w:pStyle w:val="FirstParagraph"/>
      </w:pPr>
      <w:r>
        <w:t xml:space="preserve">La continuité spatiale d’un phénomène géologique peut varier selon la direction. Un gisement stratiforme ou lenticulaire, par exemple, présente souvent une continuité plus importante parallèlement à son axe principal que dans la direction perpendiculaire.</w:t>
      </w:r>
    </w:p>
    <w:p>
      <w:pPr>
        <w:pStyle w:val="BodyText"/>
      </w:pPr>
      <w:r>
        <w:t xml:space="preserve">On distingue principalement l’anisotropie géométrique et l’anisotropie zonale (</w:t>
      </w:r>
      <w:hyperlink w:anchor="fig-c7-anisotropie-geo-zonale">
        <w:r>
          <w:rPr>
            <w:rStyle w:val="Hyperlink"/>
          </w:rPr>
          <w:t xml:space="preserve">Figure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2" w:name="fig-c7-anisotropie-geo-zonale"/>
          <w:p>
            <w:pPr>
              <w:pStyle w:val="Compact"/>
              <w:jc w:val="center"/>
            </w:pPr>
            <w:r>
              <w:drawing>
                <wp:inline>
                  <wp:extent cx="5334000" cy="2288450"/>
                  <wp:effectExtent b="0" l="0" r="0" t="0"/>
                  <wp:docPr descr="" title="" id="130" name="Picture"/>
                  <a:graphic>
                    <a:graphicData uri="http://schemas.openxmlformats.org/drawingml/2006/picture">
                      <pic:pic>
                        <pic:nvPicPr>
                          <pic:cNvPr descr="images/c7_02_anisotropie_geo_zonale.png" id="131" name="Picture"/>
                          <pic:cNvPicPr>
                            <a:picLocks noChangeArrowheads="1" noChangeAspect="1"/>
                          </pic:cNvPicPr>
                        </pic:nvPicPr>
                        <pic:blipFill>
                          <a:blip r:embed="rId129"/>
                          <a:stretch>
                            <a:fillRect/>
                          </a:stretch>
                        </pic:blipFill>
                        <pic:spPr bwMode="auto">
                          <a:xfrm>
                            <a:off x="0" y="0"/>
                            <a:ext cx="5334000" cy="22884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Anisotropie géométrique (même palier, portées différentes) et anisotropie zonale (paliers différents selon la direction).</w:t>
            </w:r>
          </w:p>
          <w:bookmarkEnd w:id="132"/>
        </w:tc>
      </w:tr>
    </w:tbl>
    <w:bookmarkStart w:id="139" w:name="anisotropie-géométrique"/>
    <w:p>
      <w:pPr>
        <w:pStyle w:val="Heading4"/>
      </w:pPr>
      <w:r>
        <w:t xml:space="preserve">Anisotropie géométrique</w:t>
      </w:r>
    </w:p>
    <w:p>
      <w:pPr>
        <w:pStyle w:val="FirstParagraph"/>
      </w:pPr>
      <w:r>
        <w:t xml:space="preserve">L’anisotropie géométrique apparaît lorsque la portée varie selon la direction, tandis que le palier et l’effet de pépite demeurent identiques.</w:t>
      </w:r>
    </w:p>
    <w:p>
      <w:pPr>
        <w:pStyle w:val="BodyText"/>
      </w:pPr>
      <w:r>
        <w:t xml:space="preserve">Les variogrammes directionnels atteignent alors le même palier, mais à des distances différentes. La structure peut être représentée par une ellipse en deux dimensions ou par un ellipsoïde en trois dimensions.</w:t>
      </w:r>
    </w:p>
    <w:p>
      <w:pPr>
        <w:pStyle w:val="BodyText"/>
      </w:pPr>
      <w:r>
        <w:t xml:space="preserve">En deux dimensions, considérons :</w:t>
      </w:r>
    </w:p>
    <w:p>
      <w:pPr>
        <w:pStyle w:val="Compact"/>
        <w:numPr>
          <w:ilvl w:val="0"/>
          <w:numId w:val="1021"/>
        </w:numPr>
      </w:pPr>
      <w:r>
        <w:t xml:space="preserve">une portée maximale</w:t>
      </w:r>
      <w:r>
        <w:t xml:space="preserve"> </w:t>
      </w:r>
      <m:oMath>
        <m:sSub>
          <m:e>
            <m:r>
              <m:t>a</m:t>
            </m:r>
          </m:e>
          <m:sub>
            <m:r>
              <m:t>g</m:t>
            </m:r>
          </m:sub>
        </m:sSub>
      </m:oMath>
      <w:r>
        <w:t xml:space="preserve">;</w:t>
      </w:r>
    </w:p>
    <w:p>
      <w:pPr>
        <w:pStyle w:val="Compact"/>
        <w:numPr>
          <w:ilvl w:val="0"/>
          <w:numId w:val="1021"/>
        </w:numPr>
      </w:pPr>
      <w:r>
        <w:t xml:space="preserve">une portée minimale</w:t>
      </w:r>
      <w:r>
        <w:t xml:space="preserve"> </w:t>
      </w:r>
      <m:oMath>
        <m:sSub>
          <m:e>
            <m:r>
              <m:t>a</m:t>
            </m:r>
          </m:e>
          <m:sub>
            <m:r>
              <m:t>p</m:t>
            </m:r>
          </m:sub>
        </m:sSub>
      </m:oMath>
      <w:r>
        <w:t xml:space="preserve">;</w:t>
      </w:r>
    </w:p>
    <w:p>
      <w:pPr>
        <w:pStyle w:val="Compact"/>
        <w:numPr>
          <w:ilvl w:val="0"/>
          <w:numId w:val="1021"/>
        </w:numPr>
      </w:pPr>
      <w:r>
        <w:t xml:space="preserve">deux axes principaux orthogonaux;</w:t>
      </w:r>
    </w:p>
    <w:p>
      <w:pPr>
        <w:pStyle w:val="Compact"/>
        <w:numPr>
          <w:ilvl w:val="0"/>
          <w:numId w:val="1021"/>
        </w:numPr>
      </w:pPr>
      <w:r>
        <w:t xml:space="preserve">un angle définissant l’orientation de l’axe de portée maximale.</w:t>
      </w:r>
    </w:p>
    <w:p>
      <w:pPr>
        <w:pStyle w:val="FirstParagraph"/>
      </w:pPr>
      <w:r>
        <w:t xml:space="preserve">La portée dans une direction formant un angle</w:t>
      </w:r>
      <w:r>
        <w:t xml:space="preserve"> </w:t>
      </w:r>
      <m:oMath>
        <m:r>
          <m:t>θ</m:t>
        </m:r>
      </m:oMath>
      <w:r>
        <w:t xml:space="preserve"> </w:t>
      </w:r>
      <w:r>
        <w:t xml:space="preserve">avec l’axe de portée maximale est :</w:t>
      </w:r>
    </w:p>
    <w:p>
      <w:pPr>
        <w:pStyle w:val="BodyText"/>
      </w:pPr>
      <m:oMathPara>
        <m:oMathParaPr>
          <m:jc m:val="center"/>
        </m:oMathParaPr>
        <m:oMath>
          <m:sSub>
            <m:e>
              <m:r>
                <m:t>a</m:t>
              </m:r>
            </m:e>
            <m:sub>
              <m:r>
                <m:t>θ</m:t>
              </m:r>
            </m:sub>
          </m:sSub>
          <m:r>
            <m:rPr>
              <m:sty m:val="p"/>
            </m:rPr>
            <m:t>=</m:t>
          </m:r>
          <m:f>
            <m:fPr>
              <m:type m:val="bar"/>
            </m:fPr>
            <m:num>
              <m:sSub>
                <m:e>
                  <m:r>
                    <m:t>a</m:t>
                  </m:r>
                </m:e>
                <m:sub>
                  <m:r>
                    <m:t>g</m:t>
                  </m:r>
                </m:sub>
              </m:sSub>
              <m:sSub>
                <m:e>
                  <m:r>
                    <m:t>a</m:t>
                  </m:r>
                </m:e>
                <m:sub>
                  <m:r>
                    <m:t>p</m:t>
                  </m:r>
                </m:sub>
              </m:sSub>
            </m:num>
            <m:den>
              <m:rad>
                <m:radPr>
                  <m:degHide m:val="on"/>
                </m:radPr>
                <m:deg/>
                <m:e>
                  <m:sSubSup>
                    <m:e>
                      <m:r>
                        <m:t>a</m:t>
                      </m:r>
                    </m:e>
                    <m:sub>
                      <m:r>
                        <m:t>p</m:t>
                      </m:r>
                    </m:sub>
                    <m:sup>
                      <m:r>
                        <m:t>2</m:t>
                      </m:r>
                    </m:sup>
                  </m:sSubSup>
                  <m:sSup>
                    <m:e>
                      <m:r>
                        <m:rPr>
                          <m:sty m:val="p"/>
                        </m:rPr>
                        <m:t>cos</m:t>
                      </m:r>
                    </m:e>
                    <m:sup>
                      <m:r>
                        <m:t>2</m:t>
                      </m:r>
                    </m:sup>
                  </m:sSup>
                  <m:d>
                    <m:dPr>
                      <m:begChr m:val="("/>
                      <m:sepChr m:val=""/>
                      <m:endChr m:val=")"/>
                      <m:grow/>
                    </m:dPr>
                    <m:e>
                      <m:r>
                        <m:t>θ</m:t>
                      </m:r>
                    </m:e>
                  </m:d>
                  <m:r>
                    <m:rPr>
                      <m:sty m:val="p"/>
                    </m:rPr>
                    <m:t>+</m:t>
                  </m:r>
                  <m:sSubSup>
                    <m:e>
                      <m:r>
                        <m:t>a</m:t>
                      </m:r>
                    </m:e>
                    <m:sub>
                      <m:r>
                        <m:t>g</m:t>
                      </m:r>
                    </m:sub>
                    <m:sup>
                      <m:r>
                        <m:t>2</m:t>
                      </m:r>
                    </m:sup>
                  </m:sSubSup>
                  <m:sSup>
                    <m:e>
                      <m:r>
                        <m:rPr>
                          <m:sty m:val="p"/>
                        </m:rPr>
                        <m:t>sin</m:t>
                      </m:r>
                    </m:e>
                    <m:sup>
                      <m:r>
                        <m:t>2</m:t>
                      </m:r>
                    </m:sup>
                  </m:sSup>
                  <m:d>
                    <m:dPr>
                      <m:begChr m:val="("/>
                      <m:sepChr m:val=""/>
                      <m:endChr m:val=")"/>
                      <m:grow/>
                    </m:dPr>
                    <m:e>
                      <m:r>
                        <m:t>θ</m:t>
                      </m:r>
                    </m:e>
                  </m:d>
                </m:e>
              </m:rad>
            </m:den>
          </m:f>
          <m:r>
            <m:rPr>
              <m:sty m:val="p"/>
            </m:rPr>
            <m:t>.</m:t>
          </m:r>
        </m:oMath>
      </m:oMathPara>
    </w:p>
    <w:p>
      <w:pPr>
        <w:pStyle w:val="FirstParagraph"/>
      </w:pPr>
      <w:r>
        <w:t xml:space="preserve">Cette formule satisfait notamment :</w:t>
      </w:r>
    </w:p>
    <w:p>
      <w:pPr>
        <w:pStyle w:val="BodyText"/>
      </w:pPr>
      <m:oMathPara>
        <m:oMathParaPr>
          <m:jc m:val="center"/>
        </m:oMathParaPr>
        <m:oMath>
          <m:sSub>
            <m:e>
              <m:r>
                <m:t>a</m:t>
              </m:r>
            </m:e>
            <m:sub>
              <m:r>
                <m:t>θ</m:t>
              </m:r>
              <m:r>
                <m:rPr>
                  <m:sty m:val="p"/>
                </m:rPr>
                <m:t>=</m:t>
              </m:r>
              <m:r>
                <m:t>0</m:t>
              </m:r>
            </m:sub>
          </m:sSub>
          <m:r>
            <m:rPr>
              <m:sty m:val="p"/>
            </m:rPr>
            <m:t>=</m:t>
          </m:r>
          <m:sSub>
            <m:e>
              <m:r>
                <m:t>a</m:t>
              </m:r>
            </m:e>
            <m:sub>
              <m:r>
                <m:t>g</m:t>
              </m:r>
            </m:sub>
          </m:sSub>
        </m:oMath>
      </m:oMathPara>
    </w:p>
    <w:p>
      <w:pPr>
        <w:pStyle w:val="FirstParagraph"/>
      </w:pPr>
      <w:r>
        <w:t xml:space="preserve">et</w:t>
      </w:r>
    </w:p>
    <w:p>
      <w:pPr>
        <w:pStyle w:val="BodyText"/>
      </w:pPr>
      <m:oMathPara>
        <m:oMathParaPr>
          <m:jc m:val="center"/>
        </m:oMathParaPr>
        <m:oMath>
          <m:sSub>
            <m:e>
              <m:r>
                <m:t>a</m:t>
              </m:r>
            </m:e>
            <m:sub>
              <m:r>
                <m:t>θ</m:t>
              </m:r>
              <m:r>
                <m:rPr>
                  <m:sty m:val="p"/>
                </m:rPr>
                <m:t>=</m:t>
              </m:r>
              <m:sSup>
                <m:e>
                  <m:r>
                    <m:t>90</m:t>
                  </m:r>
                </m:e>
                <m:sup>
                  <m:r>
                    <m:rPr>
                      <m:sty m:val="p"/>
                    </m:rPr>
                    <m:t>∘</m:t>
                  </m:r>
                </m:sup>
              </m:sSup>
            </m:sub>
          </m:sSub>
          <m:r>
            <m:rPr>
              <m:sty m:val="p"/>
            </m:rPr>
            <m:t>=</m:t>
          </m:r>
          <m:sSub>
            <m:e>
              <m:r>
                <m:t>a</m:t>
              </m:r>
            </m:e>
            <m:sub>
              <m:r>
                <m:t>p</m:t>
              </m:r>
            </m:sub>
          </m:sSub>
          <m:r>
            <m:rPr>
              <m:sty m:val="p"/>
            </m:rPr>
            <m:t>.</m:t>
          </m:r>
        </m:oMath>
      </m:oMathPara>
    </w:p>
    <w:p>
      <w:pPr>
        <w:pStyle w:val="FirstParagraph"/>
      </w:pPr>
      <w:r>
        <w:t xml:space="preserve">Une autre approche consiste à transformer la distance anisotrope en une distance équivalente dans un système isotrope. Pour une séparation de longueur</w:t>
      </w:r>
      <w:r>
        <w:t xml:space="preserve"> </w:t>
      </w:r>
      <m:oMath>
        <m:r>
          <m:t>h</m:t>
        </m:r>
      </m:oMath>
      <w:r>
        <w:t xml:space="preserve"> </w:t>
      </w:r>
      <w:r>
        <w:t xml:space="preserve">formant un angle</w:t>
      </w:r>
      <w:r>
        <w:t xml:space="preserve"> </w:t>
      </w:r>
      <m:oMath>
        <m:r>
          <m:t>θ</m:t>
        </m:r>
      </m:oMath>
      <w:r>
        <w:t xml:space="preserve"> </w:t>
      </w:r>
      <w:r>
        <w:t xml:space="preserve">avec l’axe de portée maximale :</w:t>
      </w:r>
    </w:p>
    <w:p>
      <w:pPr>
        <w:pStyle w:val="BodyText"/>
      </w:pPr>
      <m:oMathPara>
        <m:oMathParaPr>
          <m:jc m:val="center"/>
        </m:oMathParaPr>
        <m:oMath>
          <m:sSub>
            <m:e>
              <m:r>
                <m:t>h</m:t>
              </m:r>
            </m:e>
            <m:sub>
              <m:r>
                <m:t>g</m:t>
              </m:r>
            </m:sub>
          </m:sSub>
          <m:r>
            <m:rPr>
              <m:sty m:val="p"/>
            </m:rPr>
            <m:t>=</m:t>
          </m:r>
          <m:rad>
            <m:radPr>
              <m:degHide m:val="on"/>
            </m:radPr>
            <m:deg/>
            <m:e>
              <m:sSup>
                <m:e>
                  <m:d>
                    <m:dPr>
                      <m:begChr m:val="["/>
                      <m:sepChr m:val=""/>
                      <m:endChr m:val="]"/>
                      <m:grow/>
                    </m:dPr>
                    <m:e>
                      <m:r>
                        <m:t>h</m:t>
                      </m:r>
                      <m:r>
                        <m:rPr>
                          <m:sty m:val="p"/>
                        </m:rPr>
                        <m:t>cos</m:t>
                      </m:r>
                      <m:d>
                        <m:dPr>
                          <m:begChr m:val="("/>
                          <m:sepChr m:val=""/>
                          <m:endChr m:val=")"/>
                          <m:grow/>
                        </m:dPr>
                        <m:e>
                          <m:r>
                            <m:t>θ</m:t>
                          </m:r>
                        </m:e>
                      </m:d>
                    </m:e>
                  </m:d>
                </m:e>
                <m:sup>
                  <m:r>
                    <m:t>2</m:t>
                  </m:r>
                </m:sup>
              </m:sSup>
              <m:r>
                <m:rPr>
                  <m:sty m:val="p"/>
                </m:rPr>
                <m:t>+</m:t>
              </m:r>
              <m:sSup>
                <m:e>
                  <m:d>
                    <m:dPr>
                      <m:begChr m:val="["/>
                      <m:sepChr m:val=""/>
                      <m:endChr m:val="]"/>
                      <m:grow/>
                    </m:dPr>
                    <m:e>
                      <m:f>
                        <m:fPr>
                          <m:type m:val="bar"/>
                        </m:fPr>
                        <m:num>
                          <m:sSub>
                            <m:e>
                              <m:r>
                                <m:t>a</m:t>
                              </m:r>
                            </m:e>
                            <m:sub>
                              <m:r>
                                <m:t>g</m:t>
                              </m:r>
                            </m:sub>
                          </m:sSub>
                        </m:num>
                        <m:den>
                          <m:sSub>
                            <m:e>
                              <m:r>
                                <m:t>a</m:t>
                              </m:r>
                            </m:e>
                            <m:sub>
                              <m:r>
                                <m:t>p</m:t>
                              </m:r>
                            </m:sub>
                          </m:sSub>
                        </m:den>
                      </m:f>
                      <m:r>
                        <m:t>h</m:t>
                      </m:r>
                      <m:r>
                        <m:rPr>
                          <m:sty m:val="p"/>
                        </m:rPr>
                        <m:t>sin</m:t>
                      </m:r>
                      <m:d>
                        <m:dPr>
                          <m:begChr m:val="("/>
                          <m:sepChr m:val=""/>
                          <m:endChr m:val=")"/>
                          <m:grow/>
                        </m:dPr>
                        <m:e>
                          <m:r>
                            <m:t>θ</m:t>
                          </m:r>
                        </m:e>
                      </m:d>
                    </m:e>
                  </m:d>
                </m:e>
                <m:sup>
                  <m:r>
                    <m:t>2</m:t>
                  </m:r>
                </m:sup>
              </m:sSup>
            </m:e>
          </m:rad>
          <m:r>
            <m:rPr>
              <m:sty m:val="p"/>
            </m:rPr>
            <m:t>.</m:t>
          </m:r>
        </m:oMath>
      </m:oMathPara>
    </w:p>
    <w:p>
      <w:pPr>
        <w:pStyle w:val="FirstParagraph"/>
      </w:pPr>
      <w:r>
        <w:t xml:space="preserve">Le variogramme est ensuite évalué avec la portée maximale</w:t>
      </w:r>
      <w:r>
        <w:t xml:space="preserve"> </w:t>
      </w:r>
      <m:oMath>
        <m:sSub>
          <m:e>
            <m:r>
              <m:t>a</m:t>
            </m:r>
          </m:e>
          <m:sub>
            <m:r>
              <m:t>g</m:t>
            </m:r>
          </m:sub>
        </m:sSub>
      </m:oMath>
      <w:r>
        <w:t xml:space="preserve"> </w:t>
      </w:r>
      <w:r>
        <w:t xml:space="preserve">et la distance transformée</w:t>
      </w:r>
      <w:r>
        <w:t xml:space="preserve"> </w:t>
      </w:r>
      <m:oMath>
        <m:sSub>
          <m:e>
            <m:r>
              <m:t>h</m:t>
            </m:r>
          </m:e>
          <m:sub>
            <m:r>
              <m:t>g</m:t>
            </m:r>
          </m:sub>
        </m:sSub>
      </m:oMath>
      <w:r>
        <w:t xml:space="preserve">.</w:t>
      </w:r>
    </w:p>
    <w:tbl>
      <w:tblPr>
        <w:tblStyle w:val="Table"/>
        <w:tblW w:type="pct" w:w="5000"/>
        <w:tblLayout w:type="fixed"/>
        <w:tblLook w:firstRow="0" w:lastRow="0" w:firstColumn="0" w:lastColumn="0" w:noHBand="0" w:noVBand="0" w:val="0000"/>
      </w:tblPr>
      <w:tblGrid>
        <w:gridCol w:w="7920"/>
      </w:tblGrid>
      <w:tr>
        <w:tc>
          <w:tcPr/>
          <w:bookmarkStart w:id="136" w:name="fig-anisotropie"/>
          <w:p>
            <w:pPr>
              <w:pStyle w:val="Compact"/>
              <w:jc w:val="center"/>
            </w:pPr>
            <w:r>
              <w:drawing>
                <wp:inline>
                  <wp:extent cx="5334000" cy="2178572"/>
                  <wp:effectExtent b="0" l="0" r="0" t="0"/>
                  <wp:docPr descr="" title="" id="134" name="Picture"/>
                  <a:graphic>
                    <a:graphicData uri="http://schemas.openxmlformats.org/drawingml/2006/picture">
                      <pic:pic>
                        <pic:nvPicPr>
                          <pic:cNvPr descr="images/C7_anisotropie.PNG" id="135" name="Picture"/>
                          <pic:cNvPicPr>
                            <a:picLocks noChangeArrowheads="1" noChangeAspect="1"/>
                          </pic:cNvPicPr>
                        </pic:nvPicPr>
                        <pic:blipFill>
                          <a:blip r:embed="rId133"/>
                          <a:stretch>
                            <a:fillRect/>
                          </a:stretch>
                        </pic:blipFill>
                        <pic:spPr bwMode="auto">
                          <a:xfrm>
                            <a:off x="0" y="0"/>
                            <a:ext cx="5334000" cy="217857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Illustration d’une anisotropie géométrique et de ses principales directions.</w:t>
            </w:r>
          </w:p>
          <w:bookmarkEnd w:id="136"/>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C:\Users\danyl\AppData\Local\Programs\Quarto\share\formats\docx\note.png" id="13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Une anisotropie géométrique peut être ramenée à un modèle isotrope par une rotation suivie d’une mise à l’échelle des coordonnées.</w:t>
            </w:r>
          </w:p>
          <w:p/>
        </w:tc>
      </w:tr>
    </w:tbl>
    <w:bookmarkEnd w:id="139"/>
    <w:bookmarkStart w:id="142" w:name="exemple-danisotropie-géométrique"/>
    <w:p>
      <w:pPr>
        <w:pStyle w:val="Heading4"/>
      </w:pPr>
      <w:r>
        <w:t xml:space="preserve">Exemple d’anisotropie géométrique</w:t>
      </w:r>
    </w:p>
    <w:p>
      <w:pPr>
        <w:pStyle w:val="FirstParagraph"/>
      </w:pPr>
      <w:r>
        <w:t xml:space="preserve">Considérons un modèle sphérique comprenant :</w:t>
      </w:r>
    </w:p>
    <w:p>
      <w:pPr>
        <w:pStyle w:val="Compact"/>
        <w:numPr>
          <w:ilvl w:val="0"/>
          <w:numId w:val="1022"/>
        </w:numPr>
      </w:pPr>
      <w:r>
        <w:t xml:space="preserve">un effet de pépite</w:t>
      </w:r>
      <w:r>
        <w:t xml:space="preserve"> </w:t>
      </w:r>
      <m:oMath>
        <m:sSub>
          <m:e>
            <m:r>
              <m:t>C</m:t>
            </m:r>
          </m:e>
          <m:sub>
            <m:r>
              <m:t>0</m:t>
            </m:r>
          </m:sub>
        </m:sSub>
        <m:r>
          <m:rPr>
            <m:sty m:val="p"/>
          </m:rPr>
          <m:t>=</m:t>
        </m:r>
        <m:r>
          <m:t>13</m:t>
        </m:r>
        <m:r>
          <m:t> </m:t>
        </m:r>
        <m:sSup>
          <m:e>
            <m:r>
              <m:rPr>
                <m:sty m:val="p"/>
              </m:rPr>
              <m:t>%</m:t>
            </m:r>
          </m:e>
          <m:sup>
            <m:r>
              <m:t>2</m:t>
            </m:r>
          </m:sup>
        </m:sSup>
      </m:oMath>
      <w:r>
        <w:t xml:space="preserve">;</w:t>
      </w:r>
    </w:p>
    <w:p>
      <w:pPr>
        <w:pStyle w:val="Compact"/>
        <w:numPr>
          <w:ilvl w:val="0"/>
          <w:numId w:val="1022"/>
        </w:numPr>
      </w:pPr>
      <w:r>
        <w:t xml:space="preserve">un palier partiel</w:t>
      </w:r>
      <w:r>
        <w:t xml:space="preserve"> </w:t>
      </w:r>
      <m:oMath>
        <m:r>
          <m:t>C</m:t>
        </m:r>
        <m:r>
          <m:rPr>
            <m:sty m:val="p"/>
          </m:rPr>
          <m:t>=</m:t>
        </m:r>
        <m:r>
          <m:t>17</m:t>
        </m:r>
        <m:r>
          <m:t> </m:t>
        </m:r>
        <m:sSup>
          <m:e>
            <m:r>
              <m:rPr>
                <m:sty m:val="p"/>
              </m:rPr>
              <m:t>%</m:t>
            </m:r>
          </m:e>
          <m:sup>
            <m:r>
              <m:t>2</m:t>
            </m:r>
          </m:sup>
        </m:sSup>
      </m:oMath>
      <w:r>
        <w:t xml:space="preserve">;</w:t>
      </w:r>
    </w:p>
    <w:p>
      <w:pPr>
        <w:pStyle w:val="Compact"/>
        <w:numPr>
          <w:ilvl w:val="0"/>
          <w:numId w:val="1022"/>
        </w:numPr>
      </w:pPr>
      <w:r>
        <w:t xml:space="preserve">une portée maximale</w:t>
      </w:r>
      <w:r>
        <w:t xml:space="preserve"> </w:t>
      </w:r>
      <m:oMath>
        <m:sSub>
          <m:e>
            <m:r>
              <m:t>a</m:t>
            </m:r>
          </m:e>
          <m:sub>
            <m:r>
              <m:t>g</m:t>
            </m:r>
          </m:sub>
        </m:sSub>
        <m:r>
          <m:rPr>
            <m:sty m:val="p"/>
          </m:rPr>
          <m:t>=</m:t>
        </m:r>
        <m:r>
          <m:t>100</m:t>
        </m:r>
      </m:oMath>
      <w:r>
        <w:t xml:space="preserve"> </w:t>
      </w:r>
      <w:r>
        <w:t xml:space="preserve">m orientée à</w:t>
      </w:r>
      <w:r>
        <w:t xml:space="preserve"> </w:t>
      </w:r>
      <m:oMath>
        <m:sSup>
          <m:e>
            <m:r>
              <m:t>30</m:t>
            </m:r>
          </m:e>
          <m:sup>
            <m:r>
              <m:rPr>
                <m:sty m:val="p"/>
              </m:rPr>
              <m:t>∘</m:t>
            </m:r>
          </m:sup>
        </m:sSup>
      </m:oMath>
      <w:r>
        <w:t xml:space="preserve">;</w:t>
      </w:r>
    </w:p>
    <w:p>
      <w:pPr>
        <w:pStyle w:val="Compact"/>
        <w:numPr>
          <w:ilvl w:val="0"/>
          <w:numId w:val="1022"/>
        </w:numPr>
      </w:pPr>
      <w:r>
        <w:t xml:space="preserve">une portée minimale</w:t>
      </w:r>
      <w:r>
        <w:t xml:space="preserve"> </w:t>
      </w:r>
      <m:oMath>
        <m:sSub>
          <m:e>
            <m:r>
              <m:t>a</m:t>
            </m:r>
          </m:e>
          <m:sub>
            <m:r>
              <m:t>p</m:t>
            </m:r>
          </m:sub>
        </m:sSub>
        <m:r>
          <m:rPr>
            <m:sty m:val="p"/>
          </m:rPr>
          <m:t>=</m:t>
        </m:r>
        <m:r>
          <m:t>60</m:t>
        </m:r>
      </m:oMath>
      <w:r>
        <w:t xml:space="preserve"> </w:t>
      </w:r>
      <w:r>
        <w:t xml:space="preserve">m orientée à</w:t>
      </w:r>
      <w:r>
        <w:t xml:space="preserve"> </w:t>
      </w:r>
      <m:oMath>
        <m:sSup>
          <m:e>
            <m:r>
              <m:t>120</m:t>
            </m:r>
          </m:e>
          <m:sup>
            <m:r>
              <m:rPr>
                <m:sty m:val="p"/>
              </m:rPr>
              <m:t>∘</m:t>
            </m:r>
          </m:sup>
        </m:sSup>
      </m:oMath>
      <w:r>
        <w:t xml:space="preserve">.</w:t>
      </w:r>
    </w:p>
    <w:p>
      <w:pPr>
        <w:pStyle w:val="FirstParagraph"/>
      </w:pPr>
      <w:r>
        <w:t xml:space="preserve">On souhaite calculer le variogramme entre les points :</w:t>
      </w:r>
    </w:p>
    <w:p>
      <w:pPr>
        <w:pStyle w:val="BodyText"/>
      </w:pPr>
      <m:oMathPara>
        <m:oMathParaPr>
          <m:jc m:val="center"/>
        </m:oMathParaPr>
        <m:oMath>
          <m:d>
            <m:dPr>
              <m:begChr m:val="("/>
              <m:sepChr m:val=""/>
              <m:endChr m:val=")"/>
              <m:grow/>
            </m:dPr>
            <m:e>
              <m:sSub>
                <m:e>
                  <m:r>
                    <m:t>x</m:t>
                  </m:r>
                </m:e>
                <m:sub>
                  <m:r>
                    <m:t>1</m:t>
                  </m:r>
                </m:sub>
              </m:sSub>
              <m:r>
                <m:rPr>
                  <m:sty m:val="p"/>
                </m:rPr>
                <m:t>,</m:t>
              </m:r>
              <m:sSub>
                <m:e>
                  <m:r>
                    <m:t>y</m:t>
                  </m:r>
                </m:e>
                <m:sub>
                  <m:r>
                    <m:t>1</m:t>
                  </m:r>
                </m:sub>
              </m:sSub>
            </m:e>
          </m:d>
          <m:r>
            <m:rPr>
              <m:sty m:val="p"/>
            </m:rPr>
            <m:t>=</m:t>
          </m:r>
          <m:d>
            <m:dPr>
              <m:begChr m:val="("/>
              <m:sepChr m:val=""/>
              <m:endChr m:val=")"/>
              <m:grow/>
            </m:dPr>
            <m:e>
              <m:r>
                <m:t>10</m:t>
              </m:r>
              <m:r>
                <m:rPr>
                  <m:sty m:val="p"/>
                </m:rPr>
                <m:t>,</m:t>
              </m:r>
              <m:r>
                <m:t>30</m:t>
              </m:r>
            </m:e>
          </m:d>
        </m:oMath>
      </m:oMathPara>
    </w:p>
    <w:p>
      <w:pPr>
        <w:pStyle w:val="FirstParagraph"/>
      </w:pPr>
      <w:r>
        <w:t xml:space="preserve">et</w:t>
      </w:r>
    </w:p>
    <w:p>
      <w:pPr>
        <w:pStyle w:val="BodyText"/>
      </w:pPr>
      <m:oMathPara>
        <m:oMathParaPr>
          <m:jc m:val="center"/>
        </m:oMathParaPr>
        <m:oMath>
          <m:d>
            <m:dPr>
              <m:begChr m:val="("/>
              <m:sepChr m:val=""/>
              <m:endChr m:val=")"/>
              <m:grow/>
            </m:dPr>
            <m:e>
              <m:sSub>
                <m:e>
                  <m:r>
                    <m:t>x</m:t>
                  </m:r>
                </m:e>
                <m:sub>
                  <m:r>
                    <m:t>2</m:t>
                  </m:r>
                </m:sub>
              </m:sSub>
              <m:r>
                <m:rPr>
                  <m:sty m:val="p"/>
                </m:rPr>
                <m:t>,</m:t>
              </m:r>
              <m:sSub>
                <m:e>
                  <m:r>
                    <m:t>y</m:t>
                  </m:r>
                </m:e>
                <m:sub>
                  <m:r>
                    <m:t>2</m:t>
                  </m:r>
                </m:sub>
              </m:sSub>
            </m:e>
          </m:d>
          <m:r>
            <m:rPr>
              <m:sty m:val="p"/>
            </m:rPr>
            <m:t>=</m:t>
          </m:r>
          <m:d>
            <m:dPr>
              <m:begChr m:val="("/>
              <m:sepChr m:val=""/>
              <m:endChr m:val=")"/>
              <m:grow/>
            </m:dPr>
            <m:e>
              <m:r>
                <m:t>40</m:t>
              </m:r>
              <m:r>
                <m:rPr>
                  <m:sty m:val="p"/>
                </m:rPr>
                <m:t>,</m:t>
              </m:r>
              <m:r>
                <m:t>20</m:t>
              </m:r>
            </m:e>
          </m:d>
          <m:r>
            <m:rPr>
              <m:sty m:val="p"/>
            </m:rPr>
            <m:t>.</m:t>
          </m:r>
        </m:oMath>
      </m:oMathPara>
    </w:p>
    <w:bookmarkStart w:id="140" w:name="méthode-1-portée-directionnelle"/>
    <w:p>
      <w:pPr>
        <w:pStyle w:val="Heading5"/>
      </w:pPr>
      <w:r>
        <w:t xml:space="preserve">Méthode 1 — Portée directionnelle</w:t>
      </w:r>
    </w:p>
    <w:p>
      <w:pPr>
        <w:pStyle w:val="FirstParagraph"/>
      </w:pPr>
      <w:r>
        <w:t xml:space="preserve">Le vecteur de séparation est :</w:t>
      </w:r>
    </w:p>
    <w:p>
      <w:pPr>
        <w:pStyle w:val="BodyText"/>
      </w:pPr>
      <m:oMathPara>
        <m:oMathParaPr>
          <m:jc m:val="center"/>
        </m:oMathParaPr>
        <m:oMath>
          <m:r>
            <m:t>Δ</m:t>
          </m:r>
          <m:r>
            <m:t>x</m:t>
          </m:r>
          <m:r>
            <m:rPr>
              <m:sty m:val="p"/>
            </m:rPr>
            <m:t>=</m:t>
          </m:r>
          <m:r>
            <m:t>40</m:t>
          </m:r>
          <m:r>
            <m:rPr>
              <m:sty m:val="p"/>
            </m:rPr>
            <m:t>−</m:t>
          </m:r>
          <m:r>
            <m:t>10</m:t>
          </m:r>
          <m:r>
            <m:rPr>
              <m:sty m:val="p"/>
            </m:rPr>
            <m:t>=</m:t>
          </m:r>
          <m:r>
            <m:t>30</m:t>
          </m:r>
          <m:r>
            <m:rPr>
              <m:sty m:val="p"/>
            </m:rPr>
            <m:t>,</m:t>
          </m:r>
        </m:oMath>
      </m:oMathPara>
    </w:p>
    <w:p>
      <w:pPr>
        <w:pStyle w:val="FirstParagraph"/>
      </w:pPr>
      <w:r>
        <w:t xml:space="preserve">et</w:t>
      </w:r>
    </w:p>
    <w:p>
      <w:pPr>
        <w:pStyle w:val="BodyText"/>
      </w:pPr>
      <m:oMathPara>
        <m:oMathParaPr>
          <m:jc m:val="center"/>
        </m:oMathParaPr>
        <m:oMath>
          <m:r>
            <m:t>Δ</m:t>
          </m:r>
          <m:r>
            <m:t>y</m:t>
          </m:r>
          <m:r>
            <m:rPr>
              <m:sty m:val="p"/>
            </m:rPr>
            <m:t>=</m:t>
          </m:r>
          <m:r>
            <m:t>20</m:t>
          </m:r>
          <m:r>
            <m:rPr>
              <m:sty m:val="p"/>
            </m:rPr>
            <m:t>−</m:t>
          </m:r>
          <m:r>
            <m:t>30</m:t>
          </m:r>
          <m:r>
            <m:rPr>
              <m:sty m:val="p"/>
            </m:rPr>
            <m:t>=</m:t>
          </m:r>
          <m:r>
            <m:rPr>
              <m:sty m:val="p"/>
            </m:rPr>
            <m:t>−</m:t>
          </m:r>
          <m:r>
            <m:t>10</m:t>
          </m:r>
          <m:r>
            <m:rPr>
              <m:sty m:val="p"/>
            </m:rPr>
            <m:t>.</m:t>
          </m:r>
        </m:oMath>
      </m:oMathPara>
    </w:p>
    <w:p>
      <w:pPr>
        <w:pStyle w:val="FirstParagraph"/>
      </w:pPr>
      <w:r>
        <w:t xml:space="preserve">La distance entre les deux points vaut :</w:t>
      </w:r>
    </w:p>
    <w:p>
      <w:pPr>
        <w:pStyle w:val="BodyText"/>
      </w:pPr>
      <m:oMathPara>
        <m:oMathParaPr>
          <m:jc m:val="center"/>
        </m:oMathParaPr>
        <m:oMath>
          <m:r>
            <m:t>h</m:t>
          </m:r>
          <m:r>
            <m:rPr>
              <m:sty m:val="p"/>
            </m:rPr>
            <m:t>=</m:t>
          </m:r>
          <m:rad>
            <m:radPr>
              <m:degHide m:val="on"/>
            </m:radPr>
            <m:deg/>
            <m:e>
              <m:sSup>
                <m:e>
                  <m:d>
                    <m:dPr>
                      <m:begChr m:val="("/>
                      <m:sepChr m:val=""/>
                      <m:endChr m:val=")"/>
                      <m:grow/>
                    </m:dPr>
                    <m:e>
                      <m:r>
                        <m:t>Δ</m:t>
                      </m:r>
                      <m:r>
                        <m:t>x</m:t>
                      </m:r>
                    </m:e>
                  </m:d>
                </m:e>
                <m:sup>
                  <m:r>
                    <m:t>2</m:t>
                  </m:r>
                </m:sup>
              </m:sSup>
              <m:r>
                <m:rPr>
                  <m:sty m:val="p"/>
                </m:rPr>
                <m:t>+</m:t>
              </m:r>
              <m:sSup>
                <m:e>
                  <m:d>
                    <m:dPr>
                      <m:begChr m:val="("/>
                      <m:sepChr m:val=""/>
                      <m:endChr m:val=")"/>
                      <m:grow/>
                    </m:dPr>
                    <m:e>
                      <m:r>
                        <m:t>Δ</m:t>
                      </m:r>
                      <m:r>
                        <m:t>y</m:t>
                      </m:r>
                    </m:e>
                  </m:d>
                </m:e>
                <m:sup>
                  <m:r>
                    <m:t>2</m:t>
                  </m:r>
                </m:sup>
              </m:sSup>
            </m:e>
          </m:rad>
          <m:r>
            <m:rPr>
              <m:sty m:val="p"/>
            </m:rPr>
            <m:t>=</m:t>
          </m:r>
          <m:rad>
            <m:radPr>
              <m:degHide m:val="on"/>
            </m:radPr>
            <m:deg/>
            <m:e>
              <m:sSup>
                <m:e>
                  <m:r>
                    <m:t>30</m:t>
                  </m:r>
                </m:e>
                <m:sup>
                  <m:r>
                    <m:t>2</m:t>
                  </m:r>
                </m:sup>
              </m:sSup>
              <m:r>
                <m:rPr>
                  <m:sty m:val="p"/>
                </m:rPr>
                <m:t>+</m:t>
              </m:r>
              <m:sSup>
                <m:e>
                  <m:d>
                    <m:dPr>
                      <m:begChr m:val="("/>
                      <m:sepChr m:val=""/>
                      <m:endChr m:val=")"/>
                      <m:grow/>
                    </m:dPr>
                    <m:e>
                      <m:r>
                        <m:rPr>
                          <m:sty m:val="p"/>
                        </m:rPr>
                        <m:t>−</m:t>
                      </m:r>
                      <m:r>
                        <m:t>10</m:t>
                      </m:r>
                    </m:e>
                  </m:d>
                </m:e>
                <m:sup>
                  <m:r>
                    <m:t>2</m:t>
                  </m:r>
                </m:sup>
              </m:sSup>
            </m:e>
          </m:rad>
          <m:r>
            <m:rPr>
              <m:sty m:val="p"/>
            </m:rPr>
            <m:t>=</m:t>
          </m:r>
          <m:r>
            <m:t>31</m:t>
          </m:r>
          <m:r>
            <m:rPr>
              <m:sty m:val="p"/>
            </m:rPr>
            <m:t>,</m:t>
          </m:r>
          <m:r>
            <m:t>62</m:t>
          </m:r>
          <m:r>
            <m:t> </m:t>
          </m:r>
          <m:r>
            <m:rPr>
              <m:nor/>
              <m:sty m:val="p"/>
            </m:rPr>
            <m:t>m</m:t>
          </m:r>
          <m:r>
            <m:rPr>
              <m:sty m:val="p"/>
            </m:rPr>
            <m:t>.</m:t>
          </m:r>
        </m:oMath>
      </m:oMathPara>
    </w:p>
    <w:p>
      <w:pPr>
        <w:pStyle w:val="FirstParagraph"/>
      </w:pPr>
      <w:r>
        <w:t xml:space="preserve">La direction du vecteur, selon la convention trigonométrique, est :</w:t>
      </w:r>
    </w:p>
    <w:p>
      <w:pPr>
        <w:pStyle w:val="BodyText"/>
      </w:pPr>
      <m:oMathPara>
        <m:oMathParaPr>
          <m:jc m:val="center"/>
        </m:oMathParaPr>
        <m:oMath>
          <m:sSub>
            <m:e>
              <m:r>
                <m:t>θ</m:t>
              </m:r>
            </m:e>
            <m:sub>
              <m:r>
                <m:t>h</m:t>
              </m:r>
            </m:sub>
          </m:sSub>
          <m:r>
            <m:rPr>
              <m:sty m:val="p"/>
            </m:rPr>
            <m:t>=</m:t>
          </m:r>
          <m:r>
            <m:rPr>
              <m:sty m:val="p"/>
            </m:rPr>
            <m:t>atan2</m:t>
          </m:r>
          <m:d>
            <m:dPr>
              <m:begChr m:val="("/>
              <m:sepChr m:val=""/>
              <m:endChr m:val=")"/>
              <m:grow/>
            </m:dPr>
            <m:e>
              <m:r>
                <m:rPr>
                  <m:sty m:val="p"/>
                </m:rPr>
                <m:t>−</m:t>
              </m:r>
              <m:r>
                <m:t>10</m:t>
              </m:r>
              <m:r>
                <m:rPr>
                  <m:sty m:val="p"/>
                </m:rPr>
                <m:t>,</m:t>
              </m:r>
              <m:r>
                <m:t>30</m:t>
              </m:r>
            </m:e>
          </m:d>
          <m:r>
            <m:rPr>
              <m:sty m:val="p"/>
            </m:rPr>
            <m:t>=</m:t>
          </m:r>
          <m:r>
            <m:rPr>
              <m:sty m:val="p"/>
            </m:rPr>
            <m:t>−</m:t>
          </m:r>
          <m:r>
            <m:t>18</m:t>
          </m:r>
          <m:r>
            <m:rPr>
              <m:sty m:val="p"/>
            </m:rPr>
            <m:t>,</m:t>
          </m:r>
          <m:sSup>
            <m:e>
              <m:r>
                <m:t>43</m:t>
              </m:r>
            </m:e>
            <m:sup>
              <m:r>
                <m:rPr>
                  <m:sty m:val="p"/>
                </m:rPr>
                <m:t>∘</m:t>
              </m:r>
            </m:sup>
          </m:sSup>
          <m:r>
            <m:rPr>
              <m:sty m:val="p"/>
            </m:rPr>
            <m:t>.</m:t>
          </m:r>
        </m:oMath>
      </m:oMathPara>
    </w:p>
    <w:p>
      <w:pPr>
        <w:pStyle w:val="FirstParagraph"/>
      </w:pPr>
      <w:r>
        <w:t xml:space="preserve">L’angle aigu entre ce vecteur et l’axe de portée maximale orienté à</w:t>
      </w:r>
      <w:r>
        <w:t xml:space="preserve"> </w:t>
      </w:r>
      <m:oMath>
        <m:sSup>
          <m:e>
            <m:r>
              <m:t>30</m:t>
            </m:r>
          </m:e>
          <m:sup>
            <m:r>
              <m:rPr>
                <m:sty m:val="p"/>
              </m:rPr>
              <m:t>∘</m:t>
            </m:r>
          </m:sup>
        </m:sSup>
      </m:oMath>
      <w:r>
        <w:t xml:space="preserve"> </w:t>
      </w:r>
      <w:r>
        <w:t xml:space="preserve">vaut :</w:t>
      </w:r>
    </w:p>
    <w:p>
      <w:pPr>
        <w:pStyle w:val="BodyText"/>
      </w:pPr>
      <m:oMathPara>
        <m:oMathParaPr>
          <m:jc m:val="center"/>
        </m:oMathParaPr>
        <m:oMath>
          <m:r>
            <m:t>θ</m:t>
          </m:r>
          <m:r>
            <m:rPr>
              <m:sty m:val="p"/>
            </m:rPr>
            <m:t>=</m:t>
          </m:r>
          <m:r>
            <m:t>48</m:t>
          </m:r>
          <m:r>
            <m:rPr>
              <m:sty m:val="p"/>
            </m:rPr>
            <m:t>,</m:t>
          </m:r>
          <m:sSup>
            <m:e>
              <m:r>
                <m:t>43</m:t>
              </m:r>
            </m:e>
            <m:sup>
              <m:r>
                <m:rPr>
                  <m:sty m:val="p"/>
                </m:rPr>
                <m:t>∘</m:t>
              </m:r>
            </m:sup>
          </m:sSup>
          <m:r>
            <m:rPr>
              <m:sty m:val="p"/>
            </m:rPr>
            <m:t>.</m:t>
          </m:r>
        </m:oMath>
      </m:oMathPara>
    </w:p>
    <w:p>
      <w:pPr>
        <w:pStyle w:val="FirstParagraph"/>
      </w:pPr>
      <w:r>
        <w:t xml:space="preserve">La portée dans cette direction est donc :</w:t>
      </w:r>
    </w:p>
    <w:p>
      <w:pPr>
        <w:pStyle w:val="BodyText"/>
      </w:pPr>
      <m:oMathPara>
        <m:oMathParaPr>
          <m:jc m:val="center"/>
        </m:oMathParaPr>
        <m:oMath>
          <m:sSub>
            <m:e>
              <m:r>
                <m:t>a</m:t>
              </m:r>
            </m:e>
            <m:sub>
              <m:r>
                <m:t>θ</m:t>
              </m:r>
            </m:sub>
          </m:sSub>
          <m:r>
            <m:rPr>
              <m:sty m:val="p"/>
            </m:rPr>
            <m:t>=</m:t>
          </m:r>
          <m:f>
            <m:fPr>
              <m:type m:val="bar"/>
            </m:fPr>
            <m:num>
              <m:r>
                <m:t>100</m:t>
              </m:r>
              <m:r>
                <m:rPr>
                  <m:sty m:val="p"/>
                </m:rPr>
                <m:t>×</m:t>
              </m:r>
              <m:r>
                <m:t>60</m:t>
              </m:r>
            </m:num>
            <m:den>
              <m:rad>
                <m:radPr>
                  <m:degHide m:val="on"/>
                </m:radPr>
                <m:deg/>
                <m:e>
                  <m:sSup>
                    <m:e>
                      <m:r>
                        <m:t>60</m:t>
                      </m:r>
                    </m:e>
                    <m:sup>
                      <m:r>
                        <m:t>2</m:t>
                      </m:r>
                    </m:sup>
                  </m:sSup>
                  <m:sSup>
                    <m:e>
                      <m:r>
                        <m:rPr>
                          <m:sty m:val="p"/>
                        </m:rPr>
                        <m:t>cos</m:t>
                      </m:r>
                    </m:e>
                    <m:sup>
                      <m:r>
                        <m:t>2</m:t>
                      </m:r>
                    </m:sup>
                  </m:sSup>
                  <m:d>
                    <m:dPr>
                      <m:begChr m:val="("/>
                      <m:sepChr m:val=""/>
                      <m:endChr m:val=")"/>
                      <m:grow/>
                    </m:dPr>
                    <m:e>
                      <m:r>
                        <m:t>48</m:t>
                      </m:r>
                      <m:r>
                        <m:rPr>
                          <m:sty m:val="p"/>
                        </m:rPr>
                        <m:t>,</m:t>
                      </m:r>
                      <m:sSup>
                        <m:e>
                          <m:r>
                            <m:t>43</m:t>
                          </m:r>
                        </m:e>
                        <m:sup>
                          <m:r>
                            <m:rPr>
                              <m:sty m:val="p"/>
                            </m:rPr>
                            <m:t>∘</m:t>
                          </m:r>
                        </m:sup>
                      </m:sSup>
                    </m:e>
                  </m:d>
                  <m:r>
                    <m:rPr>
                      <m:sty m:val="p"/>
                    </m:rPr>
                    <m:t>+</m:t>
                  </m:r>
                  <m:sSup>
                    <m:e>
                      <m:r>
                        <m:t>100</m:t>
                      </m:r>
                    </m:e>
                    <m:sup>
                      <m:r>
                        <m:t>2</m:t>
                      </m:r>
                    </m:sup>
                  </m:sSup>
                  <m:sSup>
                    <m:e>
                      <m:r>
                        <m:rPr>
                          <m:sty m:val="p"/>
                        </m:rPr>
                        <m:t>sin</m:t>
                      </m:r>
                    </m:e>
                    <m:sup>
                      <m:r>
                        <m:t>2</m:t>
                      </m:r>
                    </m:sup>
                  </m:sSup>
                  <m:d>
                    <m:dPr>
                      <m:begChr m:val="("/>
                      <m:sepChr m:val=""/>
                      <m:endChr m:val=")"/>
                      <m:grow/>
                    </m:dPr>
                    <m:e>
                      <m:r>
                        <m:t>48</m:t>
                      </m:r>
                      <m:r>
                        <m:rPr>
                          <m:sty m:val="p"/>
                        </m:rPr>
                        <m:t>,</m:t>
                      </m:r>
                      <m:sSup>
                        <m:e>
                          <m:r>
                            <m:t>43</m:t>
                          </m:r>
                        </m:e>
                        <m:sup>
                          <m:r>
                            <m:rPr>
                              <m:sty m:val="p"/>
                            </m:rPr>
                            <m:t>∘</m:t>
                          </m:r>
                        </m:sup>
                      </m:sSup>
                    </m:e>
                  </m:d>
                </m:e>
              </m:rad>
            </m:den>
          </m:f>
          <m:r>
            <m:rPr>
              <m:sty m:val="p"/>
            </m:rPr>
            <m:t>=</m:t>
          </m:r>
          <m:r>
            <m:t>70</m:t>
          </m:r>
          <m:r>
            <m:rPr>
              <m:sty m:val="p"/>
            </m:rPr>
            <m:t>,</m:t>
          </m:r>
          <m:r>
            <m:t>80</m:t>
          </m:r>
          <m:r>
            <m:t> </m:t>
          </m:r>
          <m:r>
            <m:rPr>
              <m:nor/>
              <m:sty m:val="p"/>
            </m:rPr>
            <m:t>m</m:t>
          </m:r>
          <m:r>
            <m:rPr>
              <m:sty m:val="p"/>
            </m:rPr>
            <m:t>.</m:t>
          </m:r>
        </m:oMath>
      </m:oMathPara>
    </w:p>
    <w:p>
      <w:pPr>
        <w:pStyle w:val="FirstParagraph"/>
      </w:pPr>
      <w:r>
        <w:t xml:space="preserve">Comme</w:t>
      </w:r>
      <w:r>
        <w:t xml:space="preserve"> </w:t>
      </w:r>
      <m:oMath>
        <m:r>
          <m:t>h</m:t>
        </m:r>
        <m:r>
          <m:rPr>
            <m:sty m:val="p"/>
          </m:rPr>
          <m:t>&lt;</m:t>
        </m:r>
        <m:sSub>
          <m:e>
            <m:r>
              <m:t>a</m:t>
            </m:r>
          </m:e>
          <m:sub>
            <m:r>
              <m:t>θ</m:t>
            </m:r>
          </m:sub>
        </m:sSub>
      </m:oMath>
      <w:r>
        <w:t xml:space="preserve">, le modèle sphérique donne :</w:t>
      </w:r>
    </w:p>
    <w:p>
      <w:pPr>
        <w:pStyle w:val="BodyText"/>
      </w:pPr>
      <m:oMathPara>
        <m:oMathParaPr>
          <m:jc m:val="center"/>
        </m:oMathParaPr>
        <m:oMath>
          <m:r>
            <m:t>γ</m:t>
          </m:r>
          <m:d>
            <m:dPr>
              <m:begChr m:val="("/>
              <m:sepChr m:val=""/>
              <m:endChr m:val=")"/>
              <m:grow/>
            </m:dPr>
            <m:e>
              <m:r>
                <m:t>h</m:t>
              </m:r>
            </m:e>
          </m:d>
          <m:r>
            <m:rPr>
              <m:sty m:val="p"/>
            </m:rPr>
            <m:t>=</m:t>
          </m:r>
          <m:sSub>
            <m:e>
              <m:r>
                <m:t>C</m:t>
              </m:r>
            </m:e>
            <m:sub>
              <m:r>
                <m:t>0</m:t>
              </m:r>
            </m:sub>
          </m:sSub>
          <m:r>
            <m:rPr>
              <m:sty m:val="p"/>
            </m:rPr>
            <m:t>+</m:t>
          </m:r>
          <m:r>
            <m:t>C</m:t>
          </m:r>
          <m:d>
            <m:dPr>
              <m:begChr m:val="["/>
              <m:sepChr m:val=""/>
              <m:endChr m:val="]"/>
              <m:grow/>
            </m:dPr>
            <m:e>
              <m:f>
                <m:fPr>
                  <m:type m:val="bar"/>
                </m:fPr>
                <m:num>
                  <m:r>
                    <m:t>3</m:t>
                  </m:r>
                  <m:r>
                    <m:t>h</m:t>
                  </m:r>
                </m:num>
                <m:den>
                  <m:r>
                    <m:t>2</m:t>
                  </m:r>
                  <m:sSub>
                    <m:e>
                      <m:r>
                        <m:t>a</m:t>
                      </m:r>
                    </m:e>
                    <m:sub>
                      <m:r>
                        <m:t>θ</m:t>
                      </m:r>
                    </m:sub>
                  </m:sSub>
                </m:den>
              </m:f>
              <m:r>
                <m:rPr>
                  <m:sty m:val="p"/>
                </m:rPr>
                <m:t>−</m:t>
              </m:r>
              <m:f>
                <m:fPr>
                  <m:type m:val="bar"/>
                </m:fPr>
                <m:num>
                  <m:r>
                    <m:t>1</m:t>
                  </m:r>
                </m:num>
                <m:den>
                  <m:r>
                    <m:t>2</m:t>
                  </m:r>
                </m:den>
              </m:f>
              <m:sSup>
                <m:e>
                  <m:d>
                    <m:dPr>
                      <m:begChr m:val="("/>
                      <m:sepChr m:val=""/>
                      <m:endChr m:val=")"/>
                      <m:grow/>
                    </m:dPr>
                    <m:e>
                      <m:f>
                        <m:fPr>
                          <m:type m:val="bar"/>
                        </m:fPr>
                        <m:num>
                          <m:r>
                            <m:t>h</m:t>
                          </m:r>
                        </m:num>
                        <m:den>
                          <m:sSub>
                            <m:e>
                              <m:r>
                                <m:t>a</m:t>
                              </m:r>
                            </m:e>
                            <m:sub>
                              <m:r>
                                <m:t>θ</m:t>
                              </m:r>
                            </m:sub>
                          </m:sSub>
                        </m:den>
                      </m:f>
                    </m:e>
                  </m:d>
                </m:e>
                <m:sup>
                  <m:r>
                    <m:t>3</m:t>
                  </m:r>
                </m:sup>
              </m:sSup>
            </m:e>
          </m:d>
          <m:r>
            <m:rPr>
              <m:sty m:val="p"/>
            </m:rPr>
            <m:t>.</m:t>
          </m:r>
        </m:oMath>
      </m:oMathPara>
    </w:p>
    <w:p>
      <w:pPr>
        <w:pStyle w:val="FirstParagraph"/>
      </w:pPr>
      <w:r>
        <w:t xml:space="preserve">Ainsi :</w:t>
      </w:r>
    </w:p>
    <w:p>
      <w:pPr>
        <w:pStyle w:val="BodyText"/>
      </w:pPr>
      <m:oMathPara>
        <m:oMathParaPr>
          <m:jc m:val="center"/>
        </m:oMathParaPr>
        <m:oMath>
          <m:r>
            <m:t>γ</m:t>
          </m:r>
          <m:d>
            <m:dPr>
              <m:begChr m:val="("/>
              <m:sepChr m:val=""/>
              <m:endChr m:val=")"/>
              <m:grow/>
            </m:dPr>
            <m:e>
              <m:r>
                <m:t>31</m:t>
              </m:r>
              <m:r>
                <m:rPr>
                  <m:sty m:val="p"/>
                </m:rPr>
                <m:t>,</m:t>
              </m:r>
              <m:r>
                <m:t>62</m:t>
              </m:r>
            </m:e>
          </m:d>
          <m:r>
            <m:rPr>
              <m:sty m:val="p"/>
            </m:rPr>
            <m:t>=</m:t>
          </m:r>
          <m:r>
            <m:t>13</m:t>
          </m:r>
          <m:r>
            <m:rPr>
              <m:sty m:val="p"/>
            </m:rPr>
            <m:t>+</m:t>
          </m:r>
          <m:r>
            <m:t>17</m:t>
          </m:r>
          <m:d>
            <m:dPr>
              <m:begChr m:val="["/>
              <m:sepChr m:val=""/>
              <m:endChr m:val="]"/>
              <m:grow/>
            </m:dPr>
            <m:e>
              <m:f>
                <m:fPr>
                  <m:type m:val="bar"/>
                </m:fPr>
                <m:num>
                  <m:r>
                    <m:t>3</m:t>
                  </m:r>
                  <m:r>
                    <m:rPr>
                      <m:sty m:val="p"/>
                    </m:rPr>
                    <m:t>×</m:t>
                  </m:r>
                  <m:r>
                    <m:t>31</m:t>
                  </m:r>
                  <m:r>
                    <m:rPr>
                      <m:sty m:val="p"/>
                    </m:rPr>
                    <m:t>,</m:t>
                  </m:r>
                  <m:r>
                    <m:t>62</m:t>
                  </m:r>
                </m:num>
                <m:den>
                  <m:r>
                    <m:t>2</m:t>
                  </m:r>
                  <m:r>
                    <m:rPr>
                      <m:sty m:val="p"/>
                    </m:rPr>
                    <m:t>×</m:t>
                  </m:r>
                  <m:r>
                    <m:t>70</m:t>
                  </m:r>
                  <m:r>
                    <m:rPr>
                      <m:sty m:val="p"/>
                    </m:rPr>
                    <m:t>,</m:t>
                  </m:r>
                  <m:r>
                    <m:t>80</m:t>
                  </m:r>
                </m:den>
              </m:f>
              <m:r>
                <m:rPr>
                  <m:sty m:val="p"/>
                </m:rPr>
                <m:t>−</m:t>
              </m:r>
              <m:f>
                <m:fPr>
                  <m:type m:val="bar"/>
                </m:fPr>
                <m:num>
                  <m:r>
                    <m:t>1</m:t>
                  </m:r>
                </m:num>
                <m:den>
                  <m:r>
                    <m:t>2</m:t>
                  </m:r>
                </m:den>
              </m:f>
              <m:sSup>
                <m:e>
                  <m:d>
                    <m:dPr>
                      <m:begChr m:val="("/>
                      <m:sepChr m:val=""/>
                      <m:endChr m:val=")"/>
                      <m:grow/>
                    </m:dPr>
                    <m:e>
                      <m:f>
                        <m:fPr>
                          <m:type m:val="bar"/>
                        </m:fPr>
                        <m:num>
                          <m:r>
                            <m:t>31</m:t>
                          </m:r>
                          <m:r>
                            <m:rPr>
                              <m:sty m:val="p"/>
                            </m:rPr>
                            <m:t>,</m:t>
                          </m:r>
                          <m:r>
                            <m:t>62</m:t>
                          </m:r>
                        </m:num>
                        <m:den>
                          <m:r>
                            <m:t>70</m:t>
                          </m:r>
                          <m:r>
                            <m:rPr>
                              <m:sty m:val="p"/>
                            </m:rPr>
                            <m:t>,</m:t>
                          </m:r>
                          <m:r>
                            <m:t>80</m:t>
                          </m:r>
                        </m:den>
                      </m:f>
                    </m:e>
                  </m:d>
                </m:e>
                <m:sup>
                  <m:r>
                    <m:t>3</m:t>
                  </m:r>
                </m:sup>
              </m:sSup>
            </m:e>
          </m:d>
          <m:r>
            <m:rPr>
              <m:sty m:val="p"/>
            </m:rPr>
            <m:t>≈</m:t>
          </m:r>
          <m:r>
            <m:t>23</m:t>
          </m:r>
          <m:r>
            <m:rPr>
              <m:sty m:val="p"/>
            </m:rPr>
            <m:t>,</m:t>
          </m:r>
          <m:r>
            <m:t>63</m:t>
          </m:r>
          <m:r>
            <m:t> </m:t>
          </m:r>
          <m:sSup>
            <m:e>
              <m:r>
                <m:rPr>
                  <m:sty m:val="p"/>
                </m:rPr>
                <m:t>%</m:t>
              </m:r>
            </m:e>
            <m:sup>
              <m:r>
                <m:t>2</m:t>
              </m:r>
            </m:sup>
          </m:sSup>
          <m:r>
            <m:rPr>
              <m:sty m:val="p"/>
            </m:rPr>
            <m:t>.</m:t>
          </m:r>
        </m:oMath>
      </m:oMathPara>
    </w:p>
    <w:bookmarkEnd w:id="140"/>
    <w:bookmarkStart w:id="141" w:name="méthode-2-distance-transformée"/>
    <w:p>
      <w:pPr>
        <w:pStyle w:val="Heading5"/>
      </w:pPr>
      <w:r>
        <w:t xml:space="preserve">Méthode 2 — Distance transformée</w:t>
      </w:r>
    </w:p>
    <w:p>
      <w:pPr>
        <w:pStyle w:val="FirstParagraph"/>
      </w:pPr>
      <w:r>
        <w:t xml:space="preserve">La distance équivalente dans le système isotrope est :</w:t>
      </w:r>
    </w:p>
    <w:p>
      <w:pPr>
        <w:pStyle w:val="BodyText"/>
      </w:pPr>
      <m:oMathPara>
        <m:oMathParaPr>
          <m:jc m:val="center"/>
        </m:oMathParaPr>
        <m:oMath>
          <m:sSub>
            <m:e>
              <m:r>
                <m:t>h</m:t>
              </m:r>
            </m:e>
            <m:sub>
              <m:r>
                <m:t>g</m:t>
              </m:r>
            </m:sub>
          </m:sSub>
          <m:r>
            <m:rPr>
              <m:sty m:val="p"/>
            </m:rPr>
            <m:t>=</m:t>
          </m:r>
          <m:rad>
            <m:radPr>
              <m:degHide m:val="on"/>
            </m:radPr>
            <m:deg/>
            <m:e>
              <m:sSup>
                <m:e>
                  <m:d>
                    <m:dPr>
                      <m:begChr m:val="["/>
                      <m:sepChr m:val=""/>
                      <m:endChr m:val="]"/>
                      <m:grow/>
                    </m:dPr>
                    <m:e>
                      <m:r>
                        <m:t>31</m:t>
                      </m:r>
                      <m:r>
                        <m:rPr>
                          <m:sty m:val="p"/>
                        </m:rPr>
                        <m:t>,</m:t>
                      </m:r>
                      <m:r>
                        <m:t>62</m:t>
                      </m:r>
                      <m:r>
                        <m:rPr>
                          <m:sty m:val="p"/>
                        </m:rPr>
                        <m:t>cos</m:t>
                      </m:r>
                      <m:d>
                        <m:dPr>
                          <m:begChr m:val="("/>
                          <m:sepChr m:val=""/>
                          <m:endChr m:val=")"/>
                          <m:grow/>
                        </m:dPr>
                        <m:e>
                          <m:r>
                            <m:t>48</m:t>
                          </m:r>
                          <m:r>
                            <m:rPr>
                              <m:sty m:val="p"/>
                            </m:rPr>
                            <m:t>,</m:t>
                          </m:r>
                          <m:sSup>
                            <m:e>
                              <m:r>
                                <m:t>43</m:t>
                              </m:r>
                            </m:e>
                            <m:sup>
                              <m:r>
                                <m:rPr>
                                  <m:sty m:val="p"/>
                                </m:rPr>
                                <m:t>∘</m:t>
                              </m:r>
                            </m:sup>
                          </m:sSup>
                        </m:e>
                      </m:d>
                    </m:e>
                  </m:d>
                </m:e>
                <m:sup>
                  <m:r>
                    <m:t>2</m:t>
                  </m:r>
                </m:sup>
              </m:sSup>
              <m:r>
                <m:rPr>
                  <m:sty m:val="p"/>
                </m:rPr>
                <m:t>+</m:t>
              </m:r>
              <m:sSup>
                <m:e>
                  <m:d>
                    <m:dPr>
                      <m:begChr m:val="["/>
                      <m:sepChr m:val=""/>
                      <m:endChr m:val="]"/>
                      <m:grow/>
                    </m:dPr>
                    <m:e>
                      <m:f>
                        <m:fPr>
                          <m:type m:val="bar"/>
                        </m:fPr>
                        <m:num>
                          <m:r>
                            <m:t>100</m:t>
                          </m:r>
                        </m:num>
                        <m:den>
                          <m:r>
                            <m:t>60</m:t>
                          </m:r>
                        </m:den>
                      </m:f>
                      <m:r>
                        <m:rPr>
                          <m:sty m:val="p"/>
                        </m:rPr>
                        <m:t>×</m:t>
                      </m:r>
                      <m:r>
                        <m:t>31</m:t>
                      </m:r>
                      <m:r>
                        <m:rPr>
                          <m:sty m:val="p"/>
                        </m:rPr>
                        <m:t>,</m:t>
                      </m:r>
                      <m:r>
                        <m:t>62</m:t>
                      </m:r>
                      <m:r>
                        <m:rPr>
                          <m:sty m:val="p"/>
                        </m:rPr>
                        <m:t>sin</m:t>
                      </m:r>
                      <m:d>
                        <m:dPr>
                          <m:begChr m:val="("/>
                          <m:sepChr m:val=""/>
                          <m:endChr m:val=")"/>
                          <m:grow/>
                        </m:dPr>
                        <m:e>
                          <m:r>
                            <m:t>48</m:t>
                          </m:r>
                          <m:r>
                            <m:rPr>
                              <m:sty m:val="p"/>
                            </m:rPr>
                            <m:t>,</m:t>
                          </m:r>
                          <m:sSup>
                            <m:e>
                              <m:r>
                                <m:t>43</m:t>
                              </m:r>
                            </m:e>
                            <m:sup>
                              <m:r>
                                <m:rPr>
                                  <m:sty m:val="p"/>
                                </m:rPr>
                                <m:t>∘</m:t>
                              </m:r>
                            </m:sup>
                          </m:sSup>
                        </m:e>
                      </m:d>
                    </m:e>
                  </m:d>
                </m:e>
                <m:sup>
                  <m:r>
                    <m:t>2</m:t>
                  </m:r>
                </m:sup>
              </m:sSup>
            </m:e>
          </m:rad>
          <m:r>
            <m:rPr>
              <m:sty m:val="p"/>
            </m:rPr>
            <m:t>.</m:t>
          </m:r>
        </m:oMath>
      </m:oMathPara>
    </w:p>
    <w:p>
      <w:pPr>
        <w:pStyle w:val="FirstParagraph"/>
      </w:pPr>
      <w:r>
        <w:t xml:space="preserve">On obtient :</w:t>
      </w:r>
    </w:p>
    <w:p>
      <w:pPr>
        <w:pStyle w:val="BodyText"/>
      </w:pPr>
      <m:oMathPara>
        <m:oMathParaPr>
          <m:jc m:val="center"/>
        </m:oMathParaPr>
        <m:oMath>
          <m:sSub>
            <m:e>
              <m:r>
                <m:t>h</m:t>
              </m:r>
            </m:e>
            <m:sub>
              <m:r>
                <m:t>g</m:t>
              </m:r>
            </m:sub>
          </m:sSub>
          <m:r>
            <m:rPr>
              <m:sty m:val="p"/>
            </m:rPr>
            <m:t>=</m:t>
          </m:r>
          <m:r>
            <m:t>44</m:t>
          </m:r>
          <m:r>
            <m:rPr>
              <m:sty m:val="p"/>
            </m:rPr>
            <m:t>,</m:t>
          </m:r>
          <m:r>
            <m:t>67</m:t>
          </m:r>
          <m:r>
            <m:t> </m:t>
          </m:r>
          <m:r>
            <m:rPr>
              <m:nor/>
              <m:sty m:val="p"/>
            </m:rPr>
            <m:t>m</m:t>
          </m:r>
          <m:r>
            <m:rPr>
              <m:sty m:val="p"/>
            </m:rPr>
            <m:t>.</m:t>
          </m:r>
        </m:oMath>
      </m:oMathPara>
    </w:p>
    <w:p>
      <w:pPr>
        <w:pStyle w:val="FirstParagraph"/>
      </w:pPr>
      <w:r>
        <w:t xml:space="preserve">Le variogramme est ensuite calculé avec la portée maximale</w:t>
      </w:r>
      <w:r>
        <w:t xml:space="preserve"> </w:t>
      </w:r>
      <m:oMath>
        <m:sSub>
          <m:e>
            <m:r>
              <m:t>a</m:t>
            </m:r>
          </m:e>
          <m:sub>
            <m:r>
              <m:t>g</m:t>
            </m:r>
          </m:sub>
        </m:sSub>
        <m:r>
          <m:rPr>
            <m:sty m:val="p"/>
          </m:rPr>
          <m:t>=</m:t>
        </m:r>
        <m:r>
          <m:t>100</m:t>
        </m:r>
      </m:oMath>
      <w:r>
        <w:t xml:space="preserve"> </w:t>
      </w:r>
      <w:r>
        <w:t xml:space="preserve">m :</w:t>
      </w:r>
    </w:p>
    <w:p>
      <w:pPr>
        <w:pStyle w:val="BodyText"/>
      </w:pPr>
      <m:oMathPara>
        <m:oMathParaPr>
          <m:jc m:val="center"/>
        </m:oMathParaPr>
        <m:oMath>
          <m:r>
            <m:t>γ</m:t>
          </m:r>
          <m:d>
            <m:dPr>
              <m:begChr m:val="("/>
              <m:sepChr m:val=""/>
              <m:endChr m:val=")"/>
              <m:grow/>
            </m:dPr>
            <m:e>
              <m:sSub>
                <m:e>
                  <m:r>
                    <m:t>h</m:t>
                  </m:r>
                </m:e>
                <m:sub>
                  <m:r>
                    <m:t>g</m:t>
                  </m:r>
                </m:sub>
              </m:sSub>
            </m:e>
          </m:d>
          <m:r>
            <m:rPr>
              <m:sty m:val="p"/>
            </m:rPr>
            <m:t>=</m:t>
          </m:r>
          <m:r>
            <m:t>13</m:t>
          </m:r>
          <m:r>
            <m:rPr>
              <m:sty m:val="p"/>
            </m:rPr>
            <m:t>+</m:t>
          </m:r>
          <m:r>
            <m:t>17</m:t>
          </m:r>
          <m:d>
            <m:dPr>
              <m:begChr m:val="["/>
              <m:sepChr m:val=""/>
              <m:endChr m:val="]"/>
              <m:grow/>
            </m:dPr>
            <m:e>
              <m:f>
                <m:fPr>
                  <m:type m:val="bar"/>
                </m:fPr>
                <m:num>
                  <m:r>
                    <m:t>3</m:t>
                  </m:r>
                  <m:r>
                    <m:rPr>
                      <m:sty m:val="p"/>
                    </m:rPr>
                    <m:t>×</m:t>
                  </m:r>
                  <m:r>
                    <m:t>44</m:t>
                  </m:r>
                  <m:r>
                    <m:rPr>
                      <m:sty m:val="p"/>
                    </m:rPr>
                    <m:t>,</m:t>
                  </m:r>
                  <m:r>
                    <m:t>67</m:t>
                  </m:r>
                </m:num>
                <m:den>
                  <m:r>
                    <m:t>2</m:t>
                  </m:r>
                  <m:r>
                    <m:rPr>
                      <m:sty m:val="p"/>
                    </m:rPr>
                    <m:t>×</m:t>
                  </m:r>
                  <m:r>
                    <m:t>100</m:t>
                  </m:r>
                </m:den>
              </m:f>
              <m:r>
                <m:rPr>
                  <m:sty m:val="p"/>
                </m:rPr>
                <m:t>−</m:t>
              </m:r>
              <m:f>
                <m:fPr>
                  <m:type m:val="bar"/>
                </m:fPr>
                <m:num>
                  <m:r>
                    <m:t>1</m:t>
                  </m:r>
                </m:num>
                <m:den>
                  <m:r>
                    <m:t>2</m:t>
                  </m:r>
                </m:den>
              </m:f>
              <m:sSup>
                <m:e>
                  <m:d>
                    <m:dPr>
                      <m:begChr m:val="("/>
                      <m:sepChr m:val=""/>
                      <m:endChr m:val=")"/>
                      <m:grow/>
                    </m:dPr>
                    <m:e>
                      <m:f>
                        <m:fPr>
                          <m:type m:val="bar"/>
                        </m:fPr>
                        <m:num>
                          <m:r>
                            <m:t>44</m:t>
                          </m:r>
                          <m:r>
                            <m:rPr>
                              <m:sty m:val="p"/>
                            </m:rPr>
                            <m:t>,</m:t>
                          </m:r>
                          <m:r>
                            <m:t>67</m:t>
                          </m:r>
                        </m:num>
                        <m:den>
                          <m:r>
                            <m:t>100</m:t>
                          </m:r>
                        </m:den>
                      </m:f>
                    </m:e>
                  </m:d>
                </m:e>
                <m:sup>
                  <m:r>
                    <m:t>3</m:t>
                  </m:r>
                </m:sup>
              </m:sSup>
            </m:e>
          </m:d>
          <m:r>
            <m:rPr>
              <m:sty m:val="p"/>
            </m:rPr>
            <m:t>.</m:t>
          </m:r>
        </m:oMath>
      </m:oMathPara>
    </w:p>
    <w:p>
      <w:pPr>
        <w:pStyle w:val="FirstParagraph"/>
      </w:pPr>
      <w:r>
        <w:t xml:space="preserve">Ainsi :</w:t>
      </w:r>
    </w:p>
    <w:p>
      <w:pPr>
        <w:pStyle w:val="BodyText"/>
      </w:pPr>
      <m:oMathPara>
        <m:oMathParaPr>
          <m:jc m:val="center"/>
        </m:oMathParaPr>
        <m:oMath>
          <m:r>
            <m:t>γ</m:t>
          </m:r>
          <m:d>
            <m:dPr>
              <m:begChr m:val="("/>
              <m:sepChr m:val=""/>
              <m:endChr m:val=")"/>
              <m:grow/>
            </m:dPr>
            <m:e>
              <m:r>
                <m:t>44</m:t>
              </m:r>
              <m:r>
                <m:rPr>
                  <m:sty m:val="p"/>
                </m:rPr>
                <m:t>,</m:t>
              </m:r>
              <m:r>
                <m:t>67</m:t>
              </m:r>
            </m:e>
          </m:d>
          <m:r>
            <m:rPr>
              <m:sty m:val="p"/>
            </m:rPr>
            <m:t>≈</m:t>
          </m:r>
          <m:r>
            <m:t>23</m:t>
          </m:r>
          <m:r>
            <m:rPr>
              <m:sty m:val="p"/>
            </m:rPr>
            <m:t>,</m:t>
          </m:r>
          <m:r>
            <m:t>63</m:t>
          </m:r>
          <m:r>
            <m:t> </m:t>
          </m:r>
          <m:sSup>
            <m:e>
              <m:r>
                <m:rPr>
                  <m:sty m:val="p"/>
                </m:rPr>
                <m:t>%</m:t>
              </m:r>
            </m:e>
            <m:sup>
              <m:r>
                <m:t>2</m:t>
              </m:r>
            </m:sup>
          </m:sSup>
          <m:r>
            <m:rPr>
              <m:sty m:val="p"/>
            </m:rPr>
            <m:t>.</m:t>
          </m:r>
        </m:oMath>
      </m:oMathPara>
    </w:p>
    <w:p>
      <w:pPr>
        <w:pStyle w:val="FirstParagraph"/>
      </w:pPr>
      <w:r>
        <w:t xml:space="preserve">Les deux méthodes conduisent au même résultat.</w:t>
      </w:r>
    </w:p>
    <w:bookmarkEnd w:id="141"/>
    <w:bookmarkEnd w:id="142"/>
    <w:bookmarkStart w:id="151" w:name="détection-de-lanisotropie-géométrique"/>
    <w:p>
      <w:pPr>
        <w:pStyle w:val="Heading4"/>
      </w:pPr>
      <w:r>
        <w:t xml:space="preserve">Détection de l’anisotropie géométrique</w:t>
      </w:r>
    </w:p>
    <w:p>
      <w:pPr>
        <w:pStyle w:val="FirstParagraph"/>
      </w:pPr>
      <w:r>
        <w:t xml:space="preserve">L’identification d’une anisotropie dépend fortement de la configuration des données et des paramètres utilisés pour calculer les variogrammes directionnels.</w:t>
      </w:r>
    </w:p>
    <w:p>
      <w:pPr>
        <w:pStyle w:val="BodyText"/>
      </w:pPr>
      <w:r>
        <w:t xml:space="preserve">Une anisotropie peut être sous-estimée lorsque :</w:t>
      </w:r>
    </w:p>
    <w:p>
      <w:pPr>
        <w:pStyle w:val="Compact"/>
        <w:numPr>
          <w:ilvl w:val="0"/>
          <w:numId w:val="1023"/>
        </w:numPr>
      </w:pPr>
      <w:r>
        <w:t xml:space="preserve">les directions calculées ne correspondent pas aux axes principaux réels;</w:t>
      </w:r>
    </w:p>
    <w:p>
      <w:pPr>
        <w:pStyle w:val="Compact"/>
        <w:numPr>
          <w:ilvl w:val="0"/>
          <w:numId w:val="1023"/>
        </w:numPr>
      </w:pPr>
      <w:r>
        <w:t xml:space="preserve">la tolérance angulaire est trop large;</w:t>
      </w:r>
    </w:p>
    <w:p>
      <w:pPr>
        <w:pStyle w:val="Compact"/>
        <w:numPr>
          <w:ilvl w:val="0"/>
          <w:numId w:val="1023"/>
        </w:numPr>
      </w:pPr>
      <w:r>
        <w:t xml:space="preserve">le nombre de paires est insuffisant;</w:t>
      </w:r>
    </w:p>
    <w:p>
      <w:pPr>
        <w:pStyle w:val="Compact"/>
        <w:numPr>
          <w:ilvl w:val="0"/>
          <w:numId w:val="1023"/>
        </w:numPr>
      </w:pPr>
      <w:r>
        <w:t xml:space="preserve">les classes de distance ne couvrent pas correctement les portées;</w:t>
      </w:r>
    </w:p>
    <w:p>
      <w:pPr>
        <w:pStyle w:val="Compact"/>
        <w:numPr>
          <w:ilvl w:val="0"/>
          <w:numId w:val="1023"/>
        </w:numPr>
      </w:pPr>
      <w:r>
        <w:t xml:space="preserve">la géologie présente plusieurs structures emboîtées.</w:t>
      </w:r>
    </w:p>
    <w:p>
      <w:pPr>
        <w:pStyle w:val="FirstParagraph"/>
      </w:pPr>
      <w:r>
        <w:t xml:space="preserve">Des règles comme un nombre minimal de données ou un rapport d’anisotropie supérieur à une certaine valeur doivent être considérées comme des repères pratiques, et non comme des critères universels. La capacité à détecter une anisotropie dépend du plan d’échantillonnage, de la force de la structure et du bruit présent dans les données.</w:t>
      </w:r>
    </w:p>
    <w:p>
      <w:pPr>
        <w:pStyle w:val="BodyText"/>
      </w:pPr>
      <w:r>
        <w:t xml:space="preserve">La</w:t>
      </w:r>
      <w:r>
        <w:t xml:space="preserve"> </w:t>
      </w:r>
      <w:hyperlink w:anchor="fig-rapport-direction">
        <w:r>
          <w:rPr>
            <w:rStyle w:val="Hyperlink"/>
          </w:rPr>
          <w:t xml:space="preserve">Figure 13</w:t>
        </w:r>
      </w:hyperlink>
      <w:r>
        <w:t xml:space="preserve"> </w:t>
      </w:r>
      <w:r>
        <w:t xml:space="preserve">illustre la différence entre le rapport d’anisotropie réel et celui observé lorsque les variogrammes ne sont pas calculés exactement selon les directions principales.</w:t>
      </w:r>
    </w:p>
    <w:tbl>
      <w:tblPr>
        <w:tblStyle w:val="Table"/>
        <w:tblW w:type="pct" w:w="5000"/>
        <w:tblLayout w:type="fixed"/>
        <w:tblLook w:firstRow="0" w:lastRow="0" w:firstColumn="0" w:lastColumn="0" w:noHBand="0" w:noVBand="0" w:val="0000"/>
      </w:tblPr>
      <w:tblGrid>
        <w:gridCol w:w="7920"/>
      </w:tblGrid>
      <w:tr>
        <w:tc>
          <w:tcPr/>
          <w:bookmarkStart w:id="146" w:name="fig-rapport-direction"/>
          <w:p>
            <w:pPr>
              <w:pStyle w:val="Compact"/>
              <w:jc w:val="center"/>
            </w:pPr>
            <w:r>
              <w:drawing>
                <wp:inline>
                  <wp:extent cx="5334000" cy="3767247"/>
                  <wp:effectExtent b="0" l="0" r="0" t="0"/>
                  <wp:docPr descr="" title="" id="144" name="Picture"/>
                  <a:graphic>
                    <a:graphicData uri="http://schemas.openxmlformats.org/drawingml/2006/picture">
                      <pic:pic>
                        <pic:nvPicPr>
                          <pic:cNvPr descr="images/C7_RapportApparentDirection.PNG" id="145" name="Picture"/>
                          <pic:cNvPicPr>
                            <a:picLocks noChangeArrowheads="1" noChangeAspect="1"/>
                          </pic:cNvPicPr>
                        </pic:nvPicPr>
                        <pic:blipFill>
                          <a:blip r:embed="rId143"/>
                          <a:stretch>
                            <a:fillRect/>
                          </a:stretch>
                        </pic:blipFill>
                        <pic:spPr bwMode="auto">
                          <a:xfrm>
                            <a:off x="0" y="0"/>
                            <a:ext cx="5334000" cy="376724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Rapport d’anisotropie apparent selon l’écart entre la direction étudiée et l’axe de portée maximale.</w:t>
            </w:r>
          </w:p>
          <w:bookmarkEnd w:id="146"/>
        </w:tc>
      </w:tr>
    </w:tbl>
    <w:p>
      <w:pPr>
        <w:pStyle w:val="BodyText"/>
      </w:pPr>
      <w:r>
        <w:t xml:space="preserve">La</w:t>
      </w:r>
      <w:r>
        <w:t xml:space="preserve"> </w:t>
      </w:r>
      <w:hyperlink w:anchor="fig-rapport-tolerance">
        <w:r>
          <w:rPr>
            <w:rStyle w:val="Hyperlink"/>
          </w:rPr>
          <w:t xml:space="preserve">Figure 14</w:t>
        </w:r>
      </w:hyperlink>
      <w:r>
        <w:t xml:space="preserve"> </w:t>
      </w:r>
      <w:r>
        <w:t xml:space="preserve">montre l’effet de la tolérance angulaire. Une fenêtre plus large augmente le nombre de paires, mais mélange davantage les directions et réduit généralement l’anisotropie apparente.</w:t>
      </w:r>
    </w:p>
    <w:tbl>
      <w:tblPr>
        <w:tblStyle w:val="Table"/>
        <w:tblW w:type="pct" w:w="5000"/>
        <w:tblLayout w:type="fixed"/>
        <w:tblLook w:firstRow="0" w:lastRow="0" w:firstColumn="0" w:lastColumn="0" w:noHBand="0" w:noVBand="0" w:val="0000"/>
      </w:tblPr>
      <w:tblGrid>
        <w:gridCol w:w="7920"/>
      </w:tblGrid>
      <w:tr>
        <w:tc>
          <w:tcPr/>
          <w:bookmarkStart w:id="150" w:name="fig-rapport-tolerance"/>
          <w:p>
            <w:pPr>
              <w:pStyle w:val="Compact"/>
              <w:jc w:val="center"/>
            </w:pPr>
            <w:r>
              <w:drawing>
                <wp:inline>
                  <wp:extent cx="5334000" cy="4016262"/>
                  <wp:effectExtent b="0" l="0" r="0" t="0"/>
                  <wp:docPr descr="" title="" id="148" name="Picture"/>
                  <a:graphic>
                    <a:graphicData uri="http://schemas.openxmlformats.org/drawingml/2006/picture">
                      <pic:pic>
                        <pic:nvPicPr>
                          <pic:cNvPr descr="images/C7_RapportApparent.PNG" id="149" name="Picture"/>
                          <pic:cNvPicPr>
                            <a:picLocks noChangeArrowheads="1" noChangeAspect="1"/>
                          </pic:cNvPicPr>
                        </pic:nvPicPr>
                        <pic:blipFill>
                          <a:blip r:embed="rId147"/>
                          <a:stretch>
                            <a:fillRect/>
                          </a:stretch>
                        </pic:blipFill>
                        <pic:spPr bwMode="auto">
                          <a:xfrm>
                            <a:off x="0" y="0"/>
                            <a:ext cx="5334000" cy="40162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Influence de la tolérance angulaire sur le rapport d’anisotropie apparent.</w:t>
            </w:r>
          </w:p>
          <w:bookmarkEnd w:id="150"/>
        </w:tc>
      </w:tr>
    </w:tbl>
    <w:bookmarkEnd w:id="151"/>
    <w:bookmarkStart w:id="152" w:name="anisotropie-zonale"/>
    <w:p>
      <w:pPr>
        <w:pStyle w:val="Heading4"/>
      </w:pPr>
      <w:r>
        <w:t xml:space="preserve">Anisotropie zonale</w:t>
      </w:r>
    </w:p>
    <w:p>
      <w:pPr>
        <w:pStyle w:val="FirstParagraph"/>
      </w:pPr>
      <w:r>
        <w:t xml:space="preserve">L’anisotropie zonale apparaît lorsque le palier varie selon la direction. Une simple transformation géométrique des coordonnées ne suffit alors plus à rendre le modèle isotrope.</w:t>
      </w:r>
    </w:p>
    <w:p>
      <w:pPr>
        <w:pStyle w:val="BodyText"/>
      </w:pPr>
      <w:r>
        <w:t xml:space="preserve">Ce comportement peut être représenté par une somme de structures possédant des anisotropies différentes. En deux dimensions, un modèle simplifié peut s’écrire :</w:t>
      </w:r>
    </w:p>
    <w:p>
      <w:pPr>
        <w:pStyle w:val="BodyText"/>
      </w:pPr>
      <m:oMathPara>
        <m:oMathParaPr>
          <m:jc m:val="center"/>
        </m:oMathParaPr>
        <m:oMath>
          <m:r>
            <m:t>γ</m:t>
          </m:r>
          <m:d>
            <m:dPr>
              <m:begChr m:val="("/>
              <m:sepChr m:val=""/>
              <m:endChr m:val=")"/>
              <m:grow/>
            </m:dPr>
            <m:e>
              <m:r>
                <m:rPr>
                  <m:sty m:val="b"/>
                </m:rPr>
                <m:t>h</m:t>
              </m:r>
            </m:e>
          </m:d>
          <m:r>
            <m:rPr>
              <m:sty m:val="p"/>
            </m:rPr>
            <m:t>=</m:t>
          </m:r>
          <m:sSub>
            <m:e>
              <m:r>
                <m:t>γ</m:t>
              </m:r>
            </m:e>
            <m:sub>
              <m:r>
                <m:rPr>
                  <m:sty m:val="p"/>
                </m:rPr>
                <m:t>i</m:t>
              </m:r>
              <m:r>
                <m:rPr>
                  <m:sty m:val="p"/>
                </m:rPr>
                <m:t>s</m:t>
              </m:r>
              <m:r>
                <m:rPr>
                  <m:sty m:val="p"/>
                </m:rPr>
                <m:t>o</m:t>
              </m:r>
            </m:sub>
          </m:sSub>
          <m:d>
            <m:dPr>
              <m:begChr m:val="("/>
              <m:sepChr m:val=""/>
              <m:endChr m:val=")"/>
              <m:grow/>
            </m:dPr>
            <m:e>
              <m:d>
                <m:dPr>
                  <m:begChr m:val="‖"/>
                  <m:sepChr m:val=""/>
                  <m:endChr m:val="‖"/>
                  <m:grow/>
                </m:dPr>
                <m:e>
                  <m:r>
                    <m:rPr>
                      <m:sty m:val="b"/>
                    </m:rPr>
                    <m:t>h</m:t>
                  </m:r>
                </m:e>
              </m:d>
            </m:e>
          </m:d>
          <m:r>
            <m:rPr>
              <m:sty m:val="p"/>
            </m:rPr>
            <m:t>+</m:t>
          </m:r>
          <m:sSub>
            <m:e>
              <m:r>
                <m:t>γ</m:t>
              </m:r>
            </m:e>
            <m:sub>
              <m:r>
                <m:t>z</m:t>
              </m:r>
            </m:sub>
          </m:sSub>
          <m:d>
            <m:dPr>
              <m:begChr m:val="("/>
              <m:sepChr m:val=""/>
              <m:endChr m:val=")"/>
              <m:grow/>
            </m:dPr>
            <m:e>
              <m:d>
                <m:dPr>
                  <m:begChr m:val="|"/>
                  <m:sepChr m:val=""/>
                  <m:endChr m:val="|"/>
                  <m:grow/>
                </m:dPr>
                <m:e>
                  <m:r>
                    <m:rPr>
                      <m:sty m:val="b"/>
                    </m:rPr>
                    <m:t>h</m:t>
                  </m:r>
                  <m:r>
                    <m:rPr>
                      <m:sty m:val="p"/>
                    </m:rPr>
                    <m:t>⋅</m:t>
                  </m:r>
                  <m:r>
                    <m:rPr>
                      <m:sty m:val="b"/>
                    </m:rPr>
                    <m:t>n</m:t>
                  </m:r>
                </m:e>
              </m:d>
            </m:e>
          </m:d>
          <m:r>
            <m:rPr>
              <m:sty m:val="p"/>
            </m:rPr>
            <m:t>,</m:t>
          </m:r>
        </m:oMath>
      </m:oMathPara>
    </w:p>
    <w:p>
      <w:pPr>
        <w:pStyle w:val="FirstParagraph"/>
      </w:pPr>
      <w:r>
        <w:t xml:space="preserve">où :</w:t>
      </w:r>
    </w:p>
    <w:p>
      <w:pPr>
        <w:pStyle w:val="Compact"/>
        <w:numPr>
          <w:ilvl w:val="0"/>
          <w:numId w:val="1024"/>
        </w:numPr>
      </w:pPr>
      <m:oMath>
        <m:sSub>
          <m:e>
            <m:r>
              <m:t>γ</m:t>
            </m:r>
          </m:e>
          <m:sub>
            <m:r>
              <m:rPr>
                <m:sty m:val="p"/>
              </m:rPr>
              <m:t>i</m:t>
            </m:r>
            <m:r>
              <m:rPr>
                <m:sty m:val="p"/>
              </m:rPr>
              <m:t>s</m:t>
            </m:r>
            <m:r>
              <m:rPr>
                <m:sty m:val="p"/>
              </m:rPr>
              <m:t>o</m:t>
            </m:r>
          </m:sub>
        </m:sSub>
      </m:oMath>
      <w:r>
        <w:t xml:space="preserve"> </w:t>
      </w:r>
      <w:r>
        <w:t xml:space="preserve">est une composante isotrope;</w:t>
      </w:r>
    </w:p>
    <w:p>
      <w:pPr>
        <w:pStyle w:val="Compact"/>
        <w:numPr>
          <w:ilvl w:val="0"/>
          <w:numId w:val="1024"/>
        </w:numPr>
      </w:pPr>
      <m:oMath>
        <m:sSub>
          <m:e>
            <m:r>
              <m:t>γ</m:t>
            </m:r>
          </m:e>
          <m:sub>
            <m:r>
              <m:t>z</m:t>
            </m:r>
          </m:sub>
        </m:sSub>
      </m:oMath>
      <w:r>
        <w:t xml:space="preserve"> </w:t>
      </w:r>
      <w:r>
        <w:t xml:space="preserve">est une composante zonale;</w:t>
      </w:r>
    </w:p>
    <w:p>
      <w:pPr>
        <w:pStyle w:val="Compact"/>
        <w:numPr>
          <w:ilvl w:val="0"/>
          <w:numId w:val="1024"/>
        </w:numPr>
      </w:pPr>
      <m:oMath>
        <m:r>
          <m:rPr>
            <m:sty m:val="b"/>
          </m:rPr>
          <m:t>n</m:t>
        </m:r>
      </m:oMath>
      <w:r>
        <w:t xml:space="preserve"> </w:t>
      </w:r>
      <w:r>
        <w:t xml:space="preserve">est un vecteur unitaire perpendiculaire à la direction de continuité infinie de la composante zonale.</w:t>
      </w:r>
    </w:p>
    <w:p>
      <w:pPr>
        <w:pStyle w:val="FirstParagraph"/>
      </w:pPr>
      <w:r>
        <w:t xml:space="preserve">Dans la direction où</w:t>
      </w:r>
      <w:r>
        <w:t xml:space="preserve"> </w:t>
      </w:r>
      <m:oMath>
        <m:r>
          <m:rPr>
            <m:sty m:val="b"/>
          </m:rPr>
          <m:t>h</m:t>
        </m:r>
        <m:r>
          <m:rPr>
            <m:sty m:val="p"/>
          </m:rPr>
          <m:t>⋅</m:t>
        </m:r>
        <m:r>
          <m:rPr>
            <m:sty m:val="b"/>
          </m:rPr>
          <m:t>n</m:t>
        </m:r>
        <m:r>
          <m:rPr>
            <m:sty m:val="p"/>
          </m:rPr>
          <m:t>=</m:t>
        </m:r>
        <m:r>
          <m:t>0</m:t>
        </m:r>
      </m:oMath>
      <w:r>
        <w:t xml:space="preserve">, la composante zonale ne contribue pas au variogramme. Dans la direction perpendiculaire, elle augmente le palier apparent.</w:t>
      </w:r>
    </w:p>
    <w:p>
      <w:pPr>
        <w:pStyle w:val="BodyText"/>
      </w:pPr>
      <w:r>
        <w:t xml:space="preserve">La modélisation d’une anisotropie zonale est généralement plus délicate que celle d’une anisotropie géométrique. Elle doit être fondée sur des variogrammes directionnels suffisamment robustes et sur une interprétation géologique cohérente.</w:t>
      </w:r>
    </w:p>
    <w:bookmarkEnd w:id="152"/>
    <w:bookmarkStart w:id="153" w:name="cas-tridimensionnel"/>
    <w:p>
      <w:pPr>
        <w:pStyle w:val="Heading4"/>
      </w:pPr>
      <w:r>
        <w:t xml:space="preserve">Cas tridimensionnel</w:t>
      </w:r>
    </w:p>
    <w:p>
      <w:pPr>
        <w:pStyle w:val="FirstParagraph"/>
      </w:pPr>
      <w:r>
        <w:t xml:space="preserve">En trois dimensions, l’ellipse d’anisotropie devient un ellipsoïde défini par :</w:t>
      </w:r>
    </w:p>
    <w:p>
      <w:pPr>
        <w:pStyle w:val="Compact"/>
        <w:numPr>
          <w:ilvl w:val="0"/>
          <w:numId w:val="1025"/>
        </w:numPr>
      </w:pPr>
      <w:r>
        <w:t xml:space="preserve">trois portées principales;</w:t>
      </w:r>
    </w:p>
    <w:p>
      <w:pPr>
        <w:pStyle w:val="Compact"/>
        <w:numPr>
          <w:ilvl w:val="0"/>
          <w:numId w:val="1025"/>
        </w:numPr>
      </w:pPr>
      <w:r>
        <w:t xml:space="preserve">trois directions principales orthogonales;</w:t>
      </w:r>
    </w:p>
    <w:p>
      <w:pPr>
        <w:pStyle w:val="Compact"/>
        <w:numPr>
          <w:ilvl w:val="0"/>
          <w:numId w:val="1025"/>
        </w:numPr>
      </w:pPr>
      <w:r>
        <w:t xml:space="preserve">une convention de rotation permettant d’orienter l’ellipsoïde dans l’espace.</w:t>
      </w:r>
    </w:p>
    <w:p>
      <w:pPr>
        <w:pStyle w:val="FirstParagraph"/>
      </w:pPr>
      <w:r>
        <w:t xml:space="preserve">Selon le logiciel, l’orientation peut être décrite par trois angles d’Euler, par un azimut, un pendage et une rotation autour de l’axe principal, ou par une autre convention équivalente.</w:t>
      </w:r>
    </w:p>
    <w:p>
      <w:pPr>
        <w:pStyle w:val="BodyText"/>
      </w:pPr>
      <w:r>
        <w:t xml:space="preserve">Il est essentiel de vérifier :</w:t>
      </w:r>
    </w:p>
    <w:p>
      <w:pPr>
        <w:pStyle w:val="Compact"/>
        <w:numPr>
          <w:ilvl w:val="0"/>
          <w:numId w:val="1026"/>
        </w:numPr>
      </w:pPr>
      <w:r>
        <w:t xml:space="preserve">l’ordre des rotations;</w:t>
      </w:r>
    </w:p>
    <w:p>
      <w:pPr>
        <w:pStyle w:val="Compact"/>
        <w:numPr>
          <w:ilvl w:val="0"/>
          <w:numId w:val="1026"/>
        </w:numPr>
      </w:pPr>
      <w:r>
        <w:t xml:space="preserve">le sens positif des angles;</w:t>
      </w:r>
    </w:p>
    <w:p>
      <w:pPr>
        <w:pStyle w:val="Compact"/>
        <w:numPr>
          <w:ilvl w:val="0"/>
          <w:numId w:val="1026"/>
        </w:numPr>
      </w:pPr>
      <w:r>
        <w:t xml:space="preserve">l’axe autour duquel chaque rotation est effectuée;</w:t>
      </w:r>
    </w:p>
    <w:p>
      <w:pPr>
        <w:pStyle w:val="Compact"/>
        <w:numPr>
          <w:ilvl w:val="0"/>
          <w:numId w:val="1026"/>
        </w:numPr>
      </w:pPr>
      <w:r>
        <w:t xml:space="preserve">la convention utilisée pour l’azimut et le pendage;</w:t>
      </w:r>
    </w:p>
    <w:p>
      <w:pPr>
        <w:pStyle w:val="Compact"/>
        <w:numPr>
          <w:ilvl w:val="0"/>
          <w:numId w:val="1026"/>
        </w:numPr>
      </w:pPr>
      <w:r>
        <w:t xml:space="preserve">le système de coordonnées et son orientation.</w:t>
      </w:r>
    </w:p>
    <w:p>
      <w:pPr>
        <w:pStyle w:val="FirstParagraph"/>
      </w:pPr>
      <w:r>
        <w:t xml:space="preserve">La modélisation 3D peut être limitée par la disposition des données. Avec des forages principalement verticaux, les paires sont nombreuses dans la direction verticale, mais souvent rares dans certaines directions horizontales. Les portées horizontales deviennent alors difficiles à estimer, surtout lorsque l’espacement entre les forages est grand.</w:t>
      </w:r>
    </w:p>
    <w:p>
      <w:pPr>
        <w:pStyle w:val="BodyText"/>
      </w:pPr>
      <w:r>
        <w:t xml:space="preserve">La définition des tolérances directionnelles exige également une attention particulière. Une même tolérance angulaire ne sélectionne pas nécessairement un volume comparable autour d’un vecteur horizontal et autour d’un vecteur vertical.</w:t>
      </w:r>
    </w:p>
    <w:bookmarkEnd w:id="153"/>
    <w:bookmarkEnd w:id="154"/>
    <w:bookmarkEnd w:id="155"/>
    <w:bookmarkStart w:id="156" w:name="atelier-interactif-7.4-anisotropie-3d"/>
    <w:p>
      <w:pPr>
        <w:pStyle w:val="Heading2"/>
      </w:pPr>
      <w:r>
        <w:t xml:space="preserve">🧮 Atelier interactif 7.4 — Anisotropie 3D</w:t>
      </w:r>
    </w:p>
    <w:p>
      <w:pPr>
        <w:pStyle w:val="FirstParagraph"/>
      </w:pPr>
      <w:r>
        <w:t xml:space="preserve">Cet atelier interactif est disponible uniquement dans la version web du chapitre.</w:t>
      </w:r>
    </w:p>
    <w:p>
      <w:pPr>
        <w:pStyle w:val="BodyText"/>
      </w:pPr>
      <w:r>
        <w:t xml:space="preserve">La géométrie de l’anisotropie étant établie, il reste à déterminer les paramètres du modèle à partir des données. Cette étape correspond à l’ajustement du variogramme théorique.</w:t>
      </w:r>
    </w:p>
    <w:bookmarkEnd w:id="156"/>
    <w:bookmarkStart w:id="175" w:name="ajustement-dun-modèle-théorique"/>
    <w:p>
      <w:pPr>
        <w:pStyle w:val="Heading2"/>
      </w:pPr>
      <w:r>
        <w:t xml:space="preserve">5 Ajustement d’un modèle théorique</w:t>
      </w:r>
    </w:p>
    <w:p>
      <w:pPr>
        <w:pStyle w:val="FirstParagraph"/>
      </w:pPr>
      <w:r>
        <w:t xml:space="preserve">L’ajustement d’un modèle de variogramme combine généralement deux approches : l’interprétation visuelle et l’optimisation automatique.</w:t>
      </w:r>
    </w:p>
    <w:p>
      <w:pPr>
        <w:pStyle w:val="BodyText"/>
      </w:pPr>
      <w:r>
        <w:t xml:space="preserve">L’ajustement visuel permet de tenir compte de la forme générale du variogramme expérimental, de la géologie, des directions de continuité et de la qualité des différentes classes de distance. L’ajustement automatique permet ensuite d’estimer les paramètres de manière reproductible à partir d’un critère numérique.</w:t>
      </w:r>
    </w:p>
    <w:p>
      <w:pPr>
        <w:pStyle w:val="BodyText"/>
      </w:pPr>
      <w:r>
        <w:t xml:space="preserve">Ces deux approches sont donc complémentaires. L’ajustement automatique est particulièrement utile lorsque le type de modèle et la structure générale sont déjà connus, par exemple lorsqu’on souhaite estimer l’effet de pépite, le palier et la portée d’un modèle sphérique isotrope. Il est également utile dans les études de simulation, lorsque les données sont générées à partir d’un modèle connu.</w:t>
      </w:r>
    </w:p>
    <w:p>
      <w:pPr>
        <w:pStyle w:val="BodyText"/>
      </w:pPr>
      <w:r>
        <w:t xml:space="preserve">Lorsque le nombre de données est faible, le variogramme expérimental devient instable, car chaque classe contient peu de paires. Une méthode automatique ne crée toutefois pas d’information supplémentaire. La validation croisée ou les méthodes fondées directement sur les données peuvent aider à comparer des modèles, mais leurs résultats demeurent eux aussi incertains lorsque l’échantillon est limité.</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57" name="Picture"/>
                  <a:graphic>
                    <a:graphicData uri="http://schemas.openxmlformats.org/drawingml/2006/picture">
                      <pic:pic>
                        <pic:nvPicPr>
                          <pic:cNvPr descr="C:\Users\danyl\AppData\Local\Programs\Quarto\share\formats\docx\important.png" id="15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L’ajustement d’un variogramme ne doit pas être traité comme une procédure entièrement automatique. Le type de modèle, le nombre de structures, les anisotropies et les directions principales doivent rester cohérents avec les données et avec la compréhension du phénomène étudié.</w:t>
            </w:r>
          </w:p>
          <w:p/>
        </w:tc>
      </w:tr>
    </w:tbl>
    <w:bookmarkStart w:id="159" w:name="deux-étapes-distinctes"/>
    <w:p>
      <w:pPr>
        <w:pStyle w:val="Heading3"/>
      </w:pPr>
      <w:r>
        <w:t xml:space="preserve">Deux étapes distinctes</w:t>
      </w:r>
    </w:p>
    <w:p>
      <w:pPr>
        <w:pStyle w:val="FirstParagraph"/>
      </w:pPr>
      <w:r>
        <w:t xml:space="preserve">La modélisation d’un variogramme comprend deux problèmes différents :</w:t>
      </w:r>
    </w:p>
    <w:p>
      <w:pPr>
        <w:pStyle w:val="Compact"/>
        <w:numPr>
          <w:ilvl w:val="0"/>
          <w:numId w:val="1027"/>
        </w:numPr>
      </w:pPr>
      <w:r>
        <w:t xml:space="preserve">déterminer la structure du modèle;</w:t>
      </w:r>
    </w:p>
    <w:p>
      <w:pPr>
        <w:pStyle w:val="Compact"/>
        <w:numPr>
          <w:ilvl w:val="0"/>
          <w:numId w:val="1027"/>
        </w:numPr>
      </w:pPr>
      <w:r>
        <w:t xml:space="preserve">estimer les paramètres de cette structure.</w:t>
      </w:r>
    </w:p>
    <w:p>
      <w:pPr>
        <w:pStyle w:val="FirstParagraph"/>
      </w:pPr>
      <w:r>
        <w:t xml:space="preserve">La première étape consiste notamment à choisir :</w:t>
      </w:r>
    </w:p>
    <w:p>
      <w:pPr>
        <w:pStyle w:val="Compact"/>
        <w:numPr>
          <w:ilvl w:val="0"/>
          <w:numId w:val="1028"/>
        </w:numPr>
      </w:pPr>
      <w:r>
        <w:t xml:space="preserve">le type de modèle, par exemple sphérique, exponentiel ou gaussien;</w:t>
      </w:r>
    </w:p>
    <w:p>
      <w:pPr>
        <w:pStyle w:val="Compact"/>
        <w:numPr>
          <w:ilvl w:val="0"/>
          <w:numId w:val="1028"/>
        </w:numPr>
      </w:pPr>
      <w:r>
        <w:t xml:space="preserve">le nombre de structures;</w:t>
      </w:r>
    </w:p>
    <w:p>
      <w:pPr>
        <w:pStyle w:val="Compact"/>
        <w:numPr>
          <w:ilvl w:val="0"/>
          <w:numId w:val="1028"/>
        </w:numPr>
      </w:pPr>
      <w:r>
        <w:t xml:space="preserve">la présence d’un effet de pépite;</w:t>
      </w:r>
    </w:p>
    <w:p>
      <w:pPr>
        <w:pStyle w:val="Compact"/>
        <w:numPr>
          <w:ilvl w:val="0"/>
          <w:numId w:val="1028"/>
        </w:numPr>
      </w:pPr>
      <w:r>
        <w:t xml:space="preserve">la présence d’une anisotropie;</w:t>
      </w:r>
    </w:p>
    <w:p>
      <w:pPr>
        <w:pStyle w:val="Compact"/>
        <w:numPr>
          <w:ilvl w:val="0"/>
          <w:numId w:val="1028"/>
        </w:numPr>
      </w:pPr>
      <w:r>
        <w:t xml:space="preserve">les directions principales de continuité.</w:t>
      </w:r>
    </w:p>
    <w:p>
      <w:pPr>
        <w:pStyle w:val="FirstParagraph"/>
      </w:pPr>
      <w:r>
        <w:t xml:space="preserve">Cette étape est difficile à automatiser complètement. Elle repose sur le variogramme expérimental, mais aussi sur des informations extérieures aux données : géologie, stratification, processus de dépôt, précision analytique, support des échantillons et résultats obtenus sur des cas comparables.</w:t>
      </w:r>
    </w:p>
    <w:p>
      <w:pPr>
        <w:pStyle w:val="BodyText"/>
      </w:pPr>
      <w:r>
        <w:t xml:space="preserve">La seconde étape consiste à estimer les paramètres du modèle retenu, par exemple :</w:t>
      </w:r>
    </w:p>
    <w:p>
      <w:pPr>
        <w:pStyle w:val="Compact"/>
        <w:numPr>
          <w:ilvl w:val="0"/>
          <w:numId w:val="1029"/>
        </w:numPr>
      </w:pPr>
      <w:r>
        <w:t xml:space="preserve">l’effet de pépite</w:t>
      </w:r>
      <w:r>
        <w:t xml:space="preserve"> </w:t>
      </w:r>
      <m:oMath>
        <m:sSub>
          <m:e>
            <m:r>
              <m:t>C</m:t>
            </m:r>
          </m:e>
          <m:sub>
            <m:r>
              <m:t>0</m:t>
            </m:r>
          </m:sub>
        </m:sSub>
      </m:oMath>
      <w:r>
        <w:t xml:space="preserve">;</w:t>
      </w:r>
    </w:p>
    <w:p>
      <w:pPr>
        <w:pStyle w:val="Compact"/>
        <w:numPr>
          <w:ilvl w:val="0"/>
          <w:numId w:val="1029"/>
        </w:numPr>
      </w:pPr>
      <w:r>
        <w:t xml:space="preserve">les paliers partiels</w:t>
      </w:r>
      <w:r>
        <w:t xml:space="preserve"> </w:t>
      </w:r>
      <m:oMath>
        <m:sSub>
          <m:e>
            <m:r>
              <m:t>C</m:t>
            </m:r>
          </m:e>
          <m:sub>
            <m:r>
              <m:t>i</m:t>
            </m:r>
          </m:sub>
        </m:sSub>
      </m:oMath>
      <w:r>
        <w:t xml:space="preserve">;</w:t>
      </w:r>
    </w:p>
    <w:p>
      <w:pPr>
        <w:pStyle w:val="Compact"/>
        <w:numPr>
          <w:ilvl w:val="0"/>
          <w:numId w:val="1029"/>
        </w:numPr>
      </w:pPr>
      <w:r>
        <w:t xml:space="preserve">les portées</w:t>
      </w:r>
      <w:r>
        <w:t xml:space="preserve"> </w:t>
      </w:r>
      <m:oMath>
        <m:sSub>
          <m:e>
            <m:r>
              <m:t>a</m:t>
            </m:r>
          </m:e>
          <m:sub>
            <m:r>
              <m:t>i</m:t>
            </m:r>
          </m:sub>
        </m:sSub>
      </m:oMath>
      <w:r>
        <w:t xml:space="preserve">;</w:t>
      </w:r>
    </w:p>
    <w:p>
      <w:pPr>
        <w:pStyle w:val="Compact"/>
        <w:numPr>
          <w:ilvl w:val="0"/>
          <w:numId w:val="1029"/>
        </w:numPr>
      </w:pPr>
      <w:r>
        <w:t xml:space="preserve">les rapports d’anisotropie;</w:t>
      </w:r>
    </w:p>
    <w:p>
      <w:pPr>
        <w:pStyle w:val="Compact"/>
        <w:numPr>
          <w:ilvl w:val="0"/>
          <w:numId w:val="1029"/>
        </w:numPr>
      </w:pPr>
      <w:r>
        <w:t xml:space="preserve">les angles d’orientation.</w:t>
      </w:r>
    </w:p>
    <w:p>
      <w:pPr>
        <w:pStyle w:val="FirstParagraph"/>
      </w:pPr>
      <w:r>
        <w:t xml:space="preserve">Cette estimation peut être réalisée visuellement, par moindres carrés, par maximum de vraisemblance ou à l’aide de critères de validation croisée.</w:t>
      </w:r>
    </w:p>
    <w:bookmarkEnd w:id="159"/>
    <w:bookmarkStart w:id="164" w:name="X818ea7ce417ab0513cda2cda3de92ccedbec023"/>
    <w:p>
      <w:pPr>
        <w:pStyle w:val="Heading3"/>
      </w:pPr>
      <w:r>
        <w:t xml:space="preserve">Estimateurs robustes de la structure spatiale</w:t>
      </w:r>
    </w:p>
    <w:p>
      <w:pPr>
        <w:pStyle w:val="FirstParagraph"/>
      </w:pPr>
      <w:r>
        <w:t xml:space="preserve">Le variogramme expérimental classique repose sur des différences au carré :</w:t>
      </w:r>
    </w:p>
    <w:p>
      <w:pPr>
        <w:pStyle w:val="BodyText"/>
      </w:pPr>
      <m:oMathPara>
        <m:oMathParaPr>
          <m:jc m:val="center"/>
        </m:oMathParaPr>
        <m:oMath>
          <m:acc>
            <m:accPr>
              <m:chr m:val="̂"/>
            </m:accPr>
            <m:e>
              <m:r>
                <m:t>γ</m:t>
              </m:r>
            </m:e>
          </m:acc>
          <m:d>
            <m:dPr>
              <m:begChr m:val="("/>
              <m:sepChr m:val=""/>
              <m:endChr m:val=")"/>
              <m:grow/>
            </m:dPr>
            <m:e>
              <m:r>
                <m:rPr>
                  <m:sty m:val="b"/>
                </m:rPr>
                <m:t>h</m:t>
              </m:r>
            </m:e>
          </m:d>
          <m:r>
            <m:rPr>
              <m:sty m:val="p"/>
            </m:rPr>
            <m:t>=</m:t>
          </m:r>
          <m:f>
            <m:fPr>
              <m:type m:val="bar"/>
            </m:fPr>
            <m:num>
              <m:r>
                <m:t>1</m:t>
              </m:r>
            </m:num>
            <m:den>
              <m:r>
                <m:t>2</m:t>
              </m:r>
              <m:r>
                <m:t>N</m:t>
              </m:r>
              <m:d>
                <m:dPr>
                  <m:begChr m:val="("/>
                  <m:sepChr m:val=""/>
                  <m:endChr m:val=")"/>
                  <m:grow/>
                </m:dPr>
                <m:e>
                  <m:r>
                    <m:rPr>
                      <m:sty m:val="b"/>
                    </m:rPr>
                    <m:t>h</m:t>
                  </m:r>
                </m:e>
              </m:d>
            </m:den>
          </m:f>
          <m:nary>
            <m:naryPr>
              <m:chr m:val="∑"/>
              <m:limLoc m:val="undOvr"/>
              <m:subHide m:val="off"/>
              <m:supHide m:val="on"/>
            </m:naryPr>
            <m:sub>
              <m:d>
                <m:dPr>
                  <m:begChr m:val="("/>
                  <m:sepChr m:val=""/>
                  <m:endChr m:val=")"/>
                  <m:grow/>
                </m:dPr>
                <m:e>
                  <m:r>
                    <m:t>i</m:t>
                  </m:r>
                  <m:r>
                    <m:rPr>
                      <m:sty m:val="p"/>
                    </m:rPr>
                    <m:t>,</m:t>
                  </m:r>
                  <m:r>
                    <m:t>j</m:t>
                  </m:r>
                </m:e>
              </m:d>
              <m:r>
                <m:rPr>
                  <m:sty m:val="p"/>
                </m:rPr>
                <m:t>∈</m:t>
              </m:r>
              <m:r>
                <m:rPr>
                  <m:sty m:val="p"/>
                  <m:scr m:val="script"/>
                </m:rPr>
                <m:t>P</m:t>
              </m:r>
              <m:d>
                <m:dPr>
                  <m:begChr m:val="("/>
                  <m:sepChr m:val=""/>
                  <m:endChr m:val=")"/>
                  <m:grow/>
                </m:dPr>
                <m:e>
                  <m:r>
                    <m:rPr>
                      <m:sty m:val="b"/>
                    </m:rPr>
                    <m:t>h</m:t>
                  </m:r>
                </m:e>
              </m:d>
            </m:sub>
            <m:sup>
              <m:r>
                <m:t>​</m:t>
              </m:r>
            </m:sup>
            <m:e>
              <m:sSup>
                <m:e>
                  <m:d>
                    <m:dPr>
                      <m:begChr m:val="["/>
                      <m:sepChr m:val=""/>
                      <m:endChr m:val="]"/>
                      <m:grow/>
                    </m:dPr>
                    <m:e>
                      <m:r>
                        <m:t>z</m:t>
                      </m:r>
                      <m:d>
                        <m:dPr>
                          <m:begChr m:val="("/>
                          <m:sepChr m:val=""/>
                          <m:endChr m:val=")"/>
                          <m:grow/>
                        </m:dPr>
                        <m:e>
                          <m:sSub>
                            <m:e>
                              <m:r>
                                <m:rPr>
                                  <m:sty m:val="b"/>
                                </m:rPr>
                                <m:t>x</m:t>
                              </m:r>
                            </m:e>
                            <m:sub>
                              <m:r>
                                <m:t>j</m:t>
                              </m:r>
                            </m:sub>
                          </m:sSub>
                        </m:e>
                      </m:d>
                      <m:r>
                        <m:rPr>
                          <m:sty m:val="p"/>
                        </m:rPr>
                        <m:t>−</m:t>
                      </m:r>
                      <m:r>
                        <m:t>z</m:t>
                      </m:r>
                      <m:d>
                        <m:dPr>
                          <m:begChr m:val="("/>
                          <m:sepChr m:val=""/>
                          <m:endChr m:val=")"/>
                          <m:grow/>
                        </m:dPr>
                        <m:e>
                          <m:sSub>
                            <m:e>
                              <m:r>
                                <m:rPr>
                                  <m:sty m:val="b"/>
                                </m:rPr>
                                <m:t>x</m:t>
                              </m:r>
                            </m:e>
                            <m:sub>
                              <m:r>
                                <m:t>i</m:t>
                              </m:r>
                            </m:sub>
                          </m:sSub>
                        </m:e>
                      </m:d>
                    </m:e>
                  </m:d>
                </m:e>
                <m:sup>
                  <m:r>
                    <m:t>2</m:t>
                  </m:r>
                </m:sup>
              </m:sSup>
            </m:e>
          </m:nary>
          <m:r>
            <m:rPr>
              <m:sty m:val="p"/>
            </m:rPr>
            <m:t>.</m:t>
          </m:r>
        </m:oMath>
      </m:oMathPara>
    </w:p>
    <w:p>
      <w:pPr>
        <w:pStyle w:val="FirstParagraph"/>
      </w:pPr>
      <w:r>
        <w:t xml:space="preserve">Cet estimateur est sensible aux valeurs extrêmes. Pour une variable fortement asymétrique, comme certaines teneurs en métaux précieux, une seule valeur élevée peut produire de très grandes contributions et dominer une classe de distance.</w:t>
      </w:r>
    </w:p>
    <w:p>
      <w:pPr>
        <w:pStyle w:val="BodyText"/>
      </w:pPr>
      <w:r>
        <w:t xml:space="preserve">Des estimateurs robustes peuvent alors être utilisés comme outils de diagnostic afin de mieux faire ressortir la structure spatiale générale.</w:t>
      </w:r>
    </w:p>
    <w:bookmarkStart w:id="160" w:name="estimateur-de-cressiehawkins"/>
    <w:p>
      <w:pPr>
        <w:pStyle w:val="Heading4"/>
      </w:pPr>
      <w:r>
        <w:t xml:space="preserve">Estimateur de Cressie–Hawkins</w:t>
      </w:r>
    </w:p>
    <w:p>
      <w:pPr>
        <w:pStyle w:val="FirstParagraph"/>
      </w:pPr>
      <w:r>
        <w:t xml:space="preserve">L’estimateur robuste de Cressie–Hawkins s’écrit :</w:t>
      </w:r>
    </w:p>
    <w:p>
      <w:pPr>
        <w:pStyle w:val="BodyText"/>
      </w:pPr>
      <m:oMathPara>
        <m:oMathParaPr>
          <m:jc m:val="center"/>
        </m:oMathParaPr>
        <m:oMath>
          <m:sSub>
            <m:e>
              <m:acc>
                <m:accPr>
                  <m:chr m:val="̂"/>
                </m:accPr>
                <m:e>
                  <m:r>
                    <m:t>γ</m:t>
                  </m:r>
                </m:e>
              </m:acc>
            </m:e>
            <m:sub>
              <m:r>
                <m:rPr>
                  <m:sty m:val="p"/>
                </m:rPr>
                <m:t>C</m:t>
              </m:r>
              <m:r>
                <m:rPr>
                  <m:sty m:val="p"/>
                </m:rPr>
                <m:t>H</m:t>
              </m:r>
            </m:sub>
          </m:sSub>
          <m:d>
            <m:dPr>
              <m:begChr m:val="("/>
              <m:sepChr m:val=""/>
              <m:endChr m:val=")"/>
              <m:grow/>
            </m:dPr>
            <m:e>
              <m:r>
                <m:rPr>
                  <m:sty m:val="b"/>
                </m:rPr>
                <m:t>h</m:t>
              </m:r>
            </m:e>
          </m:d>
          <m:r>
            <m:rPr>
              <m:sty m:val="p"/>
            </m:rPr>
            <m:t>=</m:t>
          </m:r>
          <m:f>
            <m:fPr>
              <m:type m:val="bar"/>
            </m:fPr>
            <m:num>
              <m:r>
                <m:t>1</m:t>
              </m:r>
            </m:num>
            <m:den>
              <m:r>
                <m:t>2</m:t>
              </m:r>
            </m:den>
          </m:f>
          <m:f>
            <m:fPr>
              <m:type m:val="bar"/>
            </m:fPr>
            <m:num>
              <m:sSup>
                <m:e>
                  <m:d>
                    <m:dPr>
                      <m:begChr m:val="["/>
                      <m:sepChr m:val=""/>
                      <m:endChr m:val="]"/>
                      <m:grow/>
                    </m:dPr>
                    <m:e>
                      <m:f>
                        <m:fPr>
                          <m:type m:val="bar"/>
                        </m:fPr>
                        <m:num>
                          <m:r>
                            <m:t>1</m:t>
                          </m:r>
                        </m:num>
                        <m:den>
                          <m:r>
                            <m:t>N</m:t>
                          </m:r>
                          <m:d>
                            <m:dPr>
                              <m:begChr m:val="("/>
                              <m:sepChr m:val=""/>
                              <m:endChr m:val=")"/>
                              <m:grow/>
                            </m:dPr>
                            <m:e>
                              <m:r>
                                <m:rPr>
                                  <m:sty m:val="b"/>
                                </m:rPr>
                                <m:t>h</m:t>
                              </m:r>
                            </m:e>
                          </m:d>
                        </m:den>
                      </m:f>
                      <m:nary>
                        <m:naryPr>
                          <m:chr m:val="∑"/>
                          <m:limLoc m:val="undOvr"/>
                          <m:subHide m:val="off"/>
                          <m:supHide m:val="on"/>
                        </m:naryPr>
                        <m:sub>
                          <m:d>
                            <m:dPr>
                              <m:begChr m:val="("/>
                              <m:sepChr m:val=""/>
                              <m:endChr m:val=")"/>
                              <m:grow/>
                            </m:dPr>
                            <m:e>
                              <m:r>
                                <m:t>i</m:t>
                              </m:r>
                              <m:r>
                                <m:rPr>
                                  <m:sty m:val="p"/>
                                </m:rPr>
                                <m:t>,</m:t>
                              </m:r>
                              <m:r>
                                <m:t>j</m:t>
                              </m:r>
                            </m:e>
                          </m:d>
                          <m:r>
                            <m:rPr>
                              <m:sty m:val="p"/>
                            </m:rPr>
                            <m:t>∈</m:t>
                          </m:r>
                          <m:r>
                            <m:rPr>
                              <m:sty m:val="p"/>
                              <m:scr m:val="script"/>
                            </m:rPr>
                            <m:t>P</m:t>
                          </m:r>
                          <m:d>
                            <m:dPr>
                              <m:begChr m:val="("/>
                              <m:sepChr m:val=""/>
                              <m:endChr m:val=")"/>
                              <m:grow/>
                            </m:dPr>
                            <m:e>
                              <m:r>
                                <m:rPr>
                                  <m:sty m:val="b"/>
                                </m:rPr>
                                <m:t>h</m:t>
                              </m:r>
                            </m:e>
                          </m:d>
                        </m:sub>
                        <m:sup>
                          <m:r>
                            <m:t>​</m:t>
                          </m:r>
                        </m:sup>
                        <m:e>
                          <m:sSup>
                            <m:e>
                              <m:d>
                                <m:dPr>
                                  <m:begChr m:val="|"/>
                                  <m:sepChr m:val=""/>
                                  <m:endChr m:val="|"/>
                                  <m:grow/>
                                </m:dPr>
                                <m:e>
                                  <m:r>
                                    <m:t>z</m:t>
                                  </m:r>
                                  <m:d>
                                    <m:dPr>
                                      <m:begChr m:val="("/>
                                      <m:sepChr m:val=""/>
                                      <m:endChr m:val=")"/>
                                      <m:grow/>
                                    </m:dPr>
                                    <m:e>
                                      <m:sSub>
                                        <m:e>
                                          <m:r>
                                            <m:rPr>
                                              <m:sty m:val="b"/>
                                            </m:rPr>
                                            <m:t>x</m:t>
                                          </m:r>
                                        </m:e>
                                        <m:sub>
                                          <m:r>
                                            <m:t>j</m:t>
                                          </m:r>
                                        </m:sub>
                                      </m:sSub>
                                    </m:e>
                                  </m:d>
                                  <m:r>
                                    <m:rPr>
                                      <m:sty m:val="p"/>
                                    </m:rPr>
                                    <m:t>−</m:t>
                                  </m:r>
                                  <m:r>
                                    <m:t>z</m:t>
                                  </m:r>
                                  <m:d>
                                    <m:dPr>
                                      <m:begChr m:val="("/>
                                      <m:sepChr m:val=""/>
                                      <m:endChr m:val=")"/>
                                      <m:grow/>
                                    </m:dPr>
                                    <m:e>
                                      <m:sSub>
                                        <m:e>
                                          <m:r>
                                            <m:rPr>
                                              <m:sty m:val="b"/>
                                            </m:rPr>
                                            <m:t>x</m:t>
                                          </m:r>
                                        </m:e>
                                        <m:sub>
                                          <m:r>
                                            <m:t>i</m:t>
                                          </m:r>
                                        </m:sub>
                                      </m:sSub>
                                    </m:e>
                                  </m:d>
                                </m:e>
                              </m:d>
                            </m:e>
                            <m:sup>
                              <m:r>
                                <m:t>1</m:t>
                              </m:r>
                              <m:r>
                                <m:rPr>
                                  <m:sty m:val="p"/>
                                </m:rPr>
                                <m:t>/</m:t>
                              </m:r>
                              <m:r>
                                <m:t>2</m:t>
                              </m:r>
                            </m:sup>
                          </m:sSup>
                        </m:e>
                      </m:nary>
                    </m:e>
                  </m:d>
                </m:e>
                <m:sup>
                  <m:r>
                    <m:t>4</m:t>
                  </m:r>
                </m:sup>
              </m:sSup>
            </m:num>
            <m:den>
              <m:r>
                <m:t>0</m:t>
              </m:r>
              <m:r>
                <m:rPr>
                  <m:sty m:val="p"/>
                </m:rPr>
                <m:t>,</m:t>
              </m:r>
              <m:r>
                <m:t>457</m:t>
              </m:r>
              <m:r>
                <m:rPr>
                  <m:sty m:val="p"/>
                </m:rPr>
                <m:t>+</m:t>
              </m:r>
              <m:f>
                <m:fPr>
                  <m:type m:val="bar"/>
                </m:fPr>
                <m:num>
                  <m:r>
                    <m:t>0</m:t>
                  </m:r>
                  <m:r>
                    <m:rPr>
                      <m:sty m:val="p"/>
                    </m:rPr>
                    <m:t>,</m:t>
                  </m:r>
                  <m:r>
                    <m:t>494</m:t>
                  </m:r>
                </m:num>
                <m:den>
                  <m:r>
                    <m:t>N</m:t>
                  </m:r>
                  <m:d>
                    <m:dPr>
                      <m:begChr m:val="("/>
                      <m:sepChr m:val=""/>
                      <m:endChr m:val=")"/>
                      <m:grow/>
                    </m:dPr>
                    <m:e>
                      <m:r>
                        <m:rPr>
                          <m:sty m:val="b"/>
                        </m:rPr>
                        <m:t>h</m:t>
                      </m:r>
                    </m:e>
                  </m:d>
                </m:den>
              </m:f>
            </m:den>
          </m:f>
          <m:r>
            <m:rPr>
              <m:sty m:val="p"/>
            </m:rPr>
            <m:t>.</m:t>
          </m:r>
        </m:oMath>
      </m:oMathPara>
    </w:p>
    <w:p>
      <w:pPr>
        <w:pStyle w:val="FirstParagraph"/>
      </w:pPr>
      <w:r>
        <w:t xml:space="preserve">La racine carrée appliquée aux différences réduit l’influence des écarts très élevés. La puissance quatre remet ensuite l’estimateur à l’échelle du variogramme, tandis que le dénominateur corrige approximativement le biais associé à cette transformation.</w:t>
      </w:r>
    </w:p>
    <w:p>
      <w:pPr>
        <w:pStyle w:val="BodyText"/>
      </w:pPr>
      <w:r>
        <w:t xml:space="preserve">Cet estimateur peut être utile lorsque quelques valeurs très fortes masquent la structure générale. Il ne supprime toutefois pas la nécessité d’examiner les données, les paires responsables des grandes contributions et la pertinence d’une transformation de la variable.</w:t>
      </w:r>
    </w:p>
    <w:bookmarkEnd w:id="160"/>
    <w:bookmarkStart w:id="163" w:name="madogramme"/>
    <w:p>
      <w:pPr>
        <w:pStyle w:val="Heading4"/>
      </w:pPr>
      <w:r>
        <w:t xml:space="preserve">Madogramme</w:t>
      </w:r>
    </w:p>
    <w:p>
      <w:pPr>
        <w:pStyle w:val="FirstParagraph"/>
      </w:pPr>
      <w:r>
        <w:t xml:space="preserve">Le madogramme, aussi appelé variogramme d’ordre un, est défini par :</w:t>
      </w:r>
    </w:p>
    <w:p>
      <w:pPr>
        <w:pStyle w:val="BodyText"/>
      </w:pPr>
      <m:oMathPara>
        <m:oMathParaPr>
          <m:jc m:val="center"/>
        </m:oMathParaPr>
        <m:oMath>
          <m:sSub>
            <m:e>
              <m:acc>
                <m:accPr>
                  <m:chr m:val="̂"/>
                </m:accPr>
                <m:e>
                  <m:r>
                    <m:t>γ</m:t>
                  </m:r>
                </m:e>
              </m:acc>
            </m:e>
            <m:sub>
              <m:r>
                <m:t>1</m:t>
              </m:r>
            </m:sub>
          </m:sSub>
          <m:d>
            <m:dPr>
              <m:begChr m:val="("/>
              <m:sepChr m:val=""/>
              <m:endChr m:val=")"/>
              <m:grow/>
            </m:dPr>
            <m:e>
              <m:r>
                <m:rPr>
                  <m:sty m:val="b"/>
                </m:rPr>
                <m:t>h</m:t>
              </m:r>
            </m:e>
          </m:d>
          <m:r>
            <m:rPr>
              <m:sty m:val="p"/>
            </m:rPr>
            <m:t>=</m:t>
          </m:r>
          <m:f>
            <m:fPr>
              <m:type m:val="bar"/>
            </m:fPr>
            <m:num>
              <m:r>
                <m:t>1</m:t>
              </m:r>
            </m:num>
            <m:den>
              <m:r>
                <m:t>2</m:t>
              </m:r>
              <m:r>
                <m:t>N</m:t>
              </m:r>
              <m:d>
                <m:dPr>
                  <m:begChr m:val="("/>
                  <m:sepChr m:val=""/>
                  <m:endChr m:val=")"/>
                  <m:grow/>
                </m:dPr>
                <m:e>
                  <m:r>
                    <m:rPr>
                      <m:sty m:val="b"/>
                    </m:rPr>
                    <m:t>h</m:t>
                  </m:r>
                </m:e>
              </m:d>
            </m:den>
          </m:f>
          <m:nary>
            <m:naryPr>
              <m:chr m:val="∑"/>
              <m:limLoc m:val="undOvr"/>
              <m:subHide m:val="off"/>
              <m:supHide m:val="on"/>
            </m:naryPr>
            <m:sub>
              <m:d>
                <m:dPr>
                  <m:begChr m:val="("/>
                  <m:sepChr m:val=""/>
                  <m:endChr m:val=")"/>
                  <m:grow/>
                </m:dPr>
                <m:e>
                  <m:r>
                    <m:t>i</m:t>
                  </m:r>
                  <m:r>
                    <m:rPr>
                      <m:sty m:val="p"/>
                    </m:rPr>
                    <m:t>,</m:t>
                  </m:r>
                  <m:r>
                    <m:t>j</m:t>
                  </m:r>
                </m:e>
              </m:d>
              <m:r>
                <m:rPr>
                  <m:sty m:val="p"/>
                </m:rPr>
                <m:t>∈</m:t>
              </m:r>
              <m:r>
                <m:rPr>
                  <m:sty m:val="p"/>
                  <m:scr m:val="script"/>
                </m:rPr>
                <m:t>P</m:t>
              </m:r>
              <m:d>
                <m:dPr>
                  <m:begChr m:val="("/>
                  <m:sepChr m:val=""/>
                  <m:endChr m:val=")"/>
                  <m:grow/>
                </m:dPr>
                <m:e>
                  <m:r>
                    <m:rPr>
                      <m:sty m:val="b"/>
                    </m:rPr>
                    <m:t>h</m:t>
                  </m:r>
                </m:e>
              </m:d>
            </m:sub>
            <m:sup>
              <m:r>
                <m:t>​</m:t>
              </m:r>
            </m:sup>
            <m:e>
              <m:d>
                <m:dPr>
                  <m:begChr m:val="|"/>
                  <m:sepChr m:val=""/>
                  <m:endChr m:val="|"/>
                  <m:grow/>
                </m:dPr>
                <m:e>
                  <m:r>
                    <m:t>z</m:t>
                  </m:r>
                  <m:d>
                    <m:dPr>
                      <m:begChr m:val="("/>
                      <m:sepChr m:val=""/>
                      <m:endChr m:val=")"/>
                      <m:grow/>
                    </m:dPr>
                    <m:e>
                      <m:sSub>
                        <m:e>
                          <m:r>
                            <m:rPr>
                              <m:sty m:val="b"/>
                            </m:rPr>
                            <m:t>x</m:t>
                          </m:r>
                        </m:e>
                        <m:sub>
                          <m:r>
                            <m:t>j</m:t>
                          </m:r>
                        </m:sub>
                      </m:sSub>
                    </m:e>
                  </m:d>
                  <m:r>
                    <m:rPr>
                      <m:sty m:val="p"/>
                    </m:rPr>
                    <m:t>−</m:t>
                  </m:r>
                  <m:r>
                    <m:t>z</m:t>
                  </m:r>
                  <m:d>
                    <m:dPr>
                      <m:begChr m:val="("/>
                      <m:sepChr m:val=""/>
                      <m:endChr m:val=")"/>
                      <m:grow/>
                    </m:dPr>
                    <m:e>
                      <m:sSub>
                        <m:e>
                          <m:r>
                            <m:rPr>
                              <m:sty m:val="b"/>
                            </m:rPr>
                            <m:t>x</m:t>
                          </m:r>
                        </m:e>
                        <m:sub>
                          <m:r>
                            <m:t>i</m:t>
                          </m:r>
                        </m:sub>
                      </m:sSub>
                    </m:e>
                  </m:d>
                </m:e>
              </m:d>
            </m:e>
          </m:nary>
          <m:r>
            <m:rPr>
              <m:sty m:val="p"/>
            </m:rPr>
            <m:t>.</m:t>
          </m:r>
        </m:oMath>
      </m:oMathPara>
    </w:p>
    <w:p>
      <w:pPr>
        <w:pStyle w:val="FirstParagraph"/>
      </w:pPr>
      <w:r>
        <w:t xml:space="preserve">Comme les écarts ne sont pas élevés au carré, les valeurs extrêmes ont moins d’influence que dans le variogramme classique.</w:t>
      </w:r>
    </w:p>
    <w:p>
      <w:pPr>
        <w:pStyle w:val="BodyText"/>
      </w:pPr>
      <w:r>
        <w:t xml:space="preserve">Le madogramme ne possède toutefois pas les mêmes unités que le variogramme :</w:t>
      </w:r>
    </w:p>
    <w:p>
      <w:pPr>
        <w:pStyle w:val="Compact"/>
        <w:numPr>
          <w:ilvl w:val="0"/>
          <w:numId w:val="1030"/>
        </w:numPr>
      </w:pPr>
      <w:r>
        <w:t xml:space="preserve">le variogramme s’exprime dans les unités de la variable au carré;</w:t>
      </w:r>
    </w:p>
    <w:p>
      <w:pPr>
        <w:pStyle w:val="Compact"/>
        <w:numPr>
          <w:ilvl w:val="0"/>
          <w:numId w:val="1030"/>
        </w:numPr>
      </w:pPr>
      <w:r>
        <w:t xml:space="preserve">le madogramme s’exprime dans les unités de la variable.</w:t>
      </w:r>
    </w:p>
    <w:p>
      <w:pPr>
        <w:pStyle w:val="FirstParagraph"/>
      </w:pPr>
      <w:r>
        <w:t xml:space="preserve">Il ne se relie donc pas directement à la covariance et ne permet pas d’interpréter son palier comme une variance. Il est surtout utilisé pour repérer une échelle de continuité, comparer des directions ou vérifier si la structure apparente du variogramme classique est dominée par quelques valeurs extrêmes.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C:\Users\danyl\AppData\Local\Programs\Quarto\share\formats\docx\note.png" id="16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Un estimateur robuste ne remplace pas automatiquement le variogramme classique dans le krigeage. Il sert principalement à diagnostiquer la structure spatiale et à guider le choix du modèle.</w:t>
            </w:r>
          </w:p>
          <w:p/>
        </w:tc>
      </w:tr>
    </w:tbl>
    <w:bookmarkEnd w:id="163"/>
    <w:bookmarkEnd w:id="164"/>
    <w:bookmarkStart w:id="173" w:name="méthodes-automatiques-dajustement"/>
    <w:p>
      <w:pPr>
        <w:pStyle w:val="Heading3"/>
      </w:pPr>
      <w:r>
        <w:t xml:space="preserve">Méthodes automatiques d’ajustement</w:t>
      </w:r>
    </w:p>
    <w:bookmarkStart w:id="167" w:name="moindres-carrés"/>
    <w:p>
      <w:pPr>
        <w:pStyle w:val="Heading4"/>
      </w:pPr>
      <w:r>
        <w:t xml:space="preserve">1. Moindres carrés</w:t>
      </w:r>
    </w:p>
    <w:p>
      <w:pPr>
        <w:pStyle w:val="FirstParagraph"/>
      </w:pPr>
      <w:r>
        <w:t xml:space="preserve">L’ajustement par moindres carrés consiste à choisir les paramètres du modèle afin de réduire l’écart entre le variogramme expérimental et le modèle théorique.</w:t>
      </w:r>
    </w:p>
    <w:p>
      <w:pPr>
        <w:pStyle w:val="BodyText"/>
      </w:pPr>
      <w:r>
        <w:t xml:space="preserve">Un critère général s’écrit :</w:t>
      </w:r>
    </w:p>
    <w:p>
      <w:pPr>
        <w:pStyle w:val="BodyText"/>
      </w:pPr>
      <m:oMathPara>
        <m:oMathParaPr>
          <m:jc m:val="center"/>
        </m:oMathParaPr>
        <m:oMath>
          <m:r>
            <m:t>f</m:t>
          </m:r>
          <m:d>
            <m:dPr>
              <m:begChr m:val="("/>
              <m:sepChr m:val=""/>
              <m:endChr m:val=")"/>
              <m:grow/>
            </m:dPr>
            <m:e>
              <m:r>
                <m:rPr>
                  <m:sty m:val="b"/>
                </m:rPr>
                <m:t>θ</m:t>
              </m:r>
            </m:e>
          </m:d>
          <m:r>
            <m:rPr>
              <m:sty m:val="p"/>
            </m:rPr>
            <m:t>=</m:t>
          </m:r>
          <m:nary>
            <m:naryPr>
              <m:chr m:val="∑"/>
              <m:limLoc m:val="undOvr"/>
              <m:subHide m:val="off"/>
              <m:supHide m:val="off"/>
            </m:naryPr>
            <m:sub>
              <m:r>
                <m:t>k</m:t>
              </m:r>
              <m:r>
                <m:rPr>
                  <m:sty m:val="p"/>
                </m:rPr>
                <m:t>=</m:t>
              </m:r>
              <m:r>
                <m:t>1</m:t>
              </m:r>
            </m:sub>
            <m:sup>
              <m:r>
                <m:t>K</m:t>
              </m:r>
            </m:sup>
            <m:e>
              <m:sSub>
                <m:e>
                  <m:r>
                    <m:t>w</m:t>
                  </m:r>
                </m:e>
                <m:sub>
                  <m:r>
                    <m:t>k</m:t>
                  </m:r>
                </m:sub>
              </m:sSub>
            </m:e>
          </m:nary>
          <m:sSup>
            <m:e>
              <m:d>
                <m:dPr>
                  <m:begChr m:val="["/>
                  <m:sepChr m:val=""/>
                  <m:endChr m:val="]"/>
                  <m:grow/>
                </m:dPr>
                <m:e>
                  <m:acc>
                    <m:accPr>
                      <m:chr m:val="̂"/>
                    </m:accPr>
                    <m:e>
                      <m:r>
                        <m:t>γ</m:t>
                      </m:r>
                    </m:e>
                  </m:acc>
                  <m:d>
                    <m:dPr>
                      <m:begChr m:val="("/>
                      <m:sepChr m:val=""/>
                      <m:endChr m:val=")"/>
                      <m:grow/>
                    </m:dPr>
                    <m:e>
                      <m:sSub>
                        <m:e>
                          <m:r>
                            <m:t>h</m:t>
                          </m:r>
                        </m:e>
                        <m:sub>
                          <m:r>
                            <m:t>k</m:t>
                          </m:r>
                        </m:sub>
                      </m:sSub>
                    </m:e>
                  </m:d>
                  <m:r>
                    <m:rPr>
                      <m:sty m:val="p"/>
                    </m:rPr>
                    <m:t>−</m:t>
                  </m:r>
                  <m:r>
                    <m:t>γ</m:t>
                  </m:r>
                  <m:d>
                    <m:dPr>
                      <m:begChr m:val="("/>
                      <m:sepChr m:val=""/>
                      <m:endChr m:val=")"/>
                      <m:grow/>
                    </m:dPr>
                    <m:e>
                      <m:sSub>
                        <m:e>
                          <m:r>
                            <m:t>h</m:t>
                          </m:r>
                        </m:e>
                        <m:sub>
                          <m:r>
                            <m:t>k</m:t>
                          </m:r>
                        </m:sub>
                      </m:sSub>
                      <m:r>
                        <m:rPr>
                          <m:sty m:val="p"/>
                        </m:rPr>
                        <m:t>;</m:t>
                      </m:r>
                      <m:r>
                        <m:rPr>
                          <m:sty m:val="b"/>
                        </m:rPr>
                        <m:t>θ</m:t>
                      </m:r>
                    </m:e>
                  </m:d>
                </m:e>
              </m:d>
            </m:e>
            <m:sup>
              <m:r>
                <m:t>2</m:t>
              </m:r>
            </m:sup>
          </m:sSup>
          <m:r>
            <m:rPr>
              <m:sty m:val="p"/>
            </m:rPr>
            <m:t>,</m:t>
          </m:r>
        </m:oMath>
      </m:oMathPara>
    </w:p>
    <w:p>
      <w:pPr>
        <w:pStyle w:val="FirstParagraph"/>
      </w:pPr>
      <w:r>
        <w:t xml:space="preserve">où :</w:t>
      </w:r>
    </w:p>
    <w:p>
      <w:pPr>
        <w:pStyle w:val="Compact"/>
        <w:numPr>
          <w:ilvl w:val="0"/>
          <w:numId w:val="1031"/>
        </w:numPr>
      </w:pPr>
      <m:oMath>
        <m:r>
          <m:t>K</m:t>
        </m:r>
      </m:oMath>
      <w:r>
        <w:t xml:space="preserve"> </w:t>
      </w:r>
      <w:r>
        <w:t xml:space="preserve">est le nombre de classes de distance;</w:t>
      </w:r>
    </w:p>
    <w:p>
      <w:pPr>
        <w:pStyle w:val="Compact"/>
        <w:numPr>
          <w:ilvl w:val="0"/>
          <w:numId w:val="1031"/>
        </w:numPr>
      </w:pPr>
      <m:oMath>
        <m:acc>
          <m:accPr>
            <m:chr m:val="̂"/>
          </m:accPr>
          <m:e>
            <m:r>
              <m:t>γ</m:t>
            </m:r>
          </m:e>
        </m:acc>
        <m:d>
          <m:dPr>
            <m:begChr m:val="("/>
            <m:sepChr m:val=""/>
            <m:endChr m:val=")"/>
            <m:grow/>
          </m:dPr>
          <m:e>
            <m:sSub>
              <m:e>
                <m:r>
                  <m:t>h</m:t>
                </m:r>
              </m:e>
              <m:sub>
                <m:r>
                  <m:t>k</m:t>
                </m:r>
              </m:sub>
            </m:sSub>
          </m:e>
        </m:d>
      </m:oMath>
      <w:r>
        <w:t xml:space="preserve"> </w:t>
      </w:r>
      <w:r>
        <w:t xml:space="preserve">est le variogramme expérimental;</w:t>
      </w:r>
    </w:p>
    <w:p>
      <w:pPr>
        <w:pStyle w:val="Compact"/>
        <w:numPr>
          <w:ilvl w:val="0"/>
          <w:numId w:val="1031"/>
        </w:numPr>
      </w:pPr>
      <m:oMath>
        <m:r>
          <m:t>γ</m:t>
        </m:r>
        <m:d>
          <m:dPr>
            <m:begChr m:val="("/>
            <m:sepChr m:val=""/>
            <m:endChr m:val=")"/>
            <m:grow/>
          </m:dPr>
          <m:e>
            <m:sSub>
              <m:e>
                <m:r>
                  <m:t>h</m:t>
                </m:r>
              </m:e>
              <m:sub>
                <m:r>
                  <m:t>k</m:t>
                </m:r>
              </m:sub>
            </m:sSub>
            <m:r>
              <m:rPr>
                <m:sty m:val="p"/>
              </m:rPr>
              <m:t>;</m:t>
            </m:r>
            <m:r>
              <m:rPr>
                <m:sty m:val="b"/>
              </m:rPr>
              <m:t>θ</m:t>
            </m:r>
          </m:e>
        </m:d>
      </m:oMath>
      <w:r>
        <w:t xml:space="preserve"> </w:t>
      </w:r>
      <w:r>
        <w:t xml:space="preserve">est le modèle défini par les paramètres</w:t>
      </w:r>
      <w:r>
        <w:t xml:space="preserve"> </w:t>
      </w:r>
      <m:oMath>
        <m:r>
          <m:rPr>
            <m:sty m:val="b"/>
          </m:rPr>
          <m:t>θ</m:t>
        </m:r>
      </m:oMath>
      <w:r>
        <w:t xml:space="preserve">;</w:t>
      </w:r>
    </w:p>
    <w:p>
      <w:pPr>
        <w:pStyle w:val="Compact"/>
        <w:numPr>
          <w:ilvl w:val="0"/>
          <w:numId w:val="1031"/>
        </w:numPr>
      </w:pPr>
      <m:oMath>
        <m:sSub>
          <m:e>
            <m:r>
              <m:t>w</m:t>
            </m:r>
          </m:e>
          <m:sub>
            <m:r>
              <m:t>k</m:t>
            </m:r>
          </m:sub>
        </m:sSub>
      </m:oMath>
      <w:r>
        <w:t xml:space="preserve"> </w:t>
      </w:r>
      <w:r>
        <w:t xml:space="preserve">est le poids attribué à la classe</w:t>
      </w:r>
      <w:r>
        <w:t xml:space="preserve"> </w:t>
      </w:r>
      <m:oMath>
        <m:r>
          <m:t>k</m:t>
        </m:r>
      </m:oMath>
      <w:r>
        <w:t xml:space="preserve">.</w:t>
      </w:r>
    </w:p>
    <w:bookmarkStart w:id="165" w:name="moindres-carrés-ordinaires"/>
    <w:p>
      <w:pPr>
        <w:pStyle w:val="Heading5"/>
      </w:pPr>
      <w:r>
        <w:t xml:space="preserve">Moindres carrés ordinaires</w:t>
      </w:r>
    </w:p>
    <w:p>
      <w:pPr>
        <w:pStyle w:val="FirstParagraph"/>
      </w:pPr>
      <w:r>
        <w:t xml:space="preserve">Avec des poids identiques,</w:t>
      </w:r>
    </w:p>
    <w:p>
      <w:pPr>
        <w:pStyle w:val="BodyText"/>
      </w:pPr>
      <m:oMathPara>
        <m:oMathParaPr>
          <m:jc m:val="center"/>
        </m:oMathParaPr>
        <m:oMath>
          <m:sSub>
            <m:e>
              <m:r>
                <m:t>w</m:t>
              </m:r>
            </m:e>
            <m:sub>
              <m:r>
                <m:t>k</m:t>
              </m:r>
            </m:sub>
          </m:sSub>
          <m:r>
            <m:rPr>
              <m:sty m:val="p"/>
            </m:rPr>
            <m:t>=</m:t>
          </m:r>
          <m:r>
            <m:t>1</m:t>
          </m:r>
          <m:r>
            <m:rPr>
              <m:sty m:val="p"/>
            </m:rPr>
            <m:t>,</m:t>
          </m:r>
        </m:oMath>
      </m:oMathPara>
    </w:p>
    <w:p>
      <w:pPr>
        <w:pStyle w:val="FirstParagraph"/>
      </w:pPr>
      <w:r>
        <w:t xml:space="preserve">toutes les classes contribuent également au critère. Cette approche est simple, mais elle ne tient pas compte du fait que certaines classes contiennent davantage de paires ou sont estimées avec plus de stabilité.</w:t>
      </w:r>
    </w:p>
    <w:bookmarkEnd w:id="165"/>
    <w:bookmarkStart w:id="166" w:name="moindres-carrés-pondérés"/>
    <w:p>
      <w:pPr>
        <w:pStyle w:val="Heading5"/>
      </w:pPr>
      <w:r>
        <w:t xml:space="preserve">Moindres carrés pondérés</w:t>
      </w:r>
    </w:p>
    <w:p>
      <w:pPr>
        <w:pStyle w:val="FirstParagraph"/>
      </w:pPr>
      <w:r>
        <w:t xml:space="preserve">Les poids peuvent être choisis pour accorder davantage d’importance aux classes contenant beaucoup de paires ou aux faibles distances, qui influencent fortement les estimations locales.</w:t>
      </w:r>
    </w:p>
    <w:p>
      <w:pPr>
        <w:pStyle w:val="BodyText"/>
      </w:pPr>
      <w:r>
        <w:t xml:space="preserve">Un critère fréquemment utilisé est :</w:t>
      </w:r>
    </w:p>
    <w:p>
      <w:pPr>
        <w:pStyle w:val="BodyText"/>
      </w:pPr>
      <m:oMathPara>
        <m:oMathParaPr>
          <m:jc m:val="center"/>
        </m:oMathParaPr>
        <m:oMath>
          <m:r>
            <m:t>f</m:t>
          </m:r>
          <m:d>
            <m:dPr>
              <m:begChr m:val="("/>
              <m:sepChr m:val=""/>
              <m:endChr m:val=")"/>
              <m:grow/>
            </m:dPr>
            <m:e>
              <m:r>
                <m:rPr>
                  <m:sty m:val="b"/>
                </m:rPr>
                <m:t>θ</m:t>
              </m:r>
            </m:e>
          </m:d>
          <m:r>
            <m:rPr>
              <m:sty m:val="p"/>
            </m:rPr>
            <m:t>=</m:t>
          </m:r>
          <m:nary>
            <m:naryPr>
              <m:chr m:val="∑"/>
              <m:limLoc m:val="undOvr"/>
              <m:subHide m:val="off"/>
              <m:supHide m:val="off"/>
            </m:naryPr>
            <m:sub>
              <m:r>
                <m:t>k</m:t>
              </m:r>
              <m:r>
                <m:rPr>
                  <m:sty m:val="p"/>
                </m:rPr>
                <m:t>=</m:t>
              </m:r>
              <m:r>
                <m:t>1</m:t>
              </m:r>
            </m:sub>
            <m:sup>
              <m:r>
                <m:t>K</m:t>
              </m:r>
            </m:sup>
            <m:e>
              <m:f>
                <m:fPr>
                  <m:type m:val="bar"/>
                </m:fPr>
                <m:num>
                  <m:r>
                    <m:t>N</m:t>
                  </m:r>
                  <m:d>
                    <m:dPr>
                      <m:begChr m:val="("/>
                      <m:sepChr m:val=""/>
                      <m:endChr m:val=")"/>
                      <m:grow/>
                    </m:dPr>
                    <m:e>
                      <m:sSub>
                        <m:e>
                          <m:r>
                            <m:t>h</m:t>
                          </m:r>
                        </m:e>
                        <m:sub>
                          <m:r>
                            <m:t>k</m:t>
                          </m:r>
                        </m:sub>
                      </m:sSub>
                    </m:e>
                  </m:d>
                </m:num>
                <m:den>
                  <m:r>
                    <m:t>γ</m:t>
                  </m:r>
                  <m:sSup>
                    <m:e>
                      <m:d>
                        <m:dPr>
                          <m:begChr m:val="("/>
                          <m:sepChr m:val=""/>
                          <m:endChr m:val=")"/>
                          <m:grow/>
                        </m:dPr>
                        <m:e>
                          <m:sSub>
                            <m:e>
                              <m:r>
                                <m:t>h</m:t>
                              </m:r>
                            </m:e>
                            <m:sub>
                              <m:r>
                                <m:t>k</m:t>
                              </m:r>
                            </m:sub>
                          </m:sSub>
                          <m:r>
                            <m:rPr>
                              <m:sty m:val="p"/>
                            </m:rPr>
                            <m:t>;</m:t>
                          </m:r>
                          <m:r>
                            <m:rPr>
                              <m:sty m:val="b"/>
                            </m:rPr>
                            <m:t>θ</m:t>
                          </m:r>
                        </m:e>
                      </m:d>
                    </m:e>
                    <m:sup>
                      <m:r>
                        <m:t>2</m:t>
                      </m:r>
                    </m:sup>
                  </m:sSup>
                </m:den>
              </m:f>
            </m:e>
          </m:nary>
          <m:sSup>
            <m:e>
              <m:d>
                <m:dPr>
                  <m:begChr m:val="["/>
                  <m:sepChr m:val=""/>
                  <m:endChr m:val="]"/>
                  <m:grow/>
                </m:dPr>
                <m:e>
                  <m:acc>
                    <m:accPr>
                      <m:chr m:val="̂"/>
                    </m:accPr>
                    <m:e>
                      <m:r>
                        <m:t>γ</m:t>
                      </m:r>
                    </m:e>
                  </m:acc>
                  <m:d>
                    <m:dPr>
                      <m:begChr m:val="("/>
                      <m:sepChr m:val=""/>
                      <m:endChr m:val=")"/>
                      <m:grow/>
                    </m:dPr>
                    <m:e>
                      <m:sSub>
                        <m:e>
                          <m:r>
                            <m:t>h</m:t>
                          </m:r>
                        </m:e>
                        <m:sub>
                          <m:r>
                            <m:t>k</m:t>
                          </m:r>
                        </m:sub>
                      </m:sSub>
                    </m:e>
                  </m:d>
                  <m:r>
                    <m:rPr>
                      <m:sty m:val="p"/>
                    </m:rPr>
                    <m:t>−</m:t>
                  </m:r>
                  <m:r>
                    <m:t>γ</m:t>
                  </m:r>
                  <m:d>
                    <m:dPr>
                      <m:begChr m:val="("/>
                      <m:sepChr m:val=""/>
                      <m:endChr m:val=")"/>
                      <m:grow/>
                    </m:dPr>
                    <m:e>
                      <m:sSub>
                        <m:e>
                          <m:r>
                            <m:t>h</m:t>
                          </m:r>
                        </m:e>
                        <m:sub>
                          <m:r>
                            <m:t>k</m:t>
                          </m:r>
                        </m:sub>
                      </m:sSub>
                      <m:r>
                        <m:rPr>
                          <m:sty m:val="p"/>
                        </m:rPr>
                        <m:t>;</m:t>
                      </m:r>
                      <m:r>
                        <m:rPr>
                          <m:sty m:val="b"/>
                        </m:rPr>
                        <m:t>θ</m:t>
                      </m:r>
                    </m:e>
                  </m:d>
                </m:e>
              </m:d>
            </m:e>
            <m:sup>
              <m:r>
                <m:t>2</m:t>
              </m:r>
            </m:sup>
          </m:sSup>
          <m:r>
            <m:rPr>
              <m:sty m:val="p"/>
            </m:rPr>
            <m:t>.</m:t>
          </m:r>
        </m:oMath>
      </m:oMathPara>
    </w:p>
    <w:p>
      <w:pPr>
        <w:pStyle w:val="FirstParagraph"/>
      </w:pPr>
      <w:r>
        <w:t xml:space="preserve">Le poids de la classe</w:t>
      </w:r>
      <w:r>
        <w:t xml:space="preserve"> </w:t>
      </w:r>
      <m:oMath>
        <m:r>
          <m:t>k</m:t>
        </m:r>
      </m:oMath>
      <w:r>
        <w:t xml:space="preserve"> </w:t>
      </w:r>
      <w:r>
        <w:t xml:space="preserve">est alors :</w:t>
      </w:r>
    </w:p>
    <w:p>
      <w:pPr>
        <w:pStyle w:val="BodyText"/>
      </w:pPr>
      <m:oMathPara>
        <m:oMathParaPr>
          <m:jc m:val="center"/>
        </m:oMathParaPr>
        <m:oMath>
          <m:sSub>
            <m:e>
              <m:r>
                <m:t>w</m:t>
              </m:r>
            </m:e>
            <m:sub>
              <m:r>
                <m:t>k</m:t>
              </m:r>
            </m:sub>
          </m:sSub>
          <m:r>
            <m:rPr>
              <m:sty m:val="p"/>
            </m:rPr>
            <m:t>=</m:t>
          </m:r>
          <m:f>
            <m:fPr>
              <m:type m:val="bar"/>
            </m:fPr>
            <m:num>
              <m:r>
                <m:t>N</m:t>
              </m:r>
              <m:d>
                <m:dPr>
                  <m:begChr m:val="("/>
                  <m:sepChr m:val=""/>
                  <m:endChr m:val=")"/>
                  <m:grow/>
                </m:dPr>
                <m:e>
                  <m:sSub>
                    <m:e>
                      <m:r>
                        <m:t>h</m:t>
                      </m:r>
                    </m:e>
                    <m:sub>
                      <m:r>
                        <m:t>k</m:t>
                      </m:r>
                    </m:sub>
                  </m:sSub>
                </m:e>
              </m:d>
            </m:num>
            <m:den>
              <m:r>
                <m:t>γ</m:t>
              </m:r>
              <m:sSup>
                <m:e>
                  <m:d>
                    <m:dPr>
                      <m:begChr m:val="("/>
                      <m:sepChr m:val=""/>
                      <m:endChr m:val=")"/>
                      <m:grow/>
                    </m:dPr>
                    <m:e>
                      <m:sSub>
                        <m:e>
                          <m:r>
                            <m:t>h</m:t>
                          </m:r>
                        </m:e>
                        <m:sub>
                          <m:r>
                            <m:t>k</m:t>
                          </m:r>
                        </m:sub>
                      </m:sSub>
                      <m:r>
                        <m:rPr>
                          <m:sty m:val="p"/>
                        </m:rPr>
                        <m:t>;</m:t>
                      </m:r>
                      <m:r>
                        <m:rPr>
                          <m:sty m:val="b"/>
                        </m:rPr>
                        <m:t>θ</m:t>
                      </m:r>
                    </m:e>
                  </m:d>
                </m:e>
                <m:sup>
                  <m:r>
                    <m:t>2</m:t>
                  </m:r>
                </m:sup>
              </m:sSup>
            </m:den>
          </m:f>
          <m:r>
            <m:rPr>
              <m:sty m:val="p"/>
            </m:rPr>
            <m:t>.</m:t>
          </m:r>
        </m:oMath>
      </m:oMathPara>
    </w:p>
    <w:p>
      <w:pPr>
        <w:pStyle w:val="FirstParagraph"/>
      </w:pPr>
      <w:r>
        <w:t xml:space="preserve">Le nombre de paires</w:t>
      </w:r>
      <w:r>
        <w:t xml:space="preserve"> </w:t>
      </w:r>
      <m:oMath>
        <m:r>
          <m:t>N</m:t>
        </m:r>
        <m:d>
          <m:dPr>
            <m:begChr m:val="("/>
            <m:sepChr m:val=""/>
            <m:endChr m:val=")"/>
            <m:grow/>
          </m:dPr>
          <m:e>
            <m:sSub>
              <m:e>
                <m:r>
                  <m:t>h</m:t>
                </m:r>
              </m:e>
              <m:sub>
                <m:r>
                  <m:t>k</m:t>
                </m:r>
              </m:sub>
            </m:sSub>
          </m:e>
        </m:d>
      </m:oMath>
      <w:r>
        <w:t xml:space="preserve"> </w:t>
      </w:r>
      <w:r>
        <w:t xml:space="preserve">favorise les classes mieux échantillonnées. La division par le carré du modèle donne généralement davantage de poids aux classes où le variogramme est faible, souvent situées aux petites distances.</w:t>
      </w:r>
    </w:p>
    <w:p>
      <w:pPr>
        <w:pStyle w:val="BodyText"/>
      </w:pPr>
      <w:r>
        <w:t xml:space="preserve">Le critère peut aussi être écrit sous forme matricielle :</w:t>
      </w:r>
    </w:p>
    <w:p>
      <w:pPr>
        <w:pStyle w:val="BodyText"/>
      </w:pPr>
      <m:oMathPara>
        <m:oMathParaPr>
          <m:jc m:val="center"/>
        </m:oMathParaPr>
        <m:oMath>
          <m:r>
            <m:t>f</m:t>
          </m:r>
          <m:d>
            <m:dPr>
              <m:begChr m:val="("/>
              <m:sepChr m:val=""/>
              <m:endChr m:val=")"/>
              <m:grow/>
            </m:dPr>
            <m:e>
              <m:r>
                <m:rPr>
                  <m:sty m:val="b"/>
                </m:rPr>
                <m:t>θ</m:t>
              </m:r>
            </m:e>
          </m:d>
          <m:r>
            <m:rPr>
              <m:sty m:val="p"/>
            </m:rPr>
            <m:t>=</m:t>
          </m:r>
          <m:sSup>
            <m:e>
              <m:d>
                <m:dPr>
                  <m:begChr m:val="("/>
                  <m:sepChr m:val=""/>
                  <m:endChr m:val=")"/>
                  <m:grow/>
                </m:dPr>
                <m:e>
                  <m:acc>
                    <m:accPr>
                      <m:chr m:val="̂"/>
                    </m:accPr>
                    <m:e>
                      <m:r>
                        <m:rPr>
                          <m:sty m:val="b"/>
                        </m:rPr>
                        <m:t>γ</m:t>
                      </m:r>
                    </m:e>
                  </m:acc>
                  <m:r>
                    <m:rPr>
                      <m:sty m:val="p"/>
                    </m:rPr>
                    <m:t>−</m:t>
                  </m:r>
                  <m:r>
                    <m:rPr>
                      <m:sty m:val="b"/>
                    </m:rPr>
                    <m:t>γ</m:t>
                  </m:r>
                  <m:d>
                    <m:dPr>
                      <m:begChr m:val="("/>
                      <m:sepChr m:val=""/>
                      <m:endChr m:val=")"/>
                      <m:grow/>
                    </m:dPr>
                    <m:e>
                      <m:r>
                        <m:rPr>
                          <m:sty m:val="b"/>
                        </m:rPr>
                        <m:t>θ</m:t>
                      </m:r>
                    </m:e>
                  </m:d>
                </m:e>
              </m:d>
            </m:e>
            <m:sup>
              <m:r>
                <m:rPr>
                  <m:sty m:val="p"/>
                  <m:scr m:val="sans-serif"/>
                </m:rPr>
                <m:t>T</m:t>
              </m:r>
            </m:sup>
          </m:sSup>
          <m:r>
            <m:rPr>
              <m:sty m:val="b"/>
            </m:rPr>
            <m:t>W</m:t>
          </m:r>
          <m:d>
            <m:dPr>
              <m:begChr m:val="("/>
              <m:sepChr m:val=""/>
              <m:endChr m:val=")"/>
              <m:grow/>
            </m:dPr>
            <m:e>
              <m:acc>
                <m:accPr>
                  <m:chr m:val="̂"/>
                </m:accPr>
                <m:e>
                  <m:r>
                    <m:rPr>
                      <m:sty m:val="b"/>
                    </m:rPr>
                    <m:t>γ</m:t>
                  </m:r>
                </m:e>
              </m:acc>
              <m:r>
                <m:rPr>
                  <m:sty m:val="p"/>
                </m:rPr>
                <m:t>−</m:t>
              </m:r>
              <m:r>
                <m:rPr>
                  <m:sty m:val="b"/>
                </m:rPr>
                <m:t>γ</m:t>
              </m:r>
              <m:d>
                <m:dPr>
                  <m:begChr m:val="("/>
                  <m:sepChr m:val=""/>
                  <m:endChr m:val=")"/>
                  <m:grow/>
                </m:dPr>
                <m:e>
                  <m:r>
                    <m:rPr>
                      <m:sty m:val="b"/>
                    </m:rPr>
                    <m:t>θ</m:t>
                  </m:r>
                </m:e>
              </m:d>
            </m:e>
          </m:d>
          <m:r>
            <m:rPr>
              <m:sty m:val="p"/>
            </m:rPr>
            <m:t>,</m:t>
          </m:r>
        </m:oMath>
      </m:oMathPara>
    </w:p>
    <w:p>
      <w:pPr>
        <w:pStyle w:val="FirstParagraph"/>
      </w:pPr>
      <w:r>
        <w:t xml:space="preserve">où</w:t>
      </w:r>
      <w:r>
        <w:t xml:space="preserve"> </w:t>
      </w:r>
      <m:oMath>
        <m:r>
          <m:rPr>
            <m:sty m:val="b"/>
          </m:rPr>
          <m:t>W</m:t>
        </m:r>
      </m:oMath>
      <w:r>
        <w:t xml:space="preserve"> </w:t>
      </w:r>
      <w:r>
        <w:t xml:space="preserve">est une matrice de poids généralement diagonale.</w:t>
      </w:r>
    </w:p>
    <w:p>
      <w:pPr>
        <w:pStyle w:val="BodyText"/>
      </w:pPr>
      <w:r>
        <w:t xml:space="preserve">L’ajustement par moindres carrés est rapide et facile à appliquer. Il dépend toutefois :</w:t>
      </w:r>
    </w:p>
    <w:p>
      <w:pPr>
        <w:pStyle w:val="Compact"/>
        <w:numPr>
          <w:ilvl w:val="0"/>
          <w:numId w:val="1032"/>
        </w:numPr>
      </w:pPr>
      <w:r>
        <w:t xml:space="preserve">du choix des classes de distance;</w:t>
      </w:r>
    </w:p>
    <w:p>
      <w:pPr>
        <w:pStyle w:val="Compact"/>
        <w:numPr>
          <w:ilvl w:val="0"/>
          <w:numId w:val="1032"/>
        </w:numPr>
      </w:pPr>
      <w:r>
        <w:t xml:space="preserve">du nombre maximal de distances retenues;</w:t>
      </w:r>
    </w:p>
    <w:p>
      <w:pPr>
        <w:pStyle w:val="Compact"/>
        <w:numPr>
          <w:ilvl w:val="0"/>
          <w:numId w:val="1032"/>
        </w:numPr>
      </w:pPr>
      <w:r>
        <w:t xml:space="preserve">du choix des poids;</w:t>
      </w:r>
    </w:p>
    <w:p>
      <w:pPr>
        <w:pStyle w:val="Compact"/>
        <w:numPr>
          <w:ilvl w:val="0"/>
          <w:numId w:val="1032"/>
        </w:numPr>
      </w:pPr>
      <w:r>
        <w:t xml:space="preserve">du modèle initial;</w:t>
      </w:r>
    </w:p>
    <w:p>
      <w:pPr>
        <w:pStyle w:val="Compact"/>
        <w:numPr>
          <w:ilvl w:val="0"/>
          <w:numId w:val="1032"/>
        </w:numPr>
      </w:pPr>
      <w:r>
        <w:t xml:space="preserve">des contraintes imposées aux paramètres;</w:t>
      </w:r>
    </w:p>
    <w:p>
      <w:pPr>
        <w:pStyle w:val="Compact"/>
        <w:numPr>
          <w:ilvl w:val="0"/>
          <w:numId w:val="1032"/>
        </w:numPr>
      </w:pPr>
      <w:r>
        <w:t xml:space="preserve">de la présence de classes atypiques.</w:t>
      </w:r>
    </w:p>
    <w:p>
      <w:pPr>
        <w:pStyle w:val="FirstParagraph"/>
      </w:pPr>
      <w:r>
        <w:t xml:space="preserve">Les valeurs du variogramme expérimental ne sont ni indépendantes ni de variance constante. Les moindres carrés doivent donc être considérés comme une méthode d’ajustement pratique, et non comme une régression classique dont toutes les hypothèses seraient respectées.</w:t>
      </w:r>
    </w:p>
    <w:bookmarkEnd w:id="166"/>
    <w:bookmarkEnd w:id="167"/>
    <w:bookmarkStart w:id="168" w:name="maximum-de-vraisemblance"/>
    <w:p>
      <w:pPr>
        <w:pStyle w:val="Heading4"/>
      </w:pPr>
      <w:r>
        <w:t xml:space="preserve">2. Maximum de vraisemblance</w:t>
      </w:r>
    </w:p>
    <w:p>
      <w:pPr>
        <w:pStyle w:val="FirstParagraph"/>
      </w:pPr>
      <w:r>
        <w:t xml:space="preserve">Les méthodes de maximum de vraisemblance ajustent directement les paramètres du modèle de covariance à partir des données, sans passer par les classes du variogramme expérimental.</w:t>
      </w:r>
    </w:p>
    <w:p>
      <w:pPr>
        <w:pStyle w:val="BodyText"/>
      </w:pPr>
      <w:r>
        <w:t xml:space="preserve">Sous une hypothèse gaussienne, le vecteur des observations</w:t>
      </w:r>
      <w:r>
        <w:t xml:space="preserve"> </w:t>
      </w:r>
      <m:oMath>
        <m:r>
          <m:rPr>
            <m:sty m:val="b"/>
          </m:rPr>
          <m:t>z</m:t>
        </m:r>
      </m:oMath>
      <w:r>
        <w:t xml:space="preserve"> </w:t>
      </w:r>
      <w:r>
        <w:t xml:space="preserve">est modélisé par :</w:t>
      </w:r>
    </w:p>
    <w:p>
      <w:pPr>
        <w:pStyle w:val="BodyText"/>
      </w:pPr>
      <m:oMathPara>
        <m:oMathParaPr>
          <m:jc m:val="center"/>
        </m:oMathParaPr>
        <m:oMath>
          <m:r>
            <m:rPr>
              <m:sty m:val="b"/>
            </m:rPr>
            <m:t>z</m:t>
          </m:r>
          <m:r>
            <m:rPr>
              <m:sty m:val="p"/>
            </m:rPr>
            <m:t>∼</m:t>
          </m:r>
          <m:r>
            <m:rPr>
              <m:sty m:val="p"/>
              <m:scr m:val="script"/>
            </m:rPr>
            <m:t>N</m:t>
          </m:r>
          <m:d>
            <m:dPr>
              <m:begChr m:val="("/>
              <m:sepChr m:val=""/>
              <m:endChr m:val=")"/>
              <m:grow/>
            </m:dPr>
            <m:e>
              <m:r>
                <m:rPr>
                  <m:sty m:val="b"/>
                </m:rPr>
                <m:t>X</m:t>
              </m:r>
              <m:r>
                <m:rPr>
                  <m:sty m:val="b"/>
                </m:rPr>
                <m:t>β</m:t>
              </m:r>
              <m:r>
                <m:rPr>
                  <m:sty m:val="p"/>
                </m:rPr>
                <m:t>,</m:t>
              </m:r>
              <m:sSub>
                <m:e>
                  <m:r>
                    <m:rPr>
                      <m:sty m:val="b"/>
                    </m:rPr>
                    <m:t>C</m:t>
                  </m:r>
                </m:e>
                <m:sub>
                  <m:r>
                    <m:rPr>
                      <m:sty m:val="b"/>
                    </m:rPr>
                    <m:t>θ</m:t>
                  </m:r>
                </m:sub>
              </m:sSub>
            </m:e>
          </m:d>
          <m:r>
            <m:rPr>
              <m:sty m:val="p"/>
            </m:rPr>
            <m:t>,</m:t>
          </m:r>
        </m:oMath>
      </m:oMathPara>
    </w:p>
    <w:p>
      <w:pPr>
        <w:pStyle w:val="FirstParagraph"/>
      </w:pPr>
      <w:r>
        <w:t xml:space="preserve">où :</w:t>
      </w:r>
    </w:p>
    <w:p>
      <w:pPr>
        <w:pStyle w:val="Compact"/>
        <w:numPr>
          <w:ilvl w:val="0"/>
          <w:numId w:val="1033"/>
        </w:numPr>
      </w:pPr>
      <m:oMath>
        <m:r>
          <m:rPr>
            <m:sty m:val="b"/>
          </m:rPr>
          <m:t>X</m:t>
        </m:r>
        <m:r>
          <m:rPr>
            <m:sty m:val="b"/>
          </m:rPr>
          <m:t>β</m:t>
        </m:r>
      </m:oMath>
      <w:r>
        <w:t xml:space="preserve"> </w:t>
      </w:r>
      <w:r>
        <w:t xml:space="preserve">représente la moyenne ou la tendance;</w:t>
      </w:r>
    </w:p>
    <w:p>
      <w:pPr>
        <w:pStyle w:val="Compact"/>
        <w:numPr>
          <w:ilvl w:val="0"/>
          <w:numId w:val="1033"/>
        </w:numPr>
      </w:pPr>
      <m:oMath>
        <m:sSub>
          <m:e>
            <m:r>
              <m:rPr>
                <m:sty m:val="b"/>
              </m:rPr>
              <m:t>C</m:t>
            </m:r>
          </m:e>
          <m:sub>
            <m:r>
              <m:rPr>
                <m:sty m:val="b"/>
              </m:rPr>
              <m:t>θ</m:t>
            </m:r>
          </m:sub>
        </m:sSub>
      </m:oMath>
      <w:r>
        <w:t xml:space="preserve"> </w:t>
      </w:r>
      <w:r>
        <w:t xml:space="preserve">est la matrice de covariance;</w:t>
      </w:r>
    </w:p>
    <w:p>
      <w:pPr>
        <w:pStyle w:val="Compact"/>
        <w:numPr>
          <w:ilvl w:val="0"/>
          <w:numId w:val="1033"/>
        </w:numPr>
      </w:pPr>
      <m:oMath>
        <m:r>
          <m:rPr>
            <m:sty m:val="b"/>
          </m:rPr>
          <m:t>θ</m:t>
        </m:r>
      </m:oMath>
      <w:r>
        <w:t xml:space="preserve"> </w:t>
      </w:r>
      <w:r>
        <w:t xml:space="preserve">contient les paramètres du modèle spatial.</w:t>
      </w:r>
    </w:p>
    <w:p>
      <w:pPr>
        <w:pStyle w:val="FirstParagraph"/>
      </w:pPr>
      <w:r>
        <w:t xml:space="preserve">La log-vraisemblance, à une constante additive près, s’écrit :</w:t>
      </w:r>
    </w:p>
    <w:p>
      <w:pPr>
        <w:pStyle w:val="BodyText"/>
      </w:pPr>
      <m:oMathPara>
        <m:oMathParaPr>
          <m:jc m:val="center"/>
        </m:oMathParaPr>
        <m:oMath>
          <m:r>
            <m:rPr>
              <m:sty m:val="p"/>
            </m:rPr>
            <m:t>ℓ</m:t>
          </m:r>
          <m:d>
            <m:dPr>
              <m:begChr m:val="("/>
              <m:sepChr m:val=""/>
              <m:endChr m:val=")"/>
              <m:grow/>
            </m:dPr>
            <m:e>
              <m:r>
                <m:rPr>
                  <m:sty m:val="b"/>
                </m:rPr>
                <m:t>β</m:t>
              </m:r>
              <m:r>
                <m:rPr>
                  <m:sty m:val="p"/>
                </m:rPr>
                <m:t>,</m:t>
              </m:r>
              <m:r>
                <m:rPr>
                  <m:sty m:val="b"/>
                </m:rPr>
                <m:t>θ</m:t>
              </m:r>
            </m:e>
          </m:d>
          <m:r>
            <m:rPr>
              <m:sty m:val="p"/>
            </m:rPr>
            <m:t>=</m:t>
          </m:r>
          <m:r>
            <m:rPr>
              <m:sty m:val="p"/>
            </m:rPr>
            <m:t>−</m:t>
          </m:r>
          <m:f>
            <m:fPr>
              <m:type m:val="bar"/>
            </m:fPr>
            <m:num>
              <m:r>
                <m:t>1</m:t>
              </m:r>
            </m:num>
            <m:den>
              <m:r>
                <m:t>2</m:t>
              </m:r>
            </m:den>
          </m:f>
          <m:d>
            <m:dPr>
              <m:begChr m:val="["/>
              <m:sepChr m:val=""/>
              <m:endChr m:val="]"/>
              <m:grow/>
            </m:dPr>
            <m:e>
              <m:r>
                <m:rPr>
                  <m:sty m:val="p"/>
                </m:rPr>
                <m:t>log</m:t>
              </m:r>
              <m:d>
                <m:dPr>
                  <m:begChr m:val="|"/>
                  <m:sepChr m:val=""/>
                  <m:endChr m:val="|"/>
                  <m:grow/>
                </m:dPr>
                <m:e>
                  <m:sSub>
                    <m:e>
                      <m:r>
                        <m:rPr>
                          <m:sty m:val="b"/>
                        </m:rPr>
                        <m:t>C</m:t>
                      </m:r>
                    </m:e>
                    <m:sub>
                      <m:r>
                        <m:rPr>
                          <m:sty m:val="b"/>
                        </m:rPr>
                        <m:t>θ</m:t>
                      </m:r>
                    </m:sub>
                  </m:sSub>
                </m:e>
              </m:d>
              <m:r>
                <m:rPr>
                  <m:sty m:val="p"/>
                </m:rPr>
                <m:t>+</m:t>
              </m:r>
              <m:sSup>
                <m:e>
                  <m:d>
                    <m:dPr>
                      <m:begChr m:val="("/>
                      <m:sepChr m:val=""/>
                      <m:endChr m:val=")"/>
                      <m:grow/>
                    </m:dPr>
                    <m:e>
                      <m:r>
                        <m:rPr>
                          <m:sty m:val="b"/>
                        </m:rPr>
                        <m:t>z</m:t>
                      </m:r>
                      <m:r>
                        <m:rPr>
                          <m:sty m:val="p"/>
                        </m:rPr>
                        <m:t>−</m:t>
                      </m:r>
                      <m:r>
                        <m:rPr>
                          <m:sty m:val="b"/>
                        </m:rPr>
                        <m:t>X</m:t>
                      </m:r>
                      <m:r>
                        <m:rPr>
                          <m:sty m:val="b"/>
                        </m:rPr>
                        <m:t>β</m:t>
                      </m:r>
                    </m:e>
                  </m:d>
                </m:e>
                <m:sup>
                  <m:r>
                    <m:rPr>
                      <m:sty m:val="p"/>
                      <m:scr m:val="sans-serif"/>
                    </m:rPr>
                    <m:t>T</m:t>
                  </m:r>
                </m:sup>
              </m:sSup>
              <m:sSubSup>
                <m:e>
                  <m:r>
                    <m:rPr>
                      <m:sty m:val="b"/>
                    </m:rPr>
                    <m:t>C</m:t>
                  </m:r>
                </m:e>
                <m:sub>
                  <m:r>
                    <m:rPr>
                      <m:sty m:val="b"/>
                    </m:rPr>
                    <m:t>θ</m:t>
                  </m:r>
                </m:sub>
                <m:sup>
                  <m:r>
                    <m:rPr>
                      <m:sty m:val="p"/>
                    </m:rPr>
                    <m:t>−</m:t>
                  </m:r>
                  <m:r>
                    <m:t>1</m:t>
                  </m:r>
                </m:sup>
              </m:sSubSup>
              <m:d>
                <m:dPr>
                  <m:begChr m:val="("/>
                  <m:sepChr m:val=""/>
                  <m:endChr m:val=")"/>
                  <m:grow/>
                </m:dPr>
                <m:e>
                  <m:r>
                    <m:rPr>
                      <m:sty m:val="b"/>
                    </m:rPr>
                    <m:t>z</m:t>
                  </m:r>
                  <m:r>
                    <m:rPr>
                      <m:sty m:val="p"/>
                    </m:rPr>
                    <m:t>−</m:t>
                  </m:r>
                  <m:r>
                    <m:rPr>
                      <m:sty m:val="b"/>
                    </m:rPr>
                    <m:t>X</m:t>
                  </m:r>
                  <m:r>
                    <m:rPr>
                      <m:sty m:val="b"/>
                    </m:rPr>
                    <m:t>β</m:t>
                  </m:r>
                </m:e>
              </m:d>
            </m:e>
          </m:d>
          <m:r>
            <m:rPr>
              <m:sty m:val="p"/>
            </m:rPr>
            <m:t>.</m:t>
          </m:r>
        </m:oMath>
      </m:oMathPara>
    </w:p>
    <w:p>
      <w:pPr>
        <w:pStyle w:val="FirstParagraph"/>
      </w:pPr>
      <w:r>
        <w:t xml:space="preserve">Les paramètres sont choisis afin de maximiser cette fonction.</w:t>
      </w:r>
    </w:p>
    <w:p>
      <w:pPr>
        <w:pStyle w:val="BodyText"/>
      </w:pPr>
      <w:r>
        <w:t xml:space="preserve">La vraisemblance restreinte, ou REML, ajuste les paramètres de covariance à partir de contrastes qui éliminent les effets fixes. Elle réduit ainsi une partie du biais lié à l’estimation simultanée de la moyenne ou de la tendance.</w:t>
      </w:r>
    </w:p>
    <w:p>
      <w:pPr>
        <w:pStyle w:val="BodyText"/>
      </w:pPr>
      <w:r>
        <w:t xml:space="preserve">Ces méthodes présentent plusieurs avantages :</w:t>
      </w:r>
    </w:p>
    <w:p>
      <w:pPr>
        <w:pStyle w:val="Compact"/>
        <w:numPr>
          <w:ilvl w:val="0"/>
          <w:numId w:val="1034"/>
        </w:numPr>
      </w:pPr>
      <w:r>
        <w:t xml:space="preserve">elles utilisent directement les positions et les observations;</w:t>
      </w:r>
    </w:p>
    <w:p>
      <w:pPr>
        <w:pStyle w:val="Compact"/>
        <w:numPr>
          <w:ilvl w:val="0"/>
          <w:numId w:val="1034"/>
        </w:numPr>
      </w:pPr>
      <w:r>
        <w:t xml:space="preserve">elles ne dépendent pas du choix des classes de distance;</w:t>
      </w:r>
    </w:p>
    <w:p>
      <w:pPr>
        <w:pStyle w:val="Compact"/>
        <w:numPr>
          <w:ilvl w:val="0"/>
          <w:numId w:val="1034"/>
        </w:numPr>
      </w:pPr>
      <w:r>
        <w:t xml:space="preserve">elles fournissent un cadre statistique pour comparer certains modèles;</w:t>
      </w:r>
    </w:p>
    <w:p>
      <w:pPr>
        <w:pStyle w:val="Compact"/>
        <w:numPr>
          <w:ilvl w:val="0"/>
          <w:numId w:val="1034"/>
        </w:numPr>
      </w:pPr>
      <w:r>
        <w:t xml:space="preserve">elles permettent, sous les hypothèses retenues, d’estimer l’incertitude associée aux paramètres.</w:t>
      </w:r>
    </w:p>
    <w:p>
      <w:pPr>
        <w:pStyle w:val="FirstParagraph"/>
      </w:pPr>
      <w:r>
        <w:t xml:space="preserve">Elles présentent aussi des limites :</w:t>
      </w:r>
    </w:p>
    <w:p>
      <w:pPr>
        <w:pStyle w:val="Compact"/>
        <w:numPr>
          <w:ilvl w:val="0"/>
          <w:numId w:val="1035"/>
        </w:numPr>
      </w:pPr>
      <w:r>
        <w:t xml:space="preserve">leur coût augmente rapidement avec le nombre de données;</w:t>
      </w:r>
    </w:p>
    <w:p>
      <w:pPr>
        <w:pStyle w:val="Compact"/>
        <w:numPr>
          <w:ilvl w:val="0"/>
          <w:numId w:val="1035"/>
        </w:numPr>
      </w:pPr>
      <w:r>
        <w:t xml:space="preserve">l’optimisation peut être sensible aux valeurs initiales et aux contraintes;</w:t>
      </w:r>
    </w:p>
    <w:p>
      <w:pPr>
        <w:pStyle w:val="Compact"/>
        <w:numPr>
          <w:ilvl w:val="0"/>
          <w:numId w:val="1035"/>
        </w:numPr>
      </w:pPr>
      <w:r>
        <w:t xml:space="preserve">les résultats peuvent être affectés par les valeurs extrêmes, l’asymétrie et une mauvaise spécification de la moyenne;</w:t>
      </w:r>
    </w:p>
    <w:p>
      <w:pPr>
        <w:pStyle w:val="Compact"/>
        <w:numPr>
          <w:ilvl w:val="0"/>
          <w:numId w:val="1035"/>
        </w:numPr>
      </w:pPr>
      <w:r>
        <w:t xml:space="preserve">une anisotropie ou une structure mal choisie ne sera pas corrigée par l’optimisation.</w:t>
      </w:r>
    </w:p>
    <w:p>
      <w:pPr>
        <w:pStyle w:val="FirstParagraph"/>
      </w:pPr>
      <w:r>
        <w:t xml:space="preserve">L’hypothèse gaussienne concerne la distribution conjointe des données. Lorsqu’elle est mal adaptée, l’estimation des paramètres et surtout l’interprétation de leur incertitude peuvent devenir moins fiables. Une transformation des données ou une méthode plus robuste peut alors être envisagée.</w:t>
      </w:r>
    </w:p>
    <w:bookmarkEnd w:id="168"/>
    <w:bookmarkStart w:id="172" w:name="validation-croisée"/>
    <w:p>
      <w:pPr>
        <w:pStyle w:val="Heading4"/>
      </w:pPr>
      <w:r>
        <w:t xml:space="preserve">3. Validation croisée</w:t>
      </w:r>
    </w:p>
    <w:p>
      <w:pPr>
        <w:pStyle w:val="FirstParagraph"/>
      </w:pPr>
      <w:r>
        <w:t xml:space="preserve">La validation croisée permet d’évaluer les conséquences du modèle de variogramme sur les estimations.</w:t>
      </w:r>
    </w:p>
    <w:p>
      <w:pPr>
        <w:pStyle w:val="BodyText"/>
      </w:pPr>
      <w:r>
        <w:t xml:space="preserve">Dans une validation croisée par retrait d’un point, chaque observation est retirée à tour de rôle, puis estimée à partir des autres données :</w:t>
      </w:r>
    </w:p>
    <w:p>
      <w:pPr>
        <w:pStyle w:val="BodyText"/>
      </w:pPr>
      <m:oMathPara>
        <m:oMathParaPr>
          <m:jc m:val="center"/>
        </m:oMathParaPr>
        <m:oMath>
          <m:sSub>
            <m:e>
              <m:r>
                <m:t>e</m:t>
              </m:r>
            </m:e>
            <m:sub>
              <m:r>
                <m:t>i</m:t>
              </m:r>
            </m:sub>
          </m:sSub>
          <m:r>
            <m:rPr>
              <m:sty m:val="p"/>
            </m:rPr>
            <m:t>=</m:t>
          </m:r>
          <m:r>
            <m:t>z</m:t>
          </m:r>
          <m:d>
            <m:dPr>
              <m:begChr m:val="("/>
              <m:sepChr m:val=""/>
              <m:endChr m:val=")"/>
              <m:grow/>
            </m:dPr>
            <m:e>
              <m:sSub>
                <m:e>
                  <m:r>
                    <m:rPr>
                      <m:sty m:val="b"/>
                    </m:rPr>
                    <m:t>x</m:t>
                  </m:r>
                </m:e>
                <m:sub>
                  <m:r>
                    <m:t>i</m:t>
                  </m:r>
                </m:sub>
              </m:sSub>
            </m:e>
          </m:d>
          <m:r>
            <m:rPr>
              <m:sty m:val="p"/>
            </m:rPr>
            <m:t>−</m:t>
          </m:r>
          <m:sSup>
            <m:e>
              <m:acc>
                <m:accPr>
                  <m:chr m:val="̂"/>
                </m:accPr>
                <m:e>
                  <m:r>
                    <m:t>z</m:t>
                  </m:r>
                </m:e>
              </m:acc>
            </m:e>
            <m:sup>
              <m:d>
                <m:dPr>
                  <m:begChr m:val="("/>
                  <m:sepChr m:val=""/>
                  <m:endChr m:val=")"/>
                  <m:grow/>
                </m:dPr>
                <m:e>
                  <m:r>
                    <m:rPr>
                      <m:sty m:val="p"/>
                    </m:rPr>
                    <m:t>−</m:t>
                  </m:r>
                  <m:r>
                    <m:t>i</m:t>
                  </m:r>
                </m:e>
              </m:d>
            </m:sup>
          </m:sSup>
          <m:d>
            <m:dPr>
              <m:begChr m:val="("/>
              <m:sepChr m:val=""/>
              <m:endChr m:val=")"/>
              <m:grow/>
            </m:dPr>
            <m:e>
              <m:sSub>
                <m:e>
                  <m:r>
                    <m:rPr>
                      <m:sty m:val="b"/>
                    </m:rPr>
                    <m:t>x</m:t>
                  </m:r>
                </m:e>
                <m:sub>
                  <m:r>
                    <m:t>i</m:t>
                  </m:r>
                </m:sub>
              </m:sSub>
            </m:e>
          </m:d>
          <m:r>
            <m:rPr>
              <m:sty m:val="p"/>
            </m:rPr>
            <m:t>,</m:t>
          </m:r>
        </m:oMath>
      </m:oMathPara>
    </w:p>
    <w:p>
      <w:pPr>
        <w:pStyle w:val="FirstParagraph"/>
      </w:pPr>
      <w:r>
        <w:t xml:space="preserve">où</w:t>
      </w:r>
      <w:r>
        <w:t xml:space="preserve"> </w:t>
      </w:r>
      <m:oMath>
        <m:sSup>
          <m:e>
            <m:acc>
              <m:accPr>
                <m:chr m:val="̂"/>
              </m:accPr>
              <m:e>
                <m:r>
                  <m:t>z</m:t>
                </m:r>
              </m:e>
            </m:acc>
          </m:e>
          <m:sup>
            <m:d>
              <m:dPr>
                <m:begChr m:val="("/>
                <m:sepChr m:val=""/>
                <m:endChr m:val=")"/>
                <m:grow/>
              </m:dPr>
              <m:e>
                <m:r>
                  <m:rPr>
                    <m:sty m:val="p"/>
                  </m:rPr>
                  <m:t>−</m:t>
                </m:r>
                <m:r>
                  <m:t>i</m:t>
                </m:r>
              </m:e>
            </m:d>
          </m:sup>
        </m:sSup>
        <m:d>
          <m:dPr>
            <m:begChr m:val="("/>
            <m:sepChr m:val=""/>
            <m:endChr m:val=")"/>
            <m:grow/>
          </m:dPr>
          <m:e>
            <m:sSub>
              <m:e>
                <m:r>
                  <m:rPr>
                    <m:sty m:val="b"/>
                  </m:rPr>
                  <m:t>x</m:t>
                </m:r>
              </m:e>
              <m:sub>
                <m:r>
                  <m:t>i</m:t>
                </m:r>
              </m:sub>
            </m:sSub>
          </m:e>
        </m:d>
      </m:oMath>
      <w:r>
        <w:t xml:space="preserve"> </w:t>
      </w:r>
      <w:r>
        <w:t xml:space="preserve">est l’estimation obtenue sans utiliser l’observation</w:t>
      </w:r>
      <w:r>
        <w:t xml:space="preserve"> </w:t>
      </w:r>
      <m:oMath>
        <m:r>
          <m:t>i</m:t>
        </m:r>
      </m:oMath>
      <w:r>
        <w:t xml:space="preserve">.</w:t>
      </w:r>
    </w:p>
    <w:p>
      <w:pPr>
        <w:pStyle w:val="BodyText"/>
      </w:pPr>
      <w:r>
        <w:t xml:space="preserve">Plusieurs statistiques peuvent être calculées.</w:t>
      </w:r>
    </w:p>
    <w:bookmarkStart w:id="169" w:name="erreur-moyenne"/>
    <w:p>
      <w:pPr>
        <w:pStyle w:val="Heading5"/>
      </w:pPr>
      <w:r>
        <w:t xml:space="preserve">Erreur moyenne</w:t>
      </w:r>
    </w:p>
    <w:p>
      <w:pPr>
        <w:pStyle w:val="FirstParagraph"/>
      </w:pPr>
      <m:oMathPara>
        <m:oMathParaPr>
          <m:jc m:val="center"/>
        </m:oMathParaPr>
        <m:oMath>
          <m:r>
            <m:rPr>
              <m:sty m:val="p"/>
            </m:rPr>
            <m:t>ME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e</m:t>
                  </m:r>
                </m:e>
                <m:sub>
                  <m:r>
                    <m:t>i</m:t>
                  </m:r>
                </m:sub>
              </m:sSub>
            </m:e>
          </m:nary>
          <m:r>
            <m:rPr>
              <m:sty m:val="p"/>
            </m:rPr>
            <m:t>.</m:t>
          </m:r>
        </m:oMath>
      </m:oMathPara>
    </w:p>
    <w:p>
      <w:pPr>
        <w:pStyle w:val="FirstParagraph"/>
      </w:pPr>
      <w:r>
        <w:t xml:space="preserve">Une erreur moyenne proche de zéro indique l’absence de biais global important.</w:t>
      </w:r>
    </w:p>
    <w:bookmarkEnd w:id="169"/>
    <w:bookmarkStart w:id="170" w:name="racine-de-lerreur-quadratique-moyenne"/>
    <w:p>
      <w:pPr>
        <w:pStyle w:val="Heading5"/>
      </w:pPr>
      <w:r>
        <w:t xml:space="preserve">Racine de l’erreur quadratique moyenne</w:t>
      </w:r>
    </w:p>
    <w:p>
      <w:pPr>
        <w:pStyle w:val="FirstParagraph"/>
      </w:pPr>
      <m:oMathPara>
        <m:oMathParaPr>
          <m:jc m:val="center"/>
        </m:oMathParaPr>
        <m:oMath>
          <m:r>
            <m:rP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e</m:t>
                      </m:r>
                    </m:e>
                    <m:sub>
                      <m:r>
                        <m:t>i</m:t>
                      </m:r>
                    </m:sub>
                    <m:sup>
                      <m:r>
                        <m:t>2</m:t>
                      </m:r>
                    </m:sup>
                  </m:sSubSup>
                </m:e>
              </m:nary>
            </m:e>
          </m:rad>
          <m:r>
            <m:rPr>
              <m:sty m:val="p"/>
            </m:rPr>
            <m:t>.</m:t>
          </m:r>
        </m:oMath>
      </m:oMathPara>
    </w:p>
    <w:p>
      <w:pPr>
        <w:pStyle w:val="FirstParagraph"/>
      </w:pPr>
      <w:r>
        <w:t xml:space="preserve">La RMSE mesure l’amplitude générale des erreurs de prédiction.</w:t>
      </w:r>
    </w:p>
    <w:bookmarkEnd w:id="170"/>
    <w:bookmarkStart w:id="171" w:name="erreur-standardisée"/>
    <w:p>
      <w:pPr>
        <w:pStyle w:val="Heading5"/>
      </w:pPr>
      <w:r>
        <w:t xml:space="preserve">Erreur standardisée</w:t>
      </w:r>
    </w:p>
    <w:p>
      <w:pPr>
        <w:pStyle w:val="FirstParagraph"/>
      </w:pPr>
      <w:r>
        <w:t xml:space="preserve">Si</w:t>
      </w:r>
      <w:r>
        <w:t xml:space="preserve"> </w:t>
      </w:r>
      <m:oMath>
        <m:sSubSup>
          <m:e>
            <m:r>
              <m:t>σ</m:t>
            </m:r>
          </m:e>
          <m:sub>
            <m:r>
              <m:t>K</m:t>
            </m:r>
            <m:r>
              <m:rPr>
                <m:sty m:val="p"/>
              </m:rPr>
              <m:t>,</m:t>
            </m:r>
            <m:r>
              <m:t>i</m:t>
            </m:r>
          </m:sub>
          <m:sup>
            <m:r>
              <m:t>2</m:t>
            </m:r>
          </m:sup>
        </m:sSubSup>
      </m:oMath>
      <w:r>
        <w:t xml:space="preserve"> </w:t>
      </w:r>
      <w:r>
        <w:t xml:space="preserve">est la variance de krigeage associée à l’estimation du point</w:t>
      </w:r>
      <w:r>
        <w:t xml:space="preserve"> </w:t>
      </w:r>
      <m:oMath>
        <m:r>
          <m:t>i</m:t>
        </m:r>
      </m:oMath>
      <w:r>
        <w:t xml:space="preserve">, l’erreur standardisée est :</w:t>
      </w:r>
    </w:p>
    <w:p>
      <w:pPr>
        <w:pStyle w:val="BodyText"/>
      </w:pPr>
      <m:oMathPara>
        <m:oMathParaPr>
          <m:jc m:val="center"/>
        </m:oMathParaPr>
        <m:oMath>
          <m:sSubSup>
            <m:e>
              <m:r>
                <m:t>e</m:t>
              </m:r>
            </m:e>
            <m:sub>
              <m:r>
                <m:t>i</m:t>
              </m:r>
            </m:sub>
            <m:sup>
              <m:r>
                <m:rPr>
                  <m:sty m:val="p"/>
                </m:rPr>
                <m:t>*</m:t>
              </m:r>
            </m:sup>
          </m:sSubSup>
          <m:r>
            <m:rPr>
              <m:sty m:val="p"/>
            </m:rPr>
            <m:t>=</m:t>
          </m:r>
          <m:f>
            <m:fPr>
              <m:type m:val="bar"/>
            </m:fPr>
            <m:num>
              <m:sSub>
                <m:e>
                  <m:r>
                    <m:t>e</m:t>
                  </m:r>
                </m:e>
                <m:sub>
                  <m:r>
                    <m:t>i</m:t>
                  </m:r>
                </m:sub>
              </m:sSub>
            </m:num>
            <m:den>
              <m:sSub>
                <m:e>
                  <m:r>
                    <m:t>σ</m:t>
                  </m:r>
                </m:e>
                <m:sub>
                  <m:r>
                    <m:t>K</m:t>
                  </m:r>
                  <m:r>
                    <m:rPr>
                      <m:sty m:val="p"/>
                    </m:rPr>
                    <m:t>,</m:t>
                  </m:r>
                  <m:r>
                    <m:t>i</m:t>
                  </m:r>
                </m:sub>
              </m:sSub>
            </m:den>
          </m:f>
          <m:r>
            <m:rPr>
              <m:sty m:val="p"/>
            </m:rPr>
            <m:t>.</m:t>
          </m:r>
        </m:oMath>
      </m:oMathPara>
    </w:p>
    <w:p>
      <w:pPr>
        <w:pStyle w:val="FirstParagraph"/>
      </w:pPr>
      <w:r>
        <w:t xml:space="preserve">La moyenne des erreurs standardisées devrait être proche de zéro :</w:t>
      </w:r>
    </w:p>
    <w:p>
      <w:pPr>
        <w:pStyle w:val="BodyText"/>
      </w:pPr>
      <m:oMathPara>
        <m:oMathParaPr>
          <m:jc m:val="center"/>
        </m:oMathParaPr>
        <m:oMath>
          <m:f>
            <m:fPr>
              <m:type m:val="bar"/>
            </m:fPr>
            <m:num>
              <m:r>
                <m:t>1</m:t>
              </m:r>
            </m:num>
            <m:den>
              <m:r>
                <m:t>n</m:t>
              </m:r>
            </m:den>
          </m:f>
          <m:nary>
            <m:naryPr>
              <m:chr m:val="∑"/>
              <m:limLoc m:val="undOvr"/>
              <m:subHide m:val="off"/>
              <m:supHide m:val="off"/>
            </m:naryPr>
            <m:sub>
              <m:r>
                <m:t>i</m:t>
              </m:r>
              <m:r>
                <m:rPr>
                  <m:sty m:val="p"/>
                </m:rPr>
                <m:t>=</m:t>
              </m:r>
              <m:r>
                <m:t>1</m:t>
              </m:r>
            </m:sub>
            <m:sup>
              <m:r>
                <m:t>n</m:t>
              </m:r>
            </m:sup>
            <m:e>
              <m:sSubSup>
                <m:e>
                  <m:r>
                    <m:t>e</m:t>
                  </m:r>
                </m:e>
                <m:sub>
                  <m:r>
                    <m:t>i</m:t>
                  </m:r>
                </m:sub>
                <m:sup>
                  <m:r>
                    <m:rPr>
                      <m:sty m:val="p"/>
                    </m:rPr>
                    <m:t>*</m:t>
                  </m:r>
                </m:sup>
              </m:sSubSup>
            </m:e>
          </m:nary>
          <m:r>
            <m:rPr>
              <m:sty m:val="p"/>
            </m:rPr>
            <m:t>≈</m:t>
          </m:r>
          <m:r>
            <m:t>0</m:t>
          </m:r>
          <m:r>
            <m:rPr>
              <m:sty m:val="p"/>
            </m:rPr>
            <m:t>.</m:t>
          </m:r>
        </m:oMath>
      </m:oMathPara>
    </w:p>
    <w:p>
      <w:pPr>
        <w:pStyle w:val="FirstParagraph"/>
      </w:pPr>
      <w:r>
        <w:t xml:space="preserve">La racine de leur moyenne quadratique devrait être proche de un :</w:t>
      </w:r>
    </w:p>
    <w:p>
      <w:pPr>
        <w:pStyle w:val="BodyText"/>
      </w:pPr>
      <m:oMathPara>
        <m:oMathParaPr>
          <m:jc m:val="center"/>
        </m:oMathParaPr>
        <m:oMath>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Sup>
                            <m:e>
                              <m:r>
                                <m:t>e</m:t>
                              </m:r>
                            </m:e>
                            <m:sub>
                              <m:r>
                                <m:t>i</m:t>
                              </m:r>
                            </m:sub>
                            <m:sup>
                              <m:r>
                                <m:rPr>
                                  <m:sty m:val="p"/>
                                </m:rPr>
                                <m:t>*</m:t>
                              </m:r>
                            </m:sup>
                          </m:sSubSup>
                        </m:e>
                      </m:d>
                    </m:e>
                    <m:sup>
                      <m:r>
                        <m:t>2</m:t>
                      </m:r>
                    </m:sup>
                  </m:sSup>
                </m:e>
              </m:nary>
            </m:e>
          </m:rad>
          <m:r>
            <m:rPr>
              <m:sty m:val="p"/>
            </m:rPr>
            <m:t>≈</m:t>
          </m:r>
          <m:r>
            <m:t>1</m:t>
          </m:r>
          <m:r>
            <m:rPr>
              <m:sty m:val="p"/>
            </m:rPr>
            <m:t>.</m:t>
          </m:r>
        </m:oMath>
      </m:oMathPara>
    </w:p>
    <w:p>
      <w:pPr>
        <w:pStyle w:val="FirstParagraph"/>
      </w:pPr>
      <w:r>
        <w:t xml:space="preserve">Une valeur nettement supérieure à un indique généralement que les incertitudes sont sous-estimées. Une valeur nettement inférieure à un indique qu’elles sont surestimées.</w:t>
      </w:r>
    </w:p>
    <w:p>
      <w:pPr>
        <w:pStyle w:val="BodyText"/>
      </w:pPr>
      <w:r>
        <w:t xml:space="preserve">La validation croisée est utile pour :</w:t>
      </w:r>
    </w:p>
    <w:p>
      <w:pPr>
        <w:pStyle w:val="Compact"/>
        <w:numPr>
          <w:ilvl w:val="0"/>
          <w:numId w:val="1036"/>
        </w:numPr>
      </w:pPr>
      <w:r>
        <w:t xml:space="preserve">détecter un biais;</w:t>
      </w:r>
    </w:p>
    <w:p>
      <w:pPr>
        <w:pStyle w:val="Compact"/>
        <w:numPr>
          <w:ilvl w:val="0"/>
          <w:numId w:val="1036"/>
        </w:numPr>
      </w:pPr>
      <w:r>
        <w:t xml:space="preserve">comparer des modèles proches;</w:t>
      </w:r>
    </w:p>
    <w:p>
      <w:pPr>
        <w:pStyle w:val="Compact"/>
        <w:numPr>
          <w:ilvl w:val="0"/>
          <w:numId w:val="1036"/>
        </w:numPr>
      </w:pPr>
      <w:r>
        <w:t xml:space="preserve">vérifier la cohérence des variances de krigeage;</w:t>
      </w:r>
    </w:p>
    <w:p>
      <w:pPr>
        <w:pStyle w:val="Compact"/>
        <w:numPr>
          <w:ilvl w:val="0"/>
          <w:numId w:val="1036"/>
        </w:numPr>
      </w:pPr>
      <w:r>
        <w:t xml:space="preserve">comparer des voisinages de recherche;</w:t>
      </w:r>
    </w:p>
    <w:p>
      <w:pPr>
        <w:pStyle w:val="Compact"/>
        <w:numPr>
          <w:ilvl w:val="0"/>
          <w:numId w:val="1036"/>
        </w:numPr>
      </w:pPr>
      <w:r>
        <w:t xml:space="preserve">repérer certaines observations influentes.</w:t>
      </w:r>
    </w:p>
    <w:p>
      <w:pPr>
        <w:pStyle w:val="FirstParagraph"/>
      </w:pPr>
      <w:r>
        <w:t xml:space="preserve">Elle ne doit toutefois pas être utilisée comme seul critère de sélection. Plusieurs modèles différents peuvent produire des erreurs de validation croisée semblables, particulièrement lorsque les données sont peu nombreuses ou regroupées. Un modèle peut aussi être performant en prédiction tout en étant difficile à interpréter géologiquement.</w:t>
      </w:r>
    </w:p>
    <w:bookmarkEnd w:id="171"/>
    <w:bookmarkEnd w:id="172"/>
    <w:bookmarkEnd w:id="173"/>
    <w:bookmarkStart w:id="174" w:name="démarche-recommandée"/>
    <w:p>
      <w:pPr>
        <w:pStyle w:val="Heading3"/>
      </w:pPr>
      <w:r>
        <w:t xml:space="preserve">Démarche recommandée</w:t>
      </w:r>
    </w:p>
    <w:p>
      <w:pPr>
        <w:pStyle w:val="FirstParagraph"/>
      </w:pPr>
      <w:r>
        <w:t xml:space="preserve">Une démarche pratique d’ajustement peut suivre les étapes suivantes :</w:t>
      </w:r>
    </w:p>
    <w:p>
      <w:pPr>
        <w:pStyle w:val="Compact"/>
        <w:numPr>
          <w:ilvl w:val="0"/>
          <w:numId w:val="1037"/>
        </w:numPr>
      </w:pPr>
      <w:r>
        <w:t xml:space="preserve">examiner les données, leur distribution, leur support et les valeurs extrêmes;</w:t>
      </w:r>
    </w:p>
    <w:p>
      <w:pPr>
        <w:pStyle w:val="Compact"/>
        <w:numPr>
          <w:ilvl w:val="0"/>
          <w:numId w:val="1037"/>
        </w:numPr>
      </w:pPr>
      <w:r>
        <w:t xml:space="preserve">calculer des variogrammes expérimentaux omnidirectionnels et directionnels;</w:t>
      </w:r>
    </w:p>
    <w:p>
      <w:pPr>
        <w:pStyle w:val="Compact"/>
        <w:numPr>
          <w:ilvl w:val="0"/>
          <w:numId w:val="1037"/>
        </w:numPr>
      </w:pPr>
      <w:r>
        <w:t xml:space="preserve">comparer, au besoin, le variogramme classique à des estimateurs robustes;</w:t>
      </w:r>
    </w:p>
    <w:p>
      <w:pPr>
        <w:pStyle w:val="Compact"/>
        <w:numPr>
          <w:ilvl w:val="0"/>
          <w:numId w:val="1037"/>
        </w:numPr>
      </w:pPr>
      <w:r>
        <w:t xml:space="preserve">déterminer le nombre de structures et les anisotropies à partir des données et de la géologie;</w:t>
      </w:r>
    </w:p>
    <w:p>
      <w:pPr>
        <w:pStyle w:val="Compact"/>
        <w:numPr>
          <w:ilvl w:val="0"/>
          <w:numId w:val="1037"/>
        </w:numPr>
      </w:pPr>
      <w:r>
        <w:t xml:space="preserve">effectuer un premier ajustement visuel;</w:t>
      </w:r>
    </w:p>
    <w:p>
      <w:pPr>
        <w:pStyle w:val="Compact"/>
        <w:numPr>
          <w:ilvl w:val="0"/>
          <w:numId w:val="1037"/>
        </w:numPr>
      </w:pPr>
      <w:r>
        <w:t xml:space="preserve">optimiser les paramètres avec une méthode automatique appropriée;</w:t>
      </w:r>
    </w:p>
    <w:p>
      <w:pPr>
        <w:pStyle w:val="Compact"/>
        <w:numPr>
          <w:ilvl w:val="0"/>
          <w:numId w:val="1037"/>
        </w:numPr>
      </w:pPr>
      <w:r>
        <w:t xml:space="preserve">vérifier l’admissibilité, la stabilité et la cohérence géologique du modèle;</w:t>
      </w:r>
    </w:p>
    <w:p>
      <w:pPr>
        <w:pStyle w:val="Compact"/>
        <w:numPr>
          <w:ilvl w:val="0"/>
          <w:numId w:val="1037"/>
        </w:numPr>
      </w:pPr>
      <w:r>
        <w:t xml:space="preserve">utiliser la validation croisée pour comparer les modèles retenus et évaluer leur comportement prédictif.</w:t>
      </w:r>
    </w:p>
    <w:p>
      <w:pPr>
        <w:pStyle w:val="FirstParagraph"/>
      </w:pPr>
      <w:r>
        <w:t xml:space="preserve">L’objectif n’est pas d’obtenir la courbe qui passe exactement par tous les points expérimentaux. Il faut plutôt construire un modèle simple, admissible et cohérent avec les principales échelles de continuité du phénomène.</w:t>
      </w:r>
    </w:p>
    <w:bookmarkEnd w:id="174"/>
    <w:bookmarkEnd w:id="175"/>
    <w:bookmarkStart w:id="176" w:name="X55c7a9f486c7364e60b87e9faeca6ddd29cc0ae"/>
    <w:p>
      <w:pPr>
        <w:pStyle w:val="Heading2"/>
      </w:pPr>
      <w:r>
        <w:t xml:space="preserve">🧮 Atelier interactif 7.5 — Ajustement manuel 1D</w:t>
      </w:r>
    </w:p>
    <w:p>
      <w:pPr>
        <w:pStyle w:val="FirstParagraph"/>
      </w:pPr>
      <w:r>
        <w:t xml:space="preserve">Cet atelier interactif est disponible uniquement dans la version web du chapitre.</w:t>
      </w:r>
    </w:p>
    <w:p>
      <w:pPr>
        <w:pStyle w:val="BodyText"/>
      </w:pPr>
      <w:r>
        <w:t xml:space="preserve">L’atelier précédent suppose une continuité identique dans toutes les directions. En présence d’une anisotropie, il faut également ajuster les portées directionnelles et l’orientation des axes principaux.</w:t>
      </w:r>
    </w:p>
    <w:bookmarkEnd w:id="176"/>
    <w:bookmarkStart w:id="177" w:name="X170ff7ce4f94be851d1075e148abceafbb12526"/>
    <w:p>
      <w:pPr>
        <w:pStyle w:val="Heading2"/>
      </w:pPr>
      <w:r>
        <w:t xml:space="preserve">🧮 Atelier interactif 7.6 — Ajustement 2D anisotrope</w:t>
      </w:r>
    </w:p>
    <w:p>
      <w:pPr>
        <w:pStyle w:val="FirstParagraph"/>
      </w:pPr>
      <w:r>
        <w:t xml:space="preserve">Cet atelier interactif est disponible uniquement dans la version web du chapitre.</w:t>
      </w:r>
    </w:p>
    <w:p>
      <w:pPr>
        <w:pStyle w:val="BodyText"/>
      </w:pPr>
      <w:r>
        <w:t xml:space="preserve">Ces méthodes permettent d’ajuster une première structure spatiale. Plusieurs phénomènes présentent toutefois plus d’une échelle de continuité. Leur représentation nécessite alors des modèles emboîtés.</w:t>
      </w:r>
    </w:p>
    <w:bookmarkEnd w:id="177"/>
    <w:bookmarkStart w:id="186" w:name="modèles-imbriqués-de-variogramme"/>
    <w:p>
      <w:pPr>
        <w:pStyle w:val="Heading2"/>
      </w:pPr>
      <w:r>
        <w:t xml:space="preserve">6 Modèles imbriqués de variogramme</w:t>
      </w:r>
    </w:p>
    <w:p>
      <w:pPr>
        <w:pStyle w:val="FirstParagraph"/>
      </w:pPr>
      <w:r>
        <w:t xml:space="preserve">Un seul modèle élémentaire ne suffit pas toujours à représenter l’ensemble de la structure spatiale. Un phénomène peut présenter une continuité à courte distance, associée par exemple à des variations locales, ainsi qu’une continuité à plus grande distance correspondant à une organisation régionale.</w:t>
      </w:r>
    </w:p>
    <w:p>
      <w:pPr>
        <w:pStyle w:val="BodyText"/>
      </w:pPr>
      <w:r>
        <w:t xml:space="preserve">Il est alors possible d’additionner plusieurs modèles admissibles. La somme obtenue est appelée</w:t>
      </w:r>
      <w:r>
        <w:t xml:space="preserve"> </w:t>
      </w:r>
      <w:r>
        <w:rPr>
          <w:b/>
          <w:bCs/>
        </w:rPr>
        <w:t xml:space="preserve">modèle imbriqué</w:t>
      </w:r>
      <w:r>
        <w:t xml:space="preserve"> </w:t>
      </w:r>
      <w:r>
        <w:t xml:space="preserve">ou</w:t>
      </w:r>
      <w:r>
        <w:t xml:space="preserve"> </w:t>
      </w:r>
      <w:r>
        <w:rPr>
          <w:b/>
          <w:bCs/>
        </w:rPr>
        <w:t xml:space="preserve">modèle emboîté</w:t>
      </w:r>
      <w:r>
        <w:t xml:space="preserve">.</w:t>
      </w:r>
    </w:p>
    <w:p>
      <w:pPr>
        <w:pStyle w:val="BodyText"/>
      </w:pPr>
      <w:r>
        <w:t xml:space="preserve">Un modèle comprenant un effet de pépite et</w:t>
      </w:r>
      <w:r>
        <w:t xml:space="preserve"> </w:t>
      </w:r>
      <m:oMath>
        <m:r>
          <m:t>p</m:t>
        </m:r>
      </m:oMath>
      <w:r>
        <w:t xml:space="preserve"> </w:t>
      </w:r>
      <w:r>
        <w:t xml:space="preserve">structures spatiales peut s’écrire :</w:t>
      </w:r>
    </w:p>
    <w:p>
      <w:pPr>
        <w:pStyle w:val="BodyText"/>
      </w:pPr>
      <m:oMathPara>
        <m:oMathParaPr>
          <m:jc m:val="center"/>
        </m:oMathParaPr>
        <m:oMath>
          <m:r>
            <m:t>γ</m:t>
          </m:r>
          <m:d>
            <m:dPr>
              <m:begChr m:val="("/>
              <m:sepChr m:val=""/>
              <m:endChr m:val=")"/>
              <m:grow/>
            </m:dPr>
            <m:e>
              <m:r>
                <m:rPr>
                  <m:sty m:val="b"/>
                </m:rPr>
                <m:t>h</m:t>
              </m:r>
            </m:e>
          </m:d>
          <m:r>
            <m:rPr>
              <m:sty m:val="p"/>
            </m:rPr>
            <m:t>=</m:t>
          </m:r>
          <m:sSub>
            <m:e>
              <m:r>
                <m:t>C</m:t>
              </m:r>
            </m:e>
            <m:sub>
              <m:r>
                <m:t>0</m:t>
              </m:r>
            </m:sub>
          </m:sSub>
          <m:r>
            <m:t> </m:t>
          </m:r>
          <m:sSub>
            <m:e>
              <m:r>
                <m:rPr>
                  <m:sty m:val="p"/>
                  <m:scr m:val="double-struck"/>
                </m:rPr>
                <m:t>1</m:t>
              </m:r>
            </m:e>
            <m:sub>
              <m:r>
                <m:rPr>
                  <m:sty m:val="p"/>
                </m:rPr>
                <m:t>{</m:t>
              </m:r>
              <m:r>
                <m:rPr>
                  <m:sty m:val="b"/>
                </m:rPr>
                <m:t>h</m:t>
              </m:r>
              <m:r>
                <m:rPr>
                  <m:sty m:val="p"/>
                </m:rPr>
                <m:t>≠</m:t>
              </m:r>
              <m:r>
                <m:rPr>
                  <m:sty m:val="b"/>
                </m:rPr>
                <m:t>0</m:t>
              </m:r>
              <m:r>
                <m:rPr>
                  <m:sty m:val="p"/>
                </m:rPr>
                <m:t>}</m:t>
              </m:r>
            </m:sub>
          </m:sSub>
          <m:r>
            <m:rPr>
              <m:sty m:val="p"/>
            </m:rPr>
            <m:t>+</m:t>
          </m:r>
          <m:nary>
            <m:naryPr>
              <m:chr m:val="∑"/>
              <m:limLoc m:val="undOvr"/>
              <m:subHide m:val="off"/>
              <m:supHide m:val="off"/>
            </m:naryPr>
            <m:sub>
              <m:r>
                <m:t>k</m:t>
              </m:r>
              <m:r>
                <m:rPr>
                  <m:sty m:val="p"/>
                </m:rPr>
                <m:t>=</m:t>
              </m:r>
              <m:r>
                <m:t>1</m:t>
              </m:r>
            </m:sub>
            <m:sup>
              <m:r>
                <m:t>p</m:t>
              </m:r>
            </m:sup>
            <m:e>
              <m:sSub>
                <m:e>
                  <m:r>
                    <m:t>C</m:t>
                  </m:r>
                </m:e>
                <m:sub>
                  <m:r>
                    <m:t>k</m:t>
                  </m:r>
                </m:sub>
              </m:sSub>
            </m:e>
          </m:nary>
          <m:r>
            <m:t> </m:t>
          </m:r>
          <m:sSub>
            <m:e>
              <m:r>
                <m:t>g</m:t>
              </m:r>
            </m:e>
            <m:sub>
              <m:r>
                <m:t>k</m:t>
              </m:r>
            </m:sub>
          </m:sSub>
          <m:d>
            <m:dPr>
              <m:begChr m:val="("/>
              <m:sepChr m:val=""/>
              <m:endChr m:val=")"/>
              <m:grow/>
            </m:dPr>
            <m:e>
              <m:r>
                <m:rPr>
                  <m:sty m:val="b"/>
                </m:rPr>
                <m:t>h</m:t>
              </m:r>
              <m:r>
                <m:rPr>
                  <m:sty m:val="p"/>
                </m:rPr>
                <m:t>;</m:t>
              </m:r>
              <m:sSub>
                <m:e>
                  <m:r>
                    <m:rPr>
                      <m:sty m:val="b"/>
                    </m:rPr>
                    <m:t>θ</m:t>
                  </m:r>
                </m:e>
                <m:sub>
                  <m:r>
                    <m:t>k</m:t>
                  </m:r>
                </m:sub>
              </m:sSub>
            </m:e>
          </m:d>
          <m:r>
            <m:rPr>
              <m:sty m:val="p"/>
            </m:rPr>
            <m:t>,</m:t>
          </m:r>
        </m:oMath>
      </m:oMathPara>
    </w:p>
    <w:p>
      <w:pPr>
        <w:pStyle w:val="FirstParagraph"/>
      </w:pPr>
      <w:r>
        <w:t xml:space="preserve">où :</w:t>
      </w:r>
    </w:p>
    <w:p>
      <w:pPr>
        <w:pStyle w:val="Compact"/>
        <w:numPr>
          <w:ilvl w:val="0"/>
          <w:numId w:val="1038"/>
        </w:numPr>
      </w:pPr>
      <m:oMath>
        <m:sSub>
          <m:e>
            <m:r>
              <m:t>C</m:t>
            </m:r>
          </m:e>
          <m:sub>
            <m:r>
              <m:t>0</m:t>
            </m:r>
          </m:sub>
        </m:sSub>
      </m:oMath>
      <w:r>
        <w:t xml:space="preserve"> </w:t>
      </w:r>
      <w:r>
        <w:t xml:space="preserve">est l’effet de pépite;</w:t>
      </w:r>
    </w:p>
    <w:p>
      <w:pPr>
        <w:pStyle w:val="Compact"/>
        <w:numPr>
          <w:ilvl w:val="0"/>
          <w:numId w:val="1038"/>
        </w:numPr>
      </w:pPr>
      <m:oMath>
        <m:sSub>
          <m:e>
            <m:r>
              <m:rPr>
                <m:sty m:val="p"/>
                <m:scr m:val="double-struck"/>
              </m:rPr>
              <m:t>1</m:t>
            </m:r>
          </m:e>
          <m:sub>
            <m:r>
              <m:rPr>
                <m:sty m:val="p"/>
              </m:rPr>
              <m:t>{</m:t>
            </m:r>
            <m:r>
              <m:rPr>
                <m:sty m:val="b"/>
              </m:rPr>
              <m:t>h</m:t>
            </m:r>
            <m:r>
              <m:rPr>
                <m:sty m:val="p"/>
              </m:rPr>
              <m:t>≠</m:t>
            </m:r>
            <m:r>
              <m:rPr>
                <m:sty m:val="b"/>
              </m:rPr>
              <m:t>0</m:t>
            </m:r>
            <m:r>
              <m:rPr>
                <m:sty m:val="p"/>
              </m:rPr>
              <m:t>}</m:t>
            </m:r>
          </m:sub>
        </m:sSub>
      </m:oMath>
      <w:r>
        <w:t xml:space="preserve"> </w:t>
      </w:r>
      <w:r>
        <w:t xml:space="preserve">vaut 0 à l’origine et 1 pour toute distance non nulle;</w:t>
      </w:r>
    </w:p>
    <w:p>
      <w:pPr>
        <w:pStyle w:val="Compact"/>
        <w:numPr>
          <w:ilvl w:val="0"/>
          <w:numId w:val="1038"/>
        </w:numPr>
      </w:pPr>
      <m:oMath>
        <m:sSub>
          <m:e>
            <m:r>
              <m:t>C</m:t>
            </m:r>
          </m:e>
          <m:sub>
            <m:r>
              <m:t>k</m:t>
            </m:r>
          </m:sub>
        </m:sSub>
        <m:r>
          <m:rPr>
            <m:sty m:val="p"/>
          </m:rPr>
          <m:t>≥</m:t>
        </m:r>
        <m:r>
          <m:t>0</m:t>
        </m:r>
      </m:oMath>
      <w:r>
        <w:t xml:space="preserve"> </w:t>
      </w:r>
      <w:r>
        <w:t xml:space="preserve">est le palier partiel de la structure</w:t>
      </w:r>
      <w:r>
        <w:t xml:space="preserve"> </w:t>
      </w:r>
      <m:oMath>
        <m:r>
          <m:t>k</m:t>
        </m:r>
      </m:oMath>
      <w:r>
        <w:t xml:space="preserve">;</w:t>
      </w:r>
    </w:p>
    <w:p>
      <w:pPr>
        <w:pStyle w:val="Compact"/>
        <w:numPr>
          <w:ilvl w:val="0"/>
          <w:numId w:val="1038"/>
        </w:numPr>
      </w:pPr>
      <m:oMath>
        <m:sSub>
          <m:e>
            <m:r>
              <m:t>g</m:t>
            </m:r>
          </m:e>
          <m:sub>
            <m:r>
              <m:t>k</m:t>
            </m:r>
          </m:sub>
        </m:sSub>
      </m:oMath>
      <w:r>
        <w:t xml:space="preserve"> </w:t>
      </w:r>
      <w:r>
        <w:t xml:space="preserve">est un modèle de variogramme admissible normalisé entre 0 et 1;</w:t>
      </w:r>
    </w:p>
    <w:p>
      <w:pPr>
        <w:pStyle w:val="Compact"/>
        <w:numPr>
          <w:ilvl w:val="0"/>
          <w:numId w:val="1038"/>
        </w:numPr>
      </w:pPr>
      <m:oMath>
        <m:sSub>
          <m:e>
            <m:r>
              <m:rPr>
                <m:sty m:val="b"/>
              </m:rPr>
              <m:t>θ</m:t>
            </m:r>
          </m:e>
          <m:sub>
            <m:r>
              <m:t>k</m:t>
            </m:r>
          </m:sub>
        </m:sSub>
      </m:oMath>
      <w:r>
        <w:t xml:space="preserve"> </w:t>
      </w:r>
      <w:r>
        <w:t xml:space="preserve">regroupe les paramètres de la structure</w:t>
      </w:r>
      <w:r>
        <w:t xml:space="preserve"> </w:t>
      </w:r>
      <m:oMath>
        <m:r>
          <m:t>k</m:t>
        </m:r>
      </m:oMath>
      <w:r>
        <w:t xml:space="preserve">, notamment sa portée et, au besoin, son anisotropie.</w:t>
      </w:r>
    </w:p>
    <w:p>
      <w:pPr>
        <w:pStyle w:val="FirstParagraph"/>
      </w:pPr>
      <w:r>
        <w:t xml:space="preserve">Comme chaque composante est admissible et que les paliers partiels sont positifs ou nuls, leur somme demeure un variogramme admissible.</w:t>
      </w:r>
    </w:p>
    <w:p>
      <w:pPr>
        <w:pStyle w:val="BodyText"/>
      </w:pPr>
      <w:r>
        <w:t xml:space="preserve">Si toutes les structures possèdent un palier fini, le palier total du modèle est :</w:t>
      </w:r>
    </w:p>
    <w:p>
      <w:pPr>
        <w:pStyle w:val="BodyText"/>
      </w:pPr>
      <m:oMathPara>
        <m:oMathParaPr>
          <m:jc m:val="center"/>
        </m:oMathParaPr>
        <m:oMath>
          <m:sSub>
            <m:e>
              <m:r>
                <m:t>C</m:t>
              </m:r>
            </m:e>
            <m:sub>
              <m:r>
                <m:rPr>
                  <m:sty m:val="p"/>
                </m:rPr>
                <m:t>t</m:t>
              </m:r>
              <m:r>
                <m:rPr>
                  <m:sty m:val="p"/>
                </m:rPr>
                <m:t>o</m:t>
              </m:r>
              <m:r>
                <m:rPr>
                  <m:sty m:val="p"/>
                </m:rPr>
                <m:t>t</m:t>
              </m:r>
            </m:sub>
          </m:sSub>
          <m:r>
            <m:rPr>
              <m:sty m:val="p"/>
            </m:rPr>
            <m:t>=</m:t>
          </m:r>
          <m:sSub>
            <m:e>
              <m:r>
                <m:t>C</m:t>
              </m:r>
            </m:e>
            <m:sub>
              <m:r>
                <m:t>0</m:t>
              </m:r>
            </m:sub>
          </m:sSub>
          <m:r>
            <m:rPr>
              <m:sty m:val="p"/>
            </m:rPr>
            <m:t>+</m:t>
          </m:r>
          <m:nary>
            <m:naryPr>
              <m:chr m:val="∑"/>
              <m:limLoc m:val="undOvr"/>
              <m:subHide m:val="off"/>
              <m:supHide m:val="off"/>
            </m:naryPr>
            <m:sub>
              <m:r>
                <m:t>k</m:t>
              </m:r>
              <m:r>
                <m:rPr>
                  <m:sty m:val="p"/>
                </m:rPr>
                <m:t>=</m:t>
              </m:r>
              <m:r>
                <m:t>1</m:t>
              </m:r>
            </m:sub>
            <m:sup>
              <m:r>
                <m:t>p</m:t>
              </m:r>
            </m:sup>
            <m:e>
              <m:sSub>
                <m:e>
                  <m:r>
                    <m:t>C</m:t>
                  </m:r>
                </m:e>
                <m:sub>
                  <m:r>
                    <m:t>k</m:t>
                  </m:r>
                </m:sub>
              </m:sSub>
            </m:e>
          </m:nary>
          <m:r>
            <m:rPr>
              <m:sty m:val="p"/>
            </m:rPr>
            <m:t>.</m:t>
          </m:r>
        </m:oMath>
      </m:oMathPara>
    </w:p>
    <w:p>
      <w:pPr>
        <w:pStyle w:val="FirstParagraph"/>
      </w:pPr>
      <w:r>
        <w:t xml:space="preserve">Chaque structure contribue donc à une partie de la variabilité totale (</w:t>
      </w:r>
      <w:hyperlink w:anchor="fig-c7-variogramme-imbrique">
        <w:r>
          <w:rPr>
            <w:rStyle w:val="Hyperlink"/>
          </w:rPr>
          <w:t xml:space="preserve">Figure 15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1" w:name="fig-c7-variogramme-imbrique"/>
          <w:p>
            <w:pPr>
              <w:pStyle w:val="Compact"/>
              <w:jc w:val="center"/>
            </w:pPr>
            <w:r>
              <w:drawing>
                <wp:inline>
                  <wp:extent cx="4800600" cy="3222847"/>
                  <wp:effectExtent b="0" l="0" r="0" t="0"/>
                  <wp:docPr descr="" title="" id="179" name="Picture"/>
                  <a:graphic>
                    <a:graphicData uri="http://schemas.openxmlformats.org/drawingml/2006/picture">
                      <pic:pic>
                        <pic:nvPicPr>
                          <pic:cNvPr descr="images/c7_01_variogramme_imbrique.png" id="180" name="Picture"/>
                          <pic:cNvPicPr>
                            <a:picLocks noChangeArrowheads="1" noChangeAspect="1"/>
                          </pic:cNvPicPr>
                        </pic:nvPicPr>
                        <pic:blipFill>
                          <a:blip r:embed="rId178"/>
                          <a:stretch>
                            <a:fillRect/>
                          </a:stretch>
                        </pic:blipFill>
                        <pic:spPr bwMode="auto">
                          <a:xfrm>
                            <a:off x="0" y="0"/>
                            <a:ext cx="4800600" cy="3222847"/>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Décomposition d’un modèle imbriqué : variogramme total et ses composantes (pépite, sphérique de courte portée, sphérique de longue portée).</w:t>
            </w:r>
          </w:p>
          <w:bookmarkEnd w:id="181"/>
        </w:tc>
      </w:tr>
    </w:tbl>
    <w:bookmarkStart w:id="182" w:name="exemple-à-deux-structures"/>
    <w:p>
      <w:pPr>
        <w:pStyle w:val="Heading3"/>
      </w:pPr>
      <w:r>
        <w:t xml:space="preserve">Exemple à deux structures</w:t>
      </w:r>
    </w:p>
    <w:p>
      <w:pPr>
        <w:pStyle w:val="FirstParagraph"/>
      </w:pPr>
      <w:r>
        <w:t xml:space="preserve">Considérons un modèle formé :</w:t>
      </w:r>
    </w:p>
    <w:p>
      <w:pPr>
        <w:pStyle w:val="Compact"/>
        <w:numPr>
          <w:ilvl w:val="0"/>
          <w:numId w:val="1039"/>
        </w:numPr>
      </w:pPr>
      <w:r>
        <w:t xml:space="preserve">d’un effet de pépite</w:t>
      </w:r>
      <w:r>
        <w:t xml:space="preserve"> </w:t>
      </w:r>
      <m:oMath>
        <m:sSub>
          <m:e>
            <m:r>
              <m:t>C</m:t>
            </m:r>
          </m:e>
          <m:sub>
            <m:r>
              <m:t>0</m:t>
            </m:r>
          </m:sub>
        </m:sSub>
      </m:oMath>
      <w:r>
        <w:t xml:space="preserve">;</w:t>
      </w:r>
    </w:p>
    <w:p>
      <w:pPr>
        <w:pStyle w:val="Compact"/>
        <w:numPr>
          <w:ilvl w:val="0"/>
          <w:numId w:val="1039"/>
        </w:numPr>
      </w:pPr>
      <w:r>
        <w:t xml:space="preserve">d’une structure sphérique de courte portée</w:t>
      </w:r>
      <w:r>
        <w:t xml:space="preserve"> </w:t>
      </w:r>
      <m:oMath>
        <m:sSub>
          <m:e>
            <m:r>
              <m:t>a</m:t>
            </m:r>
          </m:e>
          <m:sub>
            <m:r>
              <m:t>1</m:t>
            </m:r>
          </m:sub>
        </m:sSub>
      </m:oMath>
      <w:r>
        <w:t xml:space="preserve"> </w:t>
      </w:r>
      <w:r>
        <w:t xml:space="preserve">et de palier partiel</w:t>
      </w:r>
      <w:r>
        <w:t xml:space="preserve"> </w:t>
      </w:r>
      <m:oMath>
        <m:sSub>
          <m:e>
            <m:r>
              <m:t>C</m:t>
            </m:r>
          </m:e>
          <m:sub>
            <m:r>
              <m:t>1</m:t>
            </m:r>
          </m:sub>
        </m:sSub>
      </m:oMath>
      <w:r>
        <w:t xml:space="preserve">;</w:t>
      </w:r>
    </w:p>
    <w:p>
      <w:pPr>
        <w:pStyle w:val="Compact"/>
        <w:numPr>
          <w:ilvl w:val="0"/>
          <w:numId w:val="1039"/>
        </w:numPr>
      </w:pPr>
      <w:r>
        <w:t xml:space="preserve">d’une structure exponentielle de plus longue portée</w:t>
      </w:r>
      <w:r>
        <w:t xml:space="preserve"> </w:t>
      </w:r>
      <m:oMath>
        <m:sSub>
          <m:e>
            <m:r>
              <m:t>a</m:t>
            </m:r>
          </m:e>
          <m:sub>
            <m:r>
              <m:t>2</m:t>
            </m:r>
          </m:sub>
        </m:sSub>
      </m:oMath>
      <w:r>
        <w:t xml:space="preserve"> </w:t>
      </w:r>
      <w:r>
        <w:t xml:space="preserve">et de palier partiel</w:t>
      </w:r>
      <w:r>
        <w:t xml:space="preserve"> </w:t>
      </w:r>
      <m:oMath>
        <m:sSub>
          <m:e>
            <m:r>
              <m:t>C</m:t>
            </m:r>
          </m:e>
          <m:sub>
            <m:r>
              <m:t>2</m:t>
            </m:r>
          </m:sub>
        </m:sSub>
      </m:oMath>
      <w:r>
        <w:t xml:space="preserve">.</w:t>
      </w:r>
    </w:p>
    <w:p>
      <w:pPr>
        <w:pStyle w:val="FirstParagraph"/>
      </w:pPr>
      <w:r>
        <w:t xml:space="preserve">Le modèle s’écrit :</w:t>
      </w:r>
    </w:p>
    <w:p>
      <w:pPr>
        <w:pStyle w:val="BodyText"/>
      </w:pPr>
      <m:oMathPara>
        <m:oMathParaPr>
          <m:jc m:val="center"/>
        </m:oMathParaPr>
        <m:oMath>
          <m:r>
            <m:t>γ</m:t>
          </m:r>
          <m:d>
            <m:dPr>
              <m:begChr m:val="("/>
              <m:sepChr m:val=""/>
              <m:endChr m:val=")"/>
              <m:grow/>
            </m:dPr>
            <m:e>
              <m:r>
                <m:t>h</m:t>
              </m:r>
            </m:e>
          </m:d>
          <m:r>
            <m:rPr>
              <m:sty m:val="p"/>
            </m:rPr>
            <m:t>=</m:t>
          </m:r>
          <m:sSub>
            <m:e>
              <m:r>
                <m:t>C</m:t>
              </m:r>
            </m:e>
            <m:sub>
              <m:r>
                <m:t>0</m:t>
              </m:r>
            </m:sub>
          </m:sSub>
          <m:r>
            <m:t> </m:t>
          </m:r>
          <m:sSub>
            <m:e>
              <m:r>
                <m:rPr>
                  <m:sty m:val="p"/>
                  <m:scr m:val="double-struck"/>
                </m:rPr>
                <m:t>1</m:t>
              </m:r>
            </m:e>
            <m:sub>
              <m:r>
                <m:rPr>
                  <m:sty m:val="p"/>
                </m:rPr>
                <m:t>{</m:t>
              </m:r>
              <m:r>
                <m:t>h</m:t>
              </m:r>
              <m:r>
                <m:rPr>
                  <m:sty m:val="p"/>
                </m:rPr>
                <m:t>&gt;</m:t>
              </m:r>
              <m:r>
                <m:t>0</m:t>
              </m:r>
              <m:r>
                <m:rPr>
                  <m:sty m:val="p"/>
                </m:rPr>
                <m:t>}</m:t>
              </m:r>
            </m:sub>
          </m:sSub>
          <m:r>
            <m:rPr>
              <m:sty m:val="p"/>
            </m:rPr>
            <m:t>+</m:t>
          </m:r>
          <m:sSub>
            <m:e>
              <m:r>
                <m:t>C</m:t>
              </m:r>
            </m:e>
            <m:sub>
              <m:r>
                <m:t>1</m:t>
              </m:r>
            </m:sub>
          </m:sSub>
          <m:r>
            <m:t> </m:t>
          </m:r>
          <m:sSub>
            <m:e>
              <m:r>
                <m:t>g</m:t>
              </m:r>
            </m:e>
            <m:sub>
              <m:r>
                <m:rPr>
                  <m:sty m:val="p"/>
                </m:rPr>
                <m:t>s</m:t>
              </m:r>
              <m:r>
                <m:rPr>
                  <m:sty m:val="p"/>
                </m:rPr>
                <m:t>p</m:t>
              </m:r>
              <m:r>
                <m:rPr>
                  <m:sty m:val="p"/>
                </m:rPr>
                <m:t>h</m:t>
              </m:r>
            </m:sub>
          </m:sSub>
          <m:d>
            <m:dPr>
              <m:begChr m:val="("/>
              <m:sepChr m:val=""/>
              <m:endChr m:val=")"/>
              <m:grow/>
            </m:dPr>
            <m:e>
              <m:r>
                <m:t>h</m:t>
              </m:r>
              <m:r>
                <m:rPr>
                  <m:sty m:val="p"/>
                </m:rPr>
                <m:t>;</m:t>
              </m:r>
              <m:sSub>
                <m:e>
                  <m:r>
                    <m:t>a</m:t>
                  </m:r>
                </m:e>
                <m:sub>
                  <m:r>
                    <m:t>1</m:t>
                  </m:r>
                </m:sub>
              </m:sSub>
            </m:e>
          </m:d>
          <m:r>
            <m:rPr>
              <m:sty m:val="p"/>
            </m:rPr>
            <m:t>+</m:t>
          </m:r>
          <m:sSub>
            <m:e>
              <m:r>
                <m:t>C</m:t>
              </m:r>
            </m:e>
            <m:sub>
              <m:r>
                <m:t>2</m:t>
              </m:r>
            </m:sub>
          </m:sSub>
          <m:r>
            <m:t> </m:t>
          </m:r>
          <m:sSub>
            <m:e>
              <m:r>
                <m:t>g</m:t>
              </m:r>
            </m:e>
            <m:sub>
              <m:r>
                <m:rPr>
                  <m:sty m:val="p"/>
                </m:rPr>
                <m:t>e</m:t>
              </m:r>
              <m:r>
                <m:rPr>
                  <m:sty m:val="p"/>
                </m:rPr>
                <m:t>x</m:t>
              </m:r>
              <m:r>
                <m:rPr>
                  <m:sty m:val="p"/>
                </m:rPr>
                <m:t>p</m:t>
              </m:r>
            </m:sub>
          </m:sSub>
          <m:d>
            <m:dPr>
              <m:begChr m:val="("/>
              <m:sepChr m:val=""/>
              <m:endChr m:val=")"/>
              <m:grow/>
            </m:dPr>
            <m:e>
              <m:r>
                <m:t>h</m:t>
              </m:r>
              <m:r>
                <m:rPr>
                  <m:sty m:val="p"/>
                </m:rPr>
                <m:t>;</m:t>
              </m:r>
              <m:sSub>
                <m:e>
                  <m:r>
                    <m:t>a</m:t>
                  </m:r>
                </m:e>
                <m:sub>
                  <m:r>
                    <m:t>2</m:t>
                  </m:r>
                </m:sub>
              </m:sSub>
            </m:e>
          </m:d>
          <m:r>
            <m:rPr>
              <m:sty m:val="p"/>
            </m:rPr>
            <m:t>,</m:t>
          </m:r>
        </m:oMath>
      </m:oMathPara>
    </w:p>
    <w:p>
      <w:pPr>
        <w:pStyle w:val="FirstParagraph"/>
      </w:pPr>
      <w:r>
        <w:t xml:space="preserve">avec :</w:t>
      </w:r>
    </w:p>
    <w:p>
      <w:pPr>
        <w:pStyle w:val="BodyText"/>
      </w:pPr>
      <m:oMathPara>
        <m:oMathParaPr>
          <m:jc m:val="center"/>
        </m:oMathParaPr>
        <m:oMath>
          <m:sSub>
            <m:e>
              <m:r>
                <m:t>a</m:t>
              </m:r>
            </m:e>
            <m:sub>
              <m:r>
                <m:t>1</m:t>
              </m:r>
            </m:sub>
          </m:sSub>
          <m:r>
            <m:rPr>
              <m:sty m:val="p"/>
            </m:rPr>
            <m:t>&lt;</m:t>
          </m:r>
          <m:sSub>
            <m:e>
              <m:r>
                <m:t>a</m:t>
              </m:r>
            </m:e>
            <m:sub>
              <m:r>
                <m:t>2</m:t>
              </m:r>
            </m:sub>
          </m:sSub>
          <m:r>
            <m:rPr>
              <m:sty m:val="p"/>
            </m:rPr>
            <m:t>.</m:t>
          </m:r>
        </m:oMath>
      </m:oMathPara>
    </w:p>
    <w:p>
      <w:pPr>
        <w:pStyle w:val="FirstParagraph"/>
      </w:pPr>
      <w:r>
        <w:t xml:space="preserve">La première structure contrôle principalement la croissance du variogramme aux faibles distances. La seconde prolonge cette croissance à une échelle plus grande jusqu’au palier total :</w:t>
      </w:r>
    </w:p>
    <w:p>
      <w:pPr>
        <w:pStyle w:val="BodyText"/>
      </w:pPr>
      <m:oMathPara>
        <m:oMathParaPr>
          <m:jc m:val="center"/>
        </m:oMathParaPr>
        <m:oMath>
          <m:sSub>
            <m:e>
              <m:r>
                <m:t>C</m:t>
              </m:r>
            </m:e>
            <m:sub>
              <m:r>
                <m:rPr>
                  <m:sty m:val="p"/>
                </m:rPr>
                <m:t>t</m:t>
              </m:r>
              <m:r>
                <m:rPr>
                  <m:sty m:val="p"/>
                </m:rPr>
                <m:t>o</m:t>
              </m:r>
              <m:r>
                <m:rPr>
                  <m:sty m:val="p"/>
                </m:rPr>
                <m:t>t</m:t>
              </m:r>
            </m:sub>
          </m:sSub>
          <m:r>
            <m:rPr>
              <m:sty m:val="p"/>
            </m:rPr>
            <m:t>=</m:t>
          </m:r>
          <m:sSub>
            <m:e>
              <m:r>
                <m:t>C</m:t>
              </m:r>
            </m:e>
            <m:sub>
              <m:r>
                <m:t>0</m:t>
              </m:r>
            </m:sub>
          </m:sSub>
          <m:r>
            <m:rPr>
              <m:sty m:val="p"/>
            </m:rPr>
            <m:t>+</m:t>
          </m:r>
          <m:sSub>
            <m:e>
              <m:r>
                <m:t>C</m:t>
              </m:r>
            </m:e>
            <m:sub>
              <m:r>
                <m:t>1</m:t>
              </m:r>
            </m:sub>
          </m:sSub>
          <m:r>
            <m:rPr>
              <m:sty m:val="p"/>
            </m:rPr>
            <m:t>+</m:t>
          </m:r>
          <m:sSub>
            <m:e>
              <m:r>
                <m:t>C</m:t>
              </m:r>
            </m:e>
            <m:sub>
              <m:r>
                <m:t>2</m:t>
              </m:r>
            </m:sub>
          </m:sSub>
          <m:r>
            <m:rPr>
              <m:sty m:val="p"/>
            </m:rPr>
            <m:t>.</m:t>
          </m:r>
        </m:oMath>
      </m:oMathPara>
    </w:p>
    <w:p>
      <w:pPr>
        <w:pStyle w:val="FirstParagraph"/>
      </w:pPr>
      <w:r>
        <w:t xml:space="preserve">Le variogramme peut ainsi présenter plusieurs changements de pente correspondant à différentes échelles de continuité.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Composante</w:t>
            </w:r>
          </w:p>
        </w:tc>
        <w:tc>
          <w:tcPr/>
          <w:p>
            <w:pPr>
              <w:pStyle w:val="Compact"/>
              <w:jc w:val="left"/>
            </w:pPr>
            <w:r>
              <w:t xml:space="preserve">Paramètre principal</w:t>
            </w:r>
          </w:p>
        </w:tc>
        <w:tc>
          <w:tcPr/>
          <w:p>
            <w:pPr>
              <w:pStyle w:val="Compact"/>
              <w:jc w:val="left"/>
            </w:pPr>
            <w:r>
              <w:t xml:space="preserve">Contribution au modèle</w:t>
            </w:r>
          </w:p>
        </w:tc>
      </w:tr>
      <w:tr>
        <w:tc>
          <w:tcPr/>
          <w:p>
            <w:pPr>
              <w:pStyle w:val="Compact"/>
              <w:jc w:val="left"/>
            </w:pPr>
            <w:r>
              <w:t xml:space="preserve">Effet de pépite</w:t>
            </w:r>
          </w:p>
        </w:tc>
        <w:tc>
          <w:tcPr/>
          <w:p>
            <w:pPr>
              <w:pStyle w:val="Compact"/>
              <w:jc w:val="left"/>
            </w:pPr>
            <m:oMath>
              <m:sSub>
                <m:e>
                  <m:r>
                    <m:t>C</m:t>
                  </m:r>
                </m:e>
                <m:sub>
                  <m:r>
                    <m:t>0</m:t>
                  </m:r>
                </m:sub>
              </m:sSub>
            </m:oMath>
          </w:p>
        </w:tc>
        <w:tc>
          <w:tcPr/>
          <w:p>
            <w:pPr>
              <w:pStyle w:val="Compact"/>
              <w:jc w:val="left"/>
            </w:pPr>
            <w:r>
              <w:t xml:space="preserve">Variabilité non résolue à très courte distance</w:t>
            </w:r>
          </w:p>
        </w:tc>
      </w:tr>
      <w:tr>
        <w:tc>
          <w:tcPr/>
          <w:p>
            <w:pPr>
              <w:pStyle w:val="Compact"/>
              <w:jc w:val="left"/>
            </w:pPr>
            <w:r>
              <w:t xml:space="preserve">Structure 1</w:t>
            </w:r>
          </w:p>
        </w:tc>
        <w:tc>
          <w:tcPr/>
          <w:p>
            <w:pPr>
              <w:pStyle w:val="Compact"/>
              <w:jc w:val="left"/>
            </w:pPr>
            <m:oMath>
              <m:sSub>
                <m:e>
                  <m:r>
                    <m:t>C</m:t>
                  </m:r>
                </m:e>
                <m:sub>
                  <m:r>
                    <m:t>1</m:t>
                  </m:r>
                </m:sub>
              </m:sSub>
            </m:oMath>
            <w:r>
              <w:t xml:space="preserve">,</w:t>
            </w:r>
            <w:r>
              <w:t xml:space="preserve"> </w:t>
            </w:r>
            <m:oMath>
              <m:sSub>
                <m:e>
                  <m:r>
                    <m:t>a</m:t>
                  </m:r>
                </m:e>
                <m:sub>
                  <m:r>
                    <m:t>1</m:t>
                  </m:r>
                </m:sub>
              </m:sSub>
            </m:oMath>
          </w:p>
        </w:tc>
        <w:tc>
          <w:tcPr/>
          <w:p>
            <w:pPr>
              <w:pStyle w:val="Compact"/>
              <w:jc w:val="left"/>
            </w:pPr>
            <w:r>
              <w:t xml:space="preserve">Continuité à courte distance</w:t>
            </w:r>
          </w:p>
        </w:tc>
      </w:tr>
      <w:tr>
        <w:tc>
          <w:tcPr/>
          <w:p>
            <w:pPr>
              <w:pStyle w:val="Compact"/>
              <w:jc w:val="left"/>
            </w:pPr>
            <w:r>
              <w:t xml:space="preserve">Structure 2</w:t>
            </w:r>
          </w:p>
        </w:tc>
        <w:tc>
          <w:tcPr/>
          <w:p>
            <w:pPr>
              <w:pStyle w:val="Compact"/>
              <w:jc w:val="left"/>
            </w:pPr>
            <m:oMath>
              <m:sSub>
                <m:e>
                  <m:r>
                    <m:t>C</m:t>
                  </m:r>
                </m:e>
                <m:sub>
                  <m:r>
                    <m:t>2</m:t>
                  </m:r>
                </m:sub>
              </m:sSub>
            </m:oMath>
            <w:r>
              <w:t xml:space="preserve">,</w:t>
            </w:r>
            <w:r>
              <w:t xml:space="preserve"> </w:t>
            </w:r>
            <m:oMath>
              <m:sSub>
                <m:e>
                  <m:r>
                    <m:t>a</m:t>
                  </m:r>
                </m:e>
                <m:sub>
                  <m:r>
                    <m:t>2</m:t>
                  </m:r>
                </m:sub>
              </m:sSub>
            </m:oMath>
          </w:p>
        </w:tc>
        <w:tc>
          <w:tcPr/>
          <w:p>
            <w:pPr>
              <w:pStyle w:val="Compact"/>
              <w:jc w:val="left"/>
            </w:pPr>
            <w:r>
              <w:t xml:space="preserve">Continuité à plus grande distance</w:t>
            </w:r>
          </w:p>
        </w:tc>
      </w:tr>
    </w:tbl>
    <w:bookmarkEnd w:id="182"/>
    <w:bookmarkStart w:id="185" w:name="interprétation-et-ajustement"/>
    <w:p>
      <w:pPr>
        <w:pStyle w:val="Heading3"/>
      </w:pPr>
      <w:r>
        <w:t xml:space="preserve">Interprétation et ajustement</w:t>
      </w:r>
    </w:p>
    <w:p>
      <w:pPr>
        <w:pStyle w:val="FirstParagraph"/>
      </w:pPr>
      <w:r>
        <w:t xml:space="preserve">L’ajout d’une structure doit être justifié par une caractéristique persistante du variogramme expérimental, par exemple :</w:t>
      </w:r>
    </w:p>
    <w:p>
      <w:pPr>
        <w:pStyle w:val="Compact"/>
        <w:numPr>
          <w:ilvl w:val="0"/>
          <w:numId w:val="1040"/>
        </w:numPr>
      </w:pPr>
      <w:r>
        <w:t xml:space="preserve">un changement net de pente;</w:t>
      </w:r>
    </w:p>
    <w:p>
      <w:pPr>
        <w:pStyle w:val="Compact"/>
        <w:numPr>
          <w:ilvl w:val="0"/>
          <w:numId w:val="1040"/>
        </w:numPr>
      </w:pPr>
      <w:r>
        <w:t xml:space="preserve">plusieurs échelles de continuité;</w:t>
      </w:r>
    </w:p>
    <w:p>
      <w:pPr>
        <w:pStyle w:val="Compact"/>
        <w:numPr>
          <w:ilvl w:val="0"/>
          <w:numId w:val="1040"/>
        </w:numPr>
      </w:pPr>
      <w:r>
        <w:t xml:space="preserve">des comportements directionnels différents selon la distance;</w:t>
      </w:r>
    </w:p>
    <w:p>
      <w:pPr>
        <w:pStyle w:val="Compact"/>
        <w:numPr>
          <w:ilvl w:val="0"/>
          <w:numId w:val="1040"/>
        </w:numPr>
      </w:pPr>
      <w:r>
        <w:t xml:space="preserve">une interprétation géologique plausible.</w:t>
      </w:r>
    </w:p>
    <w:p>
      <w:pPr>
        <w:pStyle w:val="FirstParagraph"/>
      </w:pPr>
      <w:r>
        <w:t xml:space="preserve">Chaque structure peut posséder sa propre portée et sa propre anisotropie. Une structure à courte portée peut, par exemple, être presque isotrope, tandis qu’une structure à grande portée peut être fortement anisotrope.</w:t>
      </w:r>
    </w:p>
    <w:p>
      <w:pPr>
        <w:pStyle w:val="BodyText"/>
      </w:pPr>
      <w:r>
        <w:t xml:space="preserve">Cette souplesse augmente toutefois le nombre de paramètres à estimer. Des modèles différents peuvent alors produire des courbes très semblables, surtout lorsque certaines classes de distance contiennent peu de paires. Il faut donc privilégier le modèle le plus simple qui représente adéquatement les principales caractéristiques observées.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3" name="Picture"/>
                  <a:graphic>
                    <a:graphicData uri="http://schemas.openxmlformats.org/drawingml/2006/picture">
                      <pic:pic>
                        <pic:nvPicPr>
                          <pic:cNvPr descr="C:\Users\danyl\AppData\Local\Programs\Quarto\share\formats\docx\important.png" id="18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Les différentes structures d’un modèle imbriqué ne correspondent pas nécessairement à des processus géologiques distincts. Elles constituent d’abord une représentation mathématique de plusieurs échelles de continuité. Toute interprétation géologique doit être appuyée par des informations indépendantes.</w:t>
            </w:r>
          </w:p>
          <w:p/>
        </w:tc>
      </w:tr>
    </w:tbl>
    <w:p>
      <w:pPr>
        <w:pStyle w:val="BodyText"/>
      </w:pPr>
      <w:r>
        <w:t xml:space="preserve">Si l’une des composantes ne possède pas de palier, comme un modèle de puissance, le modèle imbriqué complet ne possède pas non plus de palier total fini.</w:t>
      </w:r>
    </w:p>
    <w:bookmarkEnd w:id="185"/>
    <w:bookmarkEnd w:id="186"/>
    <w:bookmarkStart w:id="187" w:name="X1916b5f23197e5226cfb50495298e4ad25ab412"/>
    <w:p>
      <w:pPr>
        <w:pStyle w:val="Heading2"/>
      </w:pPr>
      <w:r>
        <w:t xml:space="preserve">🧮 Atelier interactif 7.7 — Calculateur de variogramme imbriqué</w:t>
      </w:r>
    </w:p>
    <w:p>
      <w:pPr>
        <w:pStyle w:val="FirstParagraph"/>
      </w:pPr>
      <w:r>
        <w:t xml:space="preserve">Cet atelier interactif est disponible uniquement dans la version web du chapitre. Il montre comment plusieurs structures admissibles peuvent être additionnées pour représenter différentes échelles de continuité spatiale.</w:t>
      </w:r>
    </w:p>
    <w:bookmarkEnd w:id="187"/>
    <w:bookmarkStart w:id="194" w:name="X88e88e41dea7cc2c0068108a7e37821ac213f8f"/>
    <w:p>
      <w:pPr>
        <w:pStyle w:val="Heading2"/>
      </w:pPr>
      <w:r>
        <w:t xml:space="preserve">7 Remarques pratiques concernant le variogramme</w:t>
      </w:r>
    </w:p>
    <w:bookmarkStart w:id="188" w:name="fiabilité-des-points-expérimentaux"/>
    <w:p>
      <w:pPr>
        <w:pStyle w:val="Heading3"/>
      </w:pPr>
      <w:r>
        <w:t xml:space="preserve">Fiabilité des points expérimentaux</w:t>
      </w:r>
    </w:p>
    <w:p>
      <w:pPr>
        <w:pStyle w:val="FirstParagraph"/>
      </w:pPr>
      <w:r>
        <w:t xml:space="preserve">Tous les points d’un variogramme expérimental ne sont pas également fiables. Le nombre de paires</w:t>
      </w:r>
      <w:r>
        <w:t xml:space="preserve"> </w:t>
      </w:r>
      <m:oMath>
        <m:r>
          <m:t>N</m:t>
        </m:r>
        <m:d>
          <m:dPr>
            <m:begChr m:val="("/>
            <m:sepChr m:val=""/>
            <m:endChr m:val=")"/>
            <m:grow/>
          </m:dPr>
          <m:e>
            <m:r>
              <m:t>h</m:t>
            </m:r>
          </m:e>
        </m:d>
      </m:oMath>
      <w:r>
        <w:t xml:space="preserve"> </w:t>
      </w:r>
      <w:r>
        <w:t xml:space="preserve">constitue un premier indicateur, mais il ne suffit pas à lui seul : une même observation peut participer à plusieurs paires, et des paires nombreuses peuvent rester spatialement redondantes.</w:t>
      </w:r>
    </w:p>
    <w:p>
      <w:pPr>
        <w:pStyle w:val="BodyText"/>
      </w:pPr>
      <w:r>
        <w:t xml:space="preserve">La règle des 30 paires par classe peut servir de repère :</w:t>
      </w:r>
    </w:p>
    <w:p>
      <w:pPr>
        <w:pStyle w:val="Compact"/>
        <w:numPr>
          <w:ilvl w:val="0"/>
          <w:numId w:val="1041"/>
        </w:numPr>
      </w:pPr>
      <w:r>
        <w:t xml:space="preserve">plus de 30 paires : point généralement mieux renseigné;</w:t>
      </w:r>
    </w:p>
    <w:p>
      <w:pPr>
        <w:pStyle w:val="Compact"/>
        <w:numPr>
          <w:ilvl w:val="0"/>
          <w:numId w:val="1041"/>
        </w:numPr>
      </w:pPr>
      <w:r>
        <w:t xml:space="preserve">de 10 à 30 paires : interprétation prudente;</w:t>
      </w:r>
    </w:p>
    <w:p>
      <w:pPr>
        <w:pStyle w:val="Compact"/>
        <w:numPr>
          <w:ilvl w:val="0"/>
          <w:numId w:val="1041"/>
        </w:numPr>
      </w:pPr>
      <w:r>
        <w:t xml:space="preserve">moins de 10 paires : point souvent trop instable pour guider seul l’ajustement.</w:t>
      </w:r>
    </w:p>
    <w:p>
      <w:pPr>
        <w:pStyle w:val="FirstParagraph"/>
      </w:pPr>
      <w:r>
        <w:t xml:space="preserve">Ces seuils ne sont pas absolus. Il faut aussi examiner la répartition des paires, la présence de valeurs extrêmes et la cohérence des classes voisines.</w:t>
      </w:r>
    </w:p>
    <w:p>
      <w:pPr>
        <w:pStyle w:val="BodyText"/>
      </w:pPr>
      <w:r>
        <w:t xml:space="preserve">Les premières classes sont particulièrement importantes, car elles renseignent sur la continuité à courte distance, la pente à l’origine et l’effet de pépite. Toutefois, si la distance minimale entre les observations est trop grande, il devient difficile de distinguer un effet de pépite d’une structure de très courte portée.</w:t>
      </w:r>
    </w:p>
    <w:p>
      <w:pPr>
        <w:pStyle w:val="BodyText"/>
      </w:pPr>
      <w:r>
        <w:t xml:space="preserve">À grande distance, les points sont souvent moins stables. Une distance maximale d’environ la moitié de l’étendue du domaine peut servir de point de départ :</w:t>
      </w:r>
    </w:p>
    <w:p>
      <w:pPr>
        <w:pStyle w:val="BodyText"/>
      </w:pPr>
      <m:oMathPara>
        <m:oMathParaPr>
          <m:jc m:val="center"/>
        </m:oMathParaPr>
        <m:oMath>
          <m:sSub>
            <m:e>
              <m:r>
                <m:t>h</m:t>
              </m:r>
            </m:e>
            <m:sub>
              <m:r>
                <m:rPr>
                  <m:sty m:val="p"/>
                </m:rPr>
                <m:t>max</m:t>
              </m:r>
            </m:sub>
          </m:sSub>
          <m:r>
            <m:rPr>
              <m:sty m:val="p"/>
            </m:rPr>
            <m:t>≈</m:t>
          </m:r>
          <m:f>
            <m:fPr>
              <m:type m:val="bar"/>
            </m:fPr>
            <m:num>
              <m:sSub>
                <m:e>
                  <m:r>
                    <m:t>d</m:t>
                  </m:r>
                </m:e>
                <m:sub>
                  <m:r>
                    <m:rPr>
                      <m:sty m:val="p"/>
                    </m:rPr>
                    <m:t>max</m:t>
                  </m:r>
                </m:sub>
              </m:sSub>
            </m:num>
            <m:den>
              <m:r>
                <m:t>2</m:t>
              </m:r>
            </m:den>
          </m:f>
          <m:r>
            <m:rPr>
              <m:sty m:val="p"/>
            </m:rPr>
            <m:t>.</m:t>
          </m:r>
        </m:oMath>
      </m:oMathPara>
    </w:p>
    <w:p>
      <w:pPr>
        <w:pStyle w:val="FirstParagraph"/>
      </w:pPr>
      <w:r>
        <w:t xml:space="preserve">Cette règle doit être adaptée à la distribution réelle des paires et à la distance à laquelle le variogramme semble atteindre son palier.</w:t>
      </w:r>
    </w:p>
    <w:bookmarkEnd w:id="188"/>
    <w:bookmarkStart w:id="189" w:name="analyse-directionnelle-en-2d"/>
    <w:p>
      <w:pPr>
        <w:pStyle w:val="Heading3"/>
      </w:pPr>
      <w:r>
        <w:t xml:space="preserve">Analyse directionnelle en 2D</w:t>
      </w:r>
    </w:p>
    <w:p>
      <w:pPr>
        <w:pStyle w:val="FirstParagraph"/>
      </w:pPr>
      <w:r>
        <w:t xml:space="preserve">En deux dimensions, on peut commencer par un variogramme omnidirectionnel, puis calculer des variogrammes selon les directions suggérées par la géologie et la carte variographique.</w:t>
      </w:r>
    </w:p>
    <w:p>
      <w:pPr>
        <w:pStyle w:val="BodyText"/>
      </w:pPr>
      <w:r>
        <w:t xml:space="preserve">Des directions comme</w:t>
      </w:r>
      <w:r>
        <w:t xml:space="preserve"> </w:t>
      </w:r>
      <m:oMath>
        <m:sSup>
          <m:e>
            <m:r>
              <m:t>0</m:t>
            </m:r>
          </m:e>
          <m:sup>
            <m:r>
              <m:rPr>
                <m:sty m:val="p"/>
              </m:rPr>
              <m:t>∘</m:t>
            </m:r>
          </m:sup>
        </m:sSup>
      </m:oMath>
      <w:r>
        <w:t xml:space="preserve">,</w:t>
      </w:r>
      <w:r>
        <w:t xml:space="preserve"> </w:t>
      </w:r>
      <m:oMath>
        <m:sSup>
          <m:e>
            <m:r>
              <m:t>45</m:t>
            </m:r>
          </m:e>
          <m:sup>
            <m:r>
              <m:rPr>
                <m:sty m:val="p"/>
              </m:rPr>
              <m:t>∘</m:t>
            </m:r>
          </m:sup>
        </m:sSup>
      </m:oMath>
      <w:r>
        <w:t xml:space="preserve">,</w:t>
      </w:r>
      <w:r>
        <w:t xml:space="preserve"> </w:t>
      </w:r>
      <m:oMath>
        <m:sSup>
          <m:e>
            <m:r>
              <m:t>90</m:t>
            </m:r>
          </m:e>
          <m:sup>
            <m:r>
              <m:rPr>
                <m:sty m:val="p"/>
              </m:rPr>
              <m:t>∘</m:t>
            </m:r>
          </m:sup>
        </m:sSup>
      </m:oMath>
      <w:r>
        <w:t xml:space="preserve"> </w:t>
      </w:r>
      <w:r>
        <w:t xml:space="preserve">et</w:t>
      </w:r>
      <w:r>
        <w:t xml:space="preserve"> </w:t>
      </w:r>
      <m:oMath>
        <m:sSup>
          <m:e>
            <m:r>
              <m:t>135</m:t>
            </m:r>
          </m:e>
          <m:sup>
            <m:r>
              <m:rPr>
                <m:sty m:val="p"/>
              </m:rPr>
              <m:t>∘</m:t>
            </m:r>
          </m:sup>
        </m:sSup>
      </m:oMath>
      <w:r>
        <w:t xml:space="preserve"> </w:t>
      </w:r>
      <w:r>
        <w:t xml:space="preserve">sont utiles pour une première exploration, mais elles ne remplacent pas les directions structurales connues.</w:t>
      </w:r>
    </w:p>
    <w:p>
      <w:pPr>
        <w:pStyle w:val="BodyText"/>
      </w:pPr>
      <w:r>
        <w:t xml:space="preserve">Pour chaque direction, il faut vérifier :</w:t>
      </w:r>
    </w:p>
    <w:p>
      <w:pPr>
        <w:pStyle w:val="Compact"/>
        <w:numPr>
          <w:ilvl w:val="0"/>
          <w:numId w:val="1042"/>
        </w:numPr>
      </w:pPr>
      <w:r>
        <w:t xml:space="preserve">le nombre de paires par classe;</w:t>
      </w:r>
    </w:p>
    <w:p>
      <w:pPr>
        <w:pStyle w:val="Compact"/>
        <w:numPr>
          <w:ilvl w:val="0"/>
          <w:numId w:val="1042"/>
        </w:numPr>
      </w:pPr>
      <w:r>
        <w:t xml:space="preserve">la distance maximale correctement renseignée;</w:t>
      </w:r>
    </w:p>
    <w:p>
      <w:pPr>
        <w:pStyle w:val="Compact"/>
        <w:numPr>
          <w:ilvl w:val="0"/>
          <w:numId w:val="1042"/>
        </w:numPr>
      </w:pPr>
      <w:r>
        <w:t xml:space="preserve">la stabilité de la courbe;</w:t>
      </w:r>
    </w:p>
    <w:p>
      <w:pPr>
        <w:pStyle w:val="Compact"/>
        <w:numPr>
          <w:ilvl w:val="0"/>
          <w:numId w:val="1042"/>
        </w:numPr>
      </w:pPr>
      <w:r>
        <w:t xml:space="preserve">la cohérence avec les directions voisines.</w:t>
      </w:r>
    </w:p>
    <w:p>
      <w:pPr>
        <w:pStyle w:val="FirstParagraph"/>
      </w:pPr>
      <w:r>
        <w:t xml:space="preserve">Des portées différentes pour un même palier peuvent indiquer une anisotropie géométrique. Des paliers différents peuvent suggérer une anisotropie zonale, mais aussi une tendance, des populations différentes ou un domaine mal défini.</w:t>
      </w:r>
    </w:p>
    <w:p>
      <w:pPr>
        <w:pStyle w:val="BodyText"/>
      </w:pPr>
      <w:r>
        <w:t xml:space="preserve">L’ajustement doit donc être réalisé simultanément dans les principales directions, plutôt que de fixer d’abord un modèle omnidirectionnel définitif.</w:t>
      </w:r>
    </w:p>
    <w:bookmarkEnd w:id="189"/>
    <w:bookmarkStart w:id="190" w:name="classes-de-distance-et-tolérances"/>
    <w:p>
      <w:pPr>
        <w:pStyle w:val="Heading3"/>
      </w:pPr>
      <w:r>
        <w:t xml:space="preserve">Classes de distance et tolérances</w:t>
      </w:r>
    </w:p>
    <w:p>
      <w:pPr>
        <w:pStyle w:val="FirstParagraph"/>
      </w:pPr>
      <w:r>
        <w:t xml:space="preserve">La largeur des classes contrôle le compromis entre résolution et stabilité :</w:t>
      </w:r>
    </w:p>
    <w:p>
      <w:pPr>
        <w:pStyle w:val="Compact"/>
        <w:numPr>
          <w:ilvl w:val="0"/>
          <w:numId w:val="1043"/>
        </w:numPr>
      </w:pPr>
      <w:r>
        <w:t xml:space="preserve">des classes trop étroites contiennent peu de paires et produisent une courbe irrégulière;</w:t>
      </w:r>
    </w:p>
    <w:p>
      <w:pPr>
        <w:pStyle w:val="Compact"/>
        <w:numPr>
          <w:ilvl w:val="0"/>
          <w:numId w:val="1043"/>
        </w:numPr>
      </w:pPr>
      <w:r>
        <w:t xml:space="preserve">des classes trop larges lissent la structure et peuvent masquer une courte portée.</w:t>
      </w:r>
    </w:p>
    <w:p>
      <w:pPr>
        <w:pStyle w:val="FirstParagraph"/>
      </w:pPr>
      <w:r>
        <w:t xml:space="preserve">Le pas de calcul doit être cohérent avec l’espacement des données. Une tolérance sur la distance égale à environ la moitié du pas est souvent utilisée :</w:t>
      </w:r>
    </w:p>
    <w:p>
      <w:pPr>
        <w:pStyle w:val="BodyText"/>
      </w:pPr>
      <m:oMathPara>
        <m:oMathParaPr>
          <m:jc m:val="center"/>
        </m:oMathParaPr>
        <m:oMath>
          <m:r>
            <m:t>Δ</m:t>
          </m:r>
          <m:r>
            <m:t>h</m:t>
          </m:r>
          <m:r>
            <m:rPr>
              <m:sty m:val="p"/>
            </m:rPr>
            <m:t>≈</m:t>
          </m:r>
          <m:f>
            <m:fPr>
              <m:type m:val="bar"/>
            </m:fPr>
            <m:num>
              <m:sSub>
                <m:e>
                  <m:r>
                    <m:t>h</m:t>
                  </m:r>
                </m:e>
                <m:sub>
                  <m:r>
                    <m:rPr>
                      <m:sty m:val="p"/>
                    </m:rPr>
                    <m:t>p</m:t>
                  </m:r>
                  <m:r>
                    <m:rPr>
                      <m:sty m:val="p"/>
                    </m:rPr>
                    <m:t>a</m:t>
                  </m:r>
                  <m:r>
                    <m:rPr>
                      <m:sty m:val="p"/>
                    </m:rPr>
                    <m:t>s</m:t>
                  </m:r>
                </m:sub>
              </m:sSub>
            </m:num>
            <m:den>
              <m:r>
                <m:t>2</m:t>
              </m:r>
            </m:den>
          </m:f>
          <m:r>
            <m:rPr>
              <m:sty m:val="p"/>
            </m:rPr>
            <m:t>.</m:t>
          </m:r>
        </m:oMath>
      </m:oMathPara>
    </w:p>
    <w:p>
      <w:pPr>
        <w:pStyle w:val="FirstParagraph"/>
      </w:pPr>
      <w:r>
        <w:t xml:space="preserve">Pour les variogrammes directionnels, la tolérance angulaire et la largeur de bande déterminent quelles paires sont retenues. Une tolérance faible distingue mieux les directions, mais réduit le nombre de paires. Une tolérance large stabilise la courbe, mais peut atténuer une anisotropie réelle.</w:t>
      </w:r>
    </w:p>
    <w:p>
      <w:pPr>
        <w:pStyle w:val="BodyText"/>
      </w:pPr>
      <w:r>
        <w:t xml:space="preserve">Des tolérances angulaires de l’ordre de</w:t>
      </w:r>
      <w:r>
        <w:t xml:space="preserve"> </w:t>
      </w:r>
      <m:oMath>
        <m:r>
          <m:rPr>
            <m:sty m:val="p"/>
          </m:rPr>
          <m:t>±</m:t>
        </m:r>
        <m:sSup>
          <m:e>
            <m:r>
              <m:t>10</m:t>
            </m:r>
          </m:e>
          <m:sup>
            <m:r>
              <m:rPr>
                <m:sty m:val="p"/>
              </m:rPr>
              <m:t>∘</m:t>
            </m:r>
          </m:sup>
        </m:sSup>
      </m:oMath>
      <w:r>
        <w:t xml:space="preserve"> </w:t>
      </w:r>
      <w:r>
        <w:t xml:space="preserve">à</w:t>
      </w:r>
      <w:r>
        <w:t xml:space="preserve"> </w:t>
      </w:r>
      <m:oMath>
        <m:r>
          <m:rPr>
            <m:sty m:val="p"/>
          </m:rPr>
          <m:t>±</m:t>
        </m:r>
        <m:r>
          <m:t>22</m:t>
        </m:r>
        <m:r>
          <m:rPr>
            <m:sty m:val="p"/>
          </m:rPr>
          <m:t>,</m:t>
        </m:r>
        <m:sSup>
          <m:e>
            <m:r>
              <m:t>5</m:t>
            </m:r>
          </m:e>
          <m:sup>
            <m:r>
              <m:rPr>
                <m:sty m:val="p"/>
              </m:rPr>
              <m:t>∘</m:t>
            </m:r>
          </m:sup>
        </m:sSup>
      </m:oMath>
      <w:r>
        <w:t xml:space="preserve"> </w:t>
      </w:r>
      <w:r>
        <w:t xml:space="preserve">peuvent servir de valeurs initiales, sans constituer des règles universelles.</w:t>
      </w:r>
    </w:p>
    <w:bookmarkEnd w:id="190"/>
    <w:bookmarkStart w:id="193" w:name="données-3d-et-simplification-en-2d"/>
    <w:p>
      <w:pPr>
        <w:pStyle w:val="Heading3"/>
      </w:pPr>
      <w:r>
        <w:t xml:space="preserve">Données 3D et simplification en 2D</w:t>
      </w:r>
    </w:p>
    <w:p>
      <w:pPr>
        <w:pStyle w:val="FirstParagraph"/>
      </w:pPr>
      <w:r>
        <w:t xml:space="preserve">En trois dimensions, la qualité du variogramme dépend fortement de la géométrie de l’échantillonnage. Dans un contexte minier, les données sont souvent nombreuses le long des forages, mais plus rares entre les forages. Certaines directions peuvent donc être bien renseignées et d’autres presque absentes.</w:t>
      </w:r>
    </w:p>
    <w:p>
      <w:pPr>
        <w:pStyle w:val="BodyText"/>
      </w:pPr>
      <w:r>
        <w:t xml:space="preserve">Les erreurs de localisation, de déviation des forages ou de position des échantillons peuvent également augmenter artificiellement la variabilité à courte distance et contribuer à l’effet de pépite.</w:t>
      </w:r>
    </w:p>
    <w:p>
      <w:pPr>
        <w:pStyle w:val="BodyText"/>
      </w:pPr>
      <w:r>
        <w:t xml:space="preserve">Pour certains gisements minces ou tabulaires, une représentation en deux dimensions peut être appropriée, à condition que la géométrie soit bien définie et que les distances soient calculées dans le plan de la structure.</w:t>
      </w:r>
    </w:p>
    <w:p>
      <w:pPr>
        <w:pStyle w:val="BodyText"/>
      </w:pPr>
      <w:r>
        <w:t xml:space="preserve">On peut alors modéliser séparément :</w:t>
      </w:r>
    </w:p>
    <w:p>
      <w:pPr>
        <w:pStyle w:val="Compact"/>
        <w:numPr>
          <w:ilvl w:val="0"/>
          <w:numId w:val="1044"/>
        </w:numPr>
      </w:pPr>
      <w:r>
        <w:t xml:space="preserve">l’épaisseur vraie</w:t>
      </w:r>
      <w:r>
        <w:t xml:space="preserve"> </w:t>
      </w:r>
      <m:oMath>
        <m:r>
          <m:t>t</m:t>
        </m:r>
      </m:oMath>
      <w:r>
        <w:t xml:space="preserve">;</w:t>
      </w:r>
    </w:p>
    <w:p>
      <w:pPr>
        <w:pStyle w:val="Compact"/>
        <w:numPr>
          <w:ilvl w:val="0"/>
          <w:numId w:val="1044"/>
        </w:numPr>
      </w:pPr>
      <w:r>
        <w:t xml:space="preserve">l’accumulation</w:t>
      </w:r>
      <w:r>
        <w:t xml:space="preserve"> </w:t>
      </w:r>
      <m:oMath>
        <m:r>
          <m:t>A</m:t>
        </m:r>
      </m:oMath>
      <w:r>
        <w:t xml:space="preserve">, définie par :</w:t>
      </w:r>
    </w:p>
    <w:p>
      <w:pPr>
        <w:pStyle w:val="FirstParagraph"/>
      </w:pPr>
      <m:oMathPara>
        <m:oMathParaPr>
          <m:jc m:val="center"/>
        </m:oMathParaPr>
        <m:oMath>
          <m:r>
            <m:t>A</m:t>
          </m:r>
          <m:r>
            <m:rPr>
              <m:sty m:val="p"/>
            </m:rPr>
            <m:t>=</m:t>
          </m:r>
          <m:r>
            <m:t>t</m:t>
          </m:r>
          <m:r>
            <m:t> </m:t>
          </m:r>
          <m:r>
            <m:t>g</m:t>
          </m:r>
          <m:r>
            <m:rPr>
              <m:sty m:val="p"/>
            </m:rPr>
            <m:t>,</m:t>
          </m:r>
        </m:oMath>
      </m:oMathPara>
    </w:p>
    <w:p>
      <w:pPr>
        <w:pStyle w:val="FirstParagraph"/>
      </w:pPr>
      <w:r>
        <w:t xml:space="preserve">où</w:t>
      </w:r>
      <w:r>
        <w:t xml:space="preserve"> </w:t>
      </w:r>
      <m:oMath>
        <m:r>
          <m:t>g</m:t>
        </m:r>
      </m:oMath>
      <w:r>
        <w:t xml:space="preserve"> </w:t>
      </w:r>
      <w:r>
        <w:t xml:space="preserve">est la teneur moyenne.</w:t>
      </w:r>
    </w:p>
    <w:p>
      <w:pPr>
        <w:pStyle w:val="BodyText"/>
      </w:pPr>
      <w:r>
        <w:t xml:space="preserve">Pour deux portions de même surface, la teneur moyenne combinée est :</w:t>
      </w:r>
    </w:p>
    <w:p>
      <w:pPr>
        <w:pStyle w:val="BodyText"/>
      </w:pPr>
      <m:oMathPara>
        <m:oMathParaPr>
          <m:jc m:val="center"/>
        </m:oMathParaPr>
        <m:oMath>
          <m:bar>
            <m:barPr>
              <m:pos m:val="top"/>
            </m:barPr>
            <m:e>
              <m:r>
                <m:t>g</m:t>
              </m:r>
            </m:e>
          </m:bar>
          <m:r>
            <m:rPr>
              <m:sty m:val="p"/>
            </m:rPr>
            <m:t>=</m:t>
          </m:r>
          <m:f>
            <m:fPr>
              <m:type m:val="bar"/>
            </m:fPr>
            <m:num>
              <m:sSub>
                <m:e>
                  <m:r>
                    <m:t>t</m:t>
                  </m:r>
                </m:e>
                <m:sub>
                  <m:r>
                    <m:t>1</m:t>
                  </m:r>
                </m:sub>
              </m:sSub>
              <m:sSub>
                <m:e>
                  <m:r>
                    <m:t>g</m:t>
                  </m:r>
                </m:e>
                <m:sub>
                  <m:r>
                    <m:t>1</m:t>
                  </m:r>
                </m:sub>
              </m:sSub>
              <m:r>
                <m:rPr>
                  <m:sty m:val="p"/>
                </m:rPr>
                <m:t>+</m:t>
              </m:r>
              <m:sSub>
                <m:e>
                  <m:r>
                    <m:t>t</m:t>
                  </m:r>
                </m:e>
                <m:sub>
                  <m:r>
                    <m:t>2</m:t>
                  </m:r>
                </m:sub>
              </m:sSub>
              <m:sSub>
                <m:e>
                  <m:r>
                    <m:t>g</m:t>
                  </m:r>
                </m:e>
                <m:sub>
                  <m:r>
                    <m:t>2</m:t>
                  </m:r>
                </m:sub>
              </m:sSub>
            </m:num>
            <m:den>
              <m:sSub>
                <m:e>
                  <m:r>
                    <m:t>t</m:t>
                  </m:r>
                </m:e>
                <m:sub>
                  <m:r>
                    <m:t>1</m:t>
                  </m:r>
                </m:sub>
              </m:sSub>
              <m:r>
                <m:rPr>
                  <m:sty m:val="p"/>
                </m:rPr>
                <m:t>+</m:t>
              </m:r>
              <m:sSub>
                <m:e>
                  <m:r>
                    <m:t>t</m:t>
                  </m:r>
                </m:e>
                <m:sub>
                  <m:r>
                    <m:t>2</m:t>
                  </m:r>
                </m:sub>
              </m:sSub>
            </m:den>
          </m:f>
          <m:r>
            <m:rPr>
              <m:sty m:val="p"/>
            </m:rPr>
            <m:t>=</m:t>
          </m:r>
          <m:f>
            <m:fPr>
              <m:type m:val="bar"/>
            </m:fPr>
            <m:num>
              <m:sSub>
                <m:e>
                  <m:r>
                    <m:t>A</m:t>
                  </m:r>
                </m:e>
                <m:sub>
                  <m:r>
                    <m:t>1</m:t>
                  </m:r>
                </m:sub>
              </m:sSub>
              <m:r>
                <m:rPr>
                  <m:sty m:val="p"/>
                </m:rPr>
                <m:t>+</m:t>
              </m:r>
              <m:sSub>
                <m:e>
                  <m:r>
                    <m:t>A</m:t>
                  </m:r>
                </m:e>
                <m:sub>
                  <m:r>
                    <m:t>2</m:t>
                  </m:r>
                </m:sub>
              </m:sSub>
            </m:num>
            <m:den>
              <m:sSub>
                <m:e>
                  <m:r>
                    <m:t>t</m:t>
                  </m:r>
                </m:e>
                <m:sub>
                  <m:r>
                    <m:t>1</m:t>
                  </m:r>
                </m:sub>
              </m:sSub>
              <m:r>
                <m:rPr>
                  <m:sty m:val="p"/>
                </m:rPr>
                <m:t>+</m:t>
              </m:r>
              <m:sSub>
                <m:e>
                  <m:r>
                    <m:t>t</m:t>
                  </m:r>
                </m:e>
                <m:sub>
                  <m:r>
                    <m:t>2</m:t>
                  </m:r>
                </m:sub>
              </m:sSub>
            </m:den>
          </m:f>
          <m:r>
            <m:rPr>
              <m:sty m:val="p"/>
            </m:rPr>
            <m:t>.</m:t>
          </m:r>
        </m:oMath>
      </m:oMathPara>
    </w:p>
    <w:p>
      <w:pPr>
        <w:pStyle w:val="FirstParagraph"/>
      </w:pPr>
      <w:r>
        <w:t xml:space="preserve">Dans une approche indirecte, la teneur peut être reconstruite à partir des estimations de l’accumulation et de l’épaisseur :</w:t>
      </w:r>
    </w:p>
    <w:p>
      <w:pPr>
        <w:pStyle w:val="BodyText"/>
      </w:pPr>
      <m:oMathPara>
        <m:oMathParaPr>
          <m:jc m:val="center"/>
        </m:oMathParaPr>
        <m:oMath>
          <m:acc>
            <m:accPr>
              <m:chr m:val="̂"/>
            </m:accPr>
            <m:e>
              <m:r>
                <m:t>g</m:t>
              </m:r>
            </m:e>
          </m:acc>
          <m:r>
            <m:rPr>
              <m:sty m:val="p"/>
            </m:rPr>
            <m:t>=</m:t>
          </m:r>
          <m:f>
            <m:fPr>
              <m:type m:val="bar"/>
            </m:fPr>
            <m:num>
              <m:acc>
                <m:accPr>
                  <m:chr m:val="̂"/>
                </m:accPr>
                <m:e>
                  <m:r>
                    <m:t>A</m:t>
                  </m:r>
                </m:e>
              </m:acc>
            </m:num>
            <m:den>
              <m:acc>
                <m:accPr>
                  <m:chr m:val="̂"/>
                </m:accPr>
                <m:e>
                  <m:r>
                    <m:t>t</m:t>
                  </m:r>
                </m:e>
              </m:acc>
            </m:den>
          </m:f>
          <m:r>
            <m:rPr>
              <m:sty m:val="p"/>
            </m:rPr>
            <m:t>.</m:t>
          </m:r>
        </m:oMath>
      </m:oMathPara>
    </w:p>
    <w:p>
      <w:pPr>
        <w:pStyle w:val="FirstParagraph"/>
      </w:pPr>
      <w:r>
        <w:t xml:space="preserve">Cette approche tient compte des variations d’épaisseur, mais elle peut devenir instable lorsque l’épaisseur estimée est faible. Elle doit donc être comparée à une estimation directe de la teneur.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1" name="Picture"/>
                  <a:graphic>
                    <a:graphicData uri="http://schemas.openxmlformats.org/drawingml/2006/picture">
                      <pic:pic>
                        <pic:nvPicPr>
                          <pic:cNvPr descr="C:\Users\danyl\AppData\Local\Programs\Quarto\share\formats\docx\important.png" id="19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La réduction d’un problème 3D à un problème 2D doit être justifiée par la géométrie du gisement. Elle simplifie la modélisation, mais ne supprime pas l’incertitude liée à l’épaisseur, à l’orientation ou à la localisation des données.</w:t>
            </w:r>
          </w:p>
          <w:p/>
        </w:tc>
      </w:tr>
    </w:tbl>
    <w:bookmarkEnd w:id="193"/>
    <w:bookmarkEnd w:id="194"/>
    <w:bookmarkStart w:id="195" w:name="X51bad2a033b0eee5b8a4e23bb4c743998c2d83e"/>
    <w:p>
      <w:pPr>
        <w:pStyle w:val="Heading2"/>
      </w:pPr>
      <w:r>
        <w:t xml:space="preserve">🧮 Atelier interactif 7.8 — Impact du nombre de données</w:t>
      </w:r>
    </w:p>
    <w:p>
      <w:pPr>
        <w:pStyle w:val="FirstParagraph"/>
      </w:pPr>
      <w:r>
        <w:t xml:space="preserve">Cet atelier interactif n’est disponible que dans la version web du chapitre.</w:t>
      </w:r>
    </w:p>
    <w:bookmarkEnd w:id="195"/>
    <w:bookmarkStart w:id="226" w:name="X66af37b783cd1a8cbe6f98ef42fc501eef43c99"/>
    <w:p>
      <w:pPr>
        <w:pStyle w:val="Heading2"/>
      </w:pPr>
      <w:r>
        <w:t xml:space="preserve">8 Problèmes courants et solutions possibles</w:t>
      </w:r>
    </w:p>
    <w:p>
      <w:pPr>
        <w:pStyle w:val="FirstParagraph"/>
      </w:pPr>
      <w:r>
        <w:t xml:space="preserve">Le variogramme expérimental peut être déformé par la distribution des valeurs, la géométrie de l’échantillonnage, les erreurs de localisation ou le mélange de populations différentes. Ces effets doivent être diagnostiqués avant l’ajustement du modèle.</w:t>
      </w:r>
    </w:p>
    <w:bookmarkStart w:id="200" w:name="données-extrêmes"/>
    <w:p>
      <w:pPr>
        <w:pStyle w:val="Heading3"/>
      </w:pPr>
      <w:r>
        <w:t xml:space="preserve">Données extrêmes</w:t>
      </w:r>
    </w:p>
    <w:p>
      <w:pPr>
        <w:pStyle w:val="FirstParagraph"/>
      </w:pPr>
      <w:r>
        <w:t xml:space="preserve">Le variogramme repose sur des différences au carré. Une valeur extrême peut donc produire de très grandes contributions, surtout si elle participe à plusieurs paires d’une même classe de distance.</w:t>
      </w:r>
    </w:p>
    <w:p>
      <w:pPr>
        <w:pStyle w:val="BodyText"/>
      </w:pPr>
      <w:r>
        <w:t xml:space="preserve">Son influence dépend aussi de sa position dans le domaine. Une valeur extrême située au centre participe généralement à davantage de paires qu’une valeur située en bordure, mais la répartition de ces paires entre les classes peut produire des formes très différentes.</w:t>
      </w:r>
    </w:p>
    <w:p>
      <w:pPr>
        <w:pStyle w:val="BodyText"/>
      </w:pPr>
      <w:r>
        <w:t xml:space="preserve">La</w:t>
      </w:r>
      <w:r>
        <w:t xml:space="preserve"> </w:t>
      </w:r>
      <w:hyperlink w:anchor="fig-extreme">
        <w:r>
          <w:rPr>
            <w:rStyle w:val="Hyperlink"/>
          </w:rPr>
          <w:t xml:space="preserve">Figure 16</w:t>
        </w:r>
      </w:hyperlink>
      <w:r>
        <w:t xml:space="preserve"> </w:t>
      </w:r>
      <w:r>
        <w:t xml:space="preserve">compare l’effet d’une valeur extrême selon sa position dans le domaine.</w:t>
      </w:r>
    </w:p>
    <w:tbl>
      <w:tblPr>
        <w:tblStyle w:val="Table"/>
        <w:tblW w:type="pct" w:w="5000"/>
        <w:tblLayout w:type="fixed"/>
        <w:tblLook w:firstRow="0" w:lastRow="0" w:firstColumn="0" w:lastColumn="0" w:noHBand="0" w:noVBand="0" w:val="0000"/>
      </w:tblPr>
      <w:tblGrid>
        <w:gridCol w:w="7920"/>
      </w:tblGrid>
      <w:tr>
        <w:tc>
          <w:tcPr/>
          <w:bookmarkStart w:id="199" w:name="fig-extreme"/>
          <w:p>
            <w:pPr>
              <w:pStyle w:val="Compact"/>
              <w:jc w:val="center"/>
            </w:pPr>
            <w:r>
              <w:drawing>
                <wp:inline>
                  <wp:extent cx="4623155" cy="4373773"/>
                  <wp:effectExtent b="0" l="0" r="0" t="0"/>
                  <wp:docPr descr="" title="" id="197" name="Picture"/>
                  <a:graphic>
                    <a:graphicData uri="http://schemas.openxmlformats.org/drawingml/2006/picture">
                      <pic:pic>
                        <pic:nvPicPr>
                          <pic:cNvPr descr="images/C7_Extreme.PNG" id="198" name="Picture"/>
                          <pic:cNvPicPr>
                            <a:picLocks noChangeArrowheads="1" noChangeAspect="1"/>
                          </pic:cNvPicPr>
                        </pic:nvPicPr>
                        <pic:blipFill>
                          <a:blip r:embed="rId196"/>
                          <a:stretch>
                            <a:fillRect/>
                          </a:stretch>
                        </pic:blipFill>
                        <pic:spPr bwMode="auto">
                          <a:xfrm>
                            <a:off x="0" y="0"/>
                            <a:ext cx="4623155" cy="4373773"/>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Impact des données extrêmes sur le variogramme expérimental.</w:t>
            </w:r>
          </w:p>
          <w:bookmarkEnd w:id="199"/>
        </w:tc>
      </w:tr>
    </w:tbl>
    <w:p>
      <w:pPr>
        <w:pStyle w:val="BodyText"/>
      </w:pPr>
      <w:r>
        <w:t xml:space="preserve">Avant toute correction, il faut déterminer si la valeur est :</w:t>
      </w:r>
    </w:p>
    <w:p>
      <w:pPr>
        <w:pStyle w:val="Compact"/>
        <w:numPr>
          <w:ilvl w:val="0"/>
          <w:numId w:val="1045"/>
        </w:numPr>
      </w:pPr>
      <w:r>
        <w:t xml:space="preserve">une erreur de saisie, de localisation ou d’analyse;</w:t>
      </w:r>
    </w:p>
    <w:p>
      <w:pPr>
        <w:pStyle w:val="Compact"/>
        <w:numPr>
          <w:ilvl w:val="0"/>
          <w:numId w:val="1045"/>
        </w:numPr>
      </w:pPr>
      <w:r>
        <w:t xml:space="preserve">une observation valide appartenant au même domaine géologique;</w:t>
      </w:r>
    </w:p>
    <w:p>
      <w:pPr>
        <w:pStyle w:val="Compact"/>
        <w:numPr>
          <w:ilvl w:val="0"/>
          <w:numId w:val="1045"/>
        </w:numPr>
      </w:pPr>
      <w:r>
        <w:t xml:space="preserve">une observation valide provenant d’une population différente.</w:t>
      </w:r>
    </w:p>
    <w:p>
      <w:pPr>
        <w:pStyle w:val="FirstParagraph"/>
      </w:pPr>
      <w:r>
        <w:t xml:space="preserve">Une valeur ne doit être supprimée que si une erreur est démontrée. Lorsqu’elle est valide, plusieurs analyses peuvent être comparées :</w:t>
      </w:r>
    </w:p>
    <w:p>
      <w:pPr>
        <w:pStyle w:val="Compact"/>
        <w:numPr>
          <w:ilvl w:val="0"/>
          <w:numId w:val="1046"/>
        </w:numPr>
      </w:pPr>
      <w:r>
        <w:t xml:space="preserve">variogramme avec et sans la valeur, à des fins de diagnostic;</w:t>
      </w:r>
    </w:p>
    <w:p>
      <w:pPr>
        <w:pStyle w:val="Compact"/>
        <w:numPr>
          <w:ilvl w:val="0"/>
          <w:numId w:val="1046"/>
        </w:numPr>
      </w:pPr>
      <w:r>
        <w:t xml:space="preserve">estimateur robuste;</w:t>
      </w:r>
    </w:p>
    <w:p>
      <w:pPr>
        <w:pStyle w:val="Compact"/>
        <w:numPr>
          <w:ilvl w:val="0"/>
          <w:numId w:val="1046"/>
        </w:numPr>
      </w:pPr>
      <w:r>
        <w:t xml:space="preserve">transformation de la variable;</w:t>
      </w:r>
    </w:p>
    <w:p>
      <w:pPr>
        <w:pStyle w:val="Compact"/>
        <w:numPr>
          <w:ilvl w:val="0"/>
          <w:numId w:val="1046"/>
        </w:numPr>
      </w:pPr>
      <w:r>
        <w:t xml:space="preserve">séparation des domaines;</w:t>
      </w:r>
    </w:p>
    <w:p>
      <w:pPr>
        <w:pStyle w:val="Compact"/>
        <w:numPr>
          <w:ilvl w:val="0"/>
          <w:numId w:val="1046"/>
        </w:numPr>
      </w:pPr>
      <w:r>
        <w:t xml:space="preserve">traitement particulier des valeurs fortement asymétriques.</w:t>
      </w:r>
    </w:p>
    <w:p>
      <w:pPr>
        <w:pStyle w:val="FirstParagraph"/>
      </w:pPr>
      <w:r>
        <w:t xml:space="preserve">L’écrêtage ou la transformation logarithmique modifient la variable étudiée. Ils doivent donc être justifiés et leur effet sur l’estimation finale doit être évalué.</w:t>
      </w:r>
    </w:p>
    <w:bookmarkEnd w:id="200"/>
    <w:bookmarkStart w:id="205" w:name="erreurs-de-localisation"/>
    <w:p>
      <w:pPr>
        <w:pStyle w:val="Heading3"/>
      </w:pPr>
      <w:r>
        <w:t xml:space="preserve">Erreurs de localisation</w:t>
      </w:r>
    </w:p>
    <w:p>
      <w:pPr>
        <w:pStyle w:val="FirstParagraph"/>
      </w:pPr>
      <w:r>
        <w:t xml:space="preserve">Une erreur de position modifie à la fois la distance et la direction associées à une paire. Elle brouille principalement la structure à courte distance et peut augmenter l’effet de pépite apparent.</w:t>
      </w:r>
    </w:p>
    <w:p>
      <w:pPr>
        <w:pStyle w:val="BodyText"/>
      </w:pPr>
      <w:r>
        <w:t xml:space="preserve">La</w:t>
      </w:r>
      <w:r>
        <w:t xml:space="preserve"> </w:t>
      </w:r>
      <w:hyperlink w:anchor="fig-erreur-loc">
        <w:r>
          <w:rPr>
            <w:rStyle w:val="Hyperlink"/>
          </w:rPr>
          <w:t xml:space="preserve">Figure 17</w:t>
        </w:r>
      </w:hyperlink>
      <w:r>
        <w:t xml:space="preserve"> </w:t>
      </w:r>
      <w:r>
        <w:t xml:space="preserve">compare un variogramme calculé avec des positions exactes à celui obtenu après perturbation des coordonnées.</w:t>
      </w:r>
    </w:p>
    <w:tbl>
      <w:tblPr>
        <w:tblStyle w:val="Table"/>
        <w:tblW w:type="pct" w:w="5000"/>
        <w:tblLayout w:type="fixed"/>
        <w:tblLook w:firstRow="0" w:lastRow="0" w:firstColumn="0" w:lastColumn="0" w:noHBand="0" w:noVBand="0" w:val="0000"/>
      </w:tblPr>
      <w:tblGrid>
        <w:gridCol w:w="7920"/>
      </w:tblGrid>
      <w:tr>
        <w:tc>
          <w:tcPr/>
          <w:bookmarkStart w:id="204" w:name="fig-erreur-loc"/>
          <w:p>
            <w:pPr>
              <w:pStyle w:val="Compact"/>
              <w:jc w:val="center"/>
            </w:pPr>
            <w:r>
              <w:drawing>
                <wp:inline>
                  <wp:extent cx="5334000" cy="2266725"/>
                  <wp:effectExtent b="0" l="0" r="0" t="0"/>
                  <wp:docPr descr="" title="" id="202" name="Picture"/>
                  <a:graphic>
                    <a:graphicData uri="http://schemas.openxmlformats.org/drawingml/2006/picture">
                      <pic:pic>
                        <pic:nvPicPr>
                          <pic:cNvPr descr="images/C7_EreurLocBruit.PNG" id="203" name="Picture"/>
                          <pic:cNvPicPr>
                            <a:picLocks noChangeArrowheads="1" noChangeAspect="1"/>
                          </pic:cNvPicPr>
                        </pic:nvPicPr>
                        <pic:blipFill>
                          <a:blip r:embed="rId201"/>
                          <a:stretch>
                            <a:fillRect/>
                          </a:stretch>
                        </pic:blipFill>
                        <pic:spPr bwMode="auto">
                          <a:xfrm>
                            <a:off x="0" y="0"/>
                            <a:ext cx="5334000" cy="2266725"/>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Effet des erreurs de localisation sur le variogramme expérimental.</w:t>
            </w:r>
          </w:p>
          <w:bookmarkEnd w:id="204"/>
        </w:tc>
      </w:tr>
    </w:tbl>
    <w:p>
      <w:pPr>
        <w:pStyle w:val="BodyText"/>
      </w:pPr>
      <w:r>
        <w:t xml:space="preserve">Ce problème est particulièrement important en trois dimensions, notamment lorsque la trajectoire des forages est mal connue.</w:t>
      </w:r>
    </w:p>
    <w:p>
      <w:pPr>
        <w:pStyle w:val="BodyText"/>
      </w:pPr>
      <w:r>
        <w:t xml:space="preserve">Les principales mesures préventives sont :</w:t>
      </w:r>
    </w:p>
    <w:p>
      <w:pPr>
        <w:pStyle w:val="Compact"/>
        <w:numPr>
          <w:ilvl w:val="0"/>
          <w:numId w:val="1047"/>
        </w:numPr>
      </w:pPr>
      <w:r>
        <w:t xml:space="preserve">vérifier les coordonnées et les unités;</w:t>
      </w:r>
    </w:p>
    <w:p>
      <w:pPr>
        <w:pStyle w:val="Compact"/>
        <w:numPr>
          <w:ilvl w:val="0"/>
          <w:numId w:val="1047"/>
        </w:numPr>
      </w:pPr>
      <w:r>
        <w:t xml:space="preserve">contrôler les levés d’arpentage;</w:t>
      </w:r>
    </w:p>
    <w:p>
      <w:pPr>
        <w:pStyle w:val="Compact"/>
        <w:numPr>
          <w:ilvl w:val="0"/>
          <w:numId w:val="1047"/>
        </w:numPr>
      </w:pPr>
      <w:r>
        <w:t xml:space="preserve">utiliser les trajectoires corrigées des forages;</w:t>
      </w:r>
    </w:p>
    <w:p>
      <w:pPr>
        <w:pStyle w:val="Compact"/>
        <w:numPr>
          <w:ilvl w:val="0"/>
          <w:numId w:val="1047"/>
        </w:numPr>
      </w:pPr>
      <w:r>
        <w:t xml:space="preserve">conserver l’information sur l’incertitude de position;</w:t>
      </w:r>
    </w:p>
    <w:p>
      <w:pPr>
        <w:pStyle w:val="Compact"/>
        <w:numPr>
          <w:ilvl w:val="0"/>
          <w:numId w:val="1047"/>
        </w:numPr>
      </w:pPr>
      <w:r>
        <w:t xml:space="preserve">réaliser une analyse de sensibilité lorsque cette incertitude est importante.</w:t>
      </w:r>
    </w:p>
    <w:bookmarkEnd w:id="205"/>
    <w:bookmarkStart w:id="210" w:name="échantillonnage-non-uniforme"/>
    <w:p>
      <w:pPr>
        <w:pStyle w:val="Heading3"/>
      </w:pPr>
      <w:r>
        <w:t xml:space="preserve">Échantillonnage non uniforme</w:t>
      </w:r>
    </w:p>
    <w:p>
      <w:pPr>
        <w:pStyle w:val="FirstParagraph"/>
      </w:pPr>
      <w:r>
        <w:t xml:space="preserve">Des pas d’échantillonnage différents modifient le nombre et la répartition des paires. Une zone densément échantillonnée peut alors dominer le variogramme combiné.</w:t>
      </w:r>
    </w:p>
    <w:p>
      <w:pPr>
        <w:pStyle w:val="BodyText"/>
      </w:pPr>
      <w:r>
        <w:t xml:space="preserve">La</w:t>
      </w:r>
      <w:r>
        <w:t xml:space="preserve"> </w:t>
      </w:r>
      <w:hyperlink w:anchor="fig-pas">
        <w:r>
          <w:rPr>
            <w:rStyle w:val="Hyperlink"/>
          </w:rPr>
          <w:t xml:space="preserve">Figure 18</w:t>
        </w:r>
      </w:hyperlink>
      <w:r>
        <w:t xml:space="preserve"> </w:t>
      </w:r>
      <w:r>
        <w:t xml:space="preserve">illustre le mélange de deux zones ayant des pas et des structures différents.</w:t>
      </w:r>
    </w:p>
    <w:tbl>
      <w:tblPr>
        <w:tblStyle w:val="Table"/>
        <w:tblW w:type="pct" w:w="5000"/>
        <w:tblLayout w:type="fixed"/>
        <w:tblLook w:firstRow="0" w:lastRow="0" w:firstColumn="0" w:lastColumn="0" w:noHBand="0" w:noVBand="0" w:val="0000"/>
      </w:tblPr>
      <w:tblGrid>
        <w:gridCol w:w="7920"/>
      </w:tblGrid>
      <w:tr>
        <w:tc>
          <w:tcPr/>
          <w:bookmarkStart w:id="209" w:name="fig-pas"/>
          <w:p>
            <w:pPr>
              <w:pStyle w:val="Compact"/>
              <w:jc w:val="center"/>
            </w:pPr>
            <w:r>
              <w:drawing>
                <wp:inline>
                  <wp:extent cx="4603972" cy="3734332"/>
                  <wp:effectExtent b="0" l="0" r="0" t="0"/>
                  <wp:docPr descr="" title="" id="207" name="Picture"/>
                  <a:graphic>
                    <a:graphicData uri="http://schemas.openxmlformats.org/drawingml/2006/picture">
                      <pic:pic>
                        <pic:nvPicPr>
                          <pic:cNvPr descr="images/C7_Pas.PNG" id="208" name="Picture"/>
                          <pic:cNvPicPr>
                            <a:picLocks noChangeArrowheads="1" noChangeAspect="1"/>
                          </pic:cNvPicPr>
                        </pic:nvPicPr>
                        <pic:blipFill>
                          <a:blip r:embed="rId206"/>
                          <a:stretch>
                            <a:fillRect/>
                          </a:stretch>
                        </pic:blipFill>
                        <pic:spPr bwMode="auto">
                          <a:xfrm>
                            <a:off x="0" y="0"/>
                            <a:ext cx="4603972" cy="3734332"/>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Impact d’un pas d’échantillonnage variable sur le variogramme expérimental.</w:t>
            </w:r>
          </w:p>
          <w:bookmarkEnd w:id="209"/>
        </w:tc>
      </w:tr>
    </w:tbl>
    <w:p>
      <w:pPr>
        <w:pStyle w:val="BodyText"/>
      </w:pPr>
      <w:r>
        <w:t xml:space="preserve">Avant de calculer le variogramme, il faut distinguer trois situations :</w:t>
      </w:r>
    </w:p>
    <w:p>
      <w:pPr>
        <w:pStyle w:val="Compact"/>
        <w:numPr>
          <w:ilvl w:val="0"/>
          <w:numId w:val="1048"/>
        </w:numPr>
      </w:pPr>
      <w:r>
        <w:t xml:space="preserve">les données ont des espacements différents, mais un support comparable;</w:t>
      </w:r>
    </w:p>
    <w:p>
      <w:pPr>
        <w:pStyle w:val="Compact"/>
        <w:numPr>
          <w:ilvl w:val="0"/>
          <w:numId w:val="1048"/>
        </w:numPr>
      </w:pPr>
      <w:r>
        <w:t xml:space="preserve">les données ont des supports différents;</w:t>
      </w:r>
    </w:p>
    <w:p>
      <w:pPr>
        <w:pStyle w:val="Compact"/>
        <w:numPr>
          <w:ilvl w:val="0"/>
          <w:numId w:val="1048"/>
        </w:numPr>
      </w:pPr>
      <w:r>
        <w:t xml:space="preserve">les zones appartiennent à des domaines géologiques différents.</w:t>
      </w:r>
    </w:p>
    <w:p>
      <w:pPr>
        <w:pStyle w:val="FirstParagraph"/>
      </w:pPr>
      <w:r>
        <w:t xml:space="preserve">Les solutions possibles comprennent :</w:t>
      </w:r>
    </w:p>
    <w:p>
      <w:pPr>
        <w:pStyle w:val="Compact"/>
        <w:numPr>
          <w:ilvl w:val="0"/>
          <w:numId w:val="1049"/>
        </w:numPr>
      </w:pPr>
      <w:r>
        <w:t xml:space="preserve">le calcul de variogrammes séparés par domaine;</w:t>
      </w:r>
    </w:p>
    <w:p>
      <w:pPr>
        <w:pStyle w:val="Compact"/>
        <w:numPr>
          <w:ilvl w:val="0"/>
          <w:numId w:val="1049"/>
        </w:numPr>
      </w:pPr>
      <w:r>
        <w:t xml:space="preserve">la mise sur un support commun par composition;</w:t>
      </w:r>
    </w:p>
    <w:p>
      <w:pPr>
        <w:pStyle w:val="Compact"/>
        <w:numPr>
          <w:ilvl w:val="0"/>
          <w:numId w:val="1049"/>
        </w:numPr>
      </w:pPr>
      <w:r>
        <w:t xml:space="preserve">l’utilisation d’une stratégie de pondération ou de désagrégation;</w:t>
      </w:r>
    </w:p>
    <w:p>
      <w:pPr>
        <w:pStyle w:val="Compact"/>
        <w:numPr>
          <w:ilvl w:val="0"/>
          <w:numId w:val="1049"/>
        </w:numPr>
      </w:pPr>
      <w:r>
        <w:t xml:space="preserve">une analyse de sensibilité à la densité d’échantillonnage.</w:t>
      </w:r>
    </w:p>
    <w:p>
      <w:pPr>
        <w:pStyle w:val="FirstParagraph"/>
      </w:pPr>
      <w:r>
        <w:t xml:space="preserve">La décimation peut être utile pour un diagnostic, mais elle élimine de l’information et ne devrait pas constituer la solution par défaut.</w:t>
      </w:r>
    </w:p>
    <w:bookmarkEnd w:id="210"/>
    <w:bookmarkStart w:id="215" w:name="mélange-de-domaines-géologiques"/>
    <w:p>
      <w:pPr>
        <w:pStyle w:val="Heading3"/>
      </w:pPr>
      <w:r>
        <w:t xml:space="preserve">Mélange de domaines géologiques</w:t>
      </w:r>
    </w:p>
    <w:p>
      <w:pPr>
        <w:pStyle w:val="FirstParagraph"/>
      </w:pPr>
      <w:r>
        <w:t xml:space="preserve">Un variogramme calculé sur plusieurs domaines peut combiner des moyennes, des variances et des structures spatiales différentes. Les paires qui traversent une limite géologique peuvent alors produire de fortes différences qui ne représentent pas la continuité à l’intérieur de chaque domaine.</w:t>
      </w:r>
    </w:p>
    <w:p>
      <w:pPr>
        <w:pStyle w:val="BodyText"/>
      </w:pPr>
      <w:r>
        <w:t xml:space="preserve">La</w:t>
      </w:r>
      <w:r>
        <w:t xml:space="preserve"> </w:t>
      </w:r>
      <w:hyperlink w:anchor="fig-domaines">
        <w:r>
          <w:rPr>
            <w:rStyle w:val="Hyperlink"/>
          </w:rPr>
          <w:t xml:space="preserve">Figure 19</w:t>
        </w:r>
      </w:hyperlink>
      <w:r>
        <w:t xml:space="preserve"> </w:t>
      </w:r>
      <w:r>
        <w:t xml:space="preserve">montre qu’un variogramme global peut paraître régulier tout en masquant deux structures distinctes.</w:t>
      </w:r>
    </w:p>
    <w:tbl>
      <w:tblPr>
        <w:tblStyle w:val="Table"/>
        <w:tblW w:type="pct" w:w="5000"/>
        <w:tblLayout w:type="fixed"/>
        <w:tblLook w:firstRow="0" w:lastRow="0" w:firstColumn="0" w:lastColumn="0" w:noHBand="0" w:noVBand="0" w:val="0000"/>
      </w:tblPr>
      <w:tblGrid>
        <w:gridCol w:w="7920"/>
      </w:tblGrid>
      <w:tr>
        <w:tc>
          <w:tcPr/>
          <w:bookmarkStart w:id="214" w:name="fig-domaines"/>
          <w:p>
            <w:pPr>
              <w:pStyle w:val="Compact"/>
              <w:jc w:val="center"/>
            </w:pPr>
            <w:r>
              <w:drawing>
                <wp:inline>
                  <wp:extent cx="5334000" cy="2264136"/>
                  <wp:effectExtent b="0" l="0" r="0" t="0"/>
                  <wp:docPr descr="" title="" id="212" name="Picture"/>
                  <a:graphic>
                    <a:graphicData uri="http://schemas.openxmlformats.org/drawingml/2006/picture">
                      <pic:pic>
                        <pic:nvPicPr>
                          <pic:cNvPr descr="images/C7_Domaines.PNG" id="213" name="Picture"/>
                          <pic:cNvPicPr>
                            <a:picLocks noChangeArrowheads="1" noChangeAspect="1"/>
                          </pic:cNvPicPr>
                        </pic:nvPicPr>
                        <pic:blipFill>
                          <a:blip r:embed="rId211"/>
                          <a:stretch>
                            <a:fillRect/>
                          </a:stretch>
                        </pic:blipFill>
                        <pic:spPr bwMode="auto">
                          <a:xfrm>
                            <a:off x="0" y="0"/>
                            <a:ext cx="5334000" cy="2264136"/>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Impact du mélange de domaines géologiques distincts.</w:t>
            </w:r>
          </w:p>
          <w:bookmarkEnd w:id="214"/>
        </w:tc>
      </w:tr>
    </w:tbl>
    <w:p>
      <w:pPr>
        <w:pStyle w:val="BodyText"/>
      </w:pPr>
      <w:r>
        <w:t xml:space="preserve">La définition des domaines doit donc précéder la modélisation du variogramme. Les diagnostics utiles comprennent :</w:t>
      </w:r>
    </w:p>
    <w:p>
      <w:pPr>
        <w:pStyle w:val="Compact"/>
        <w:numPr>
          <w:ilvl w:val="0"/>
          <w:numId w:val="1050"/>
        </w:numPr>
      </w:pPr>
      <w:r>
        <w:t xml:space="preserve">les statistiques par domaine;</w:t>
      </w:r>
    </w:p>
    <w:p>
      <w:pPr>
        <w:pStyle w:val="Compact"/>
        <w:numPr>
          <w:ilvl w:val="0"/>
          <w:numId w:val="1050"/>
        </w:numPr>
      </w:pPr>
      <w:r>
        <w:t xml:space="preserve">les cartes et coupes géologiques;</w:t>
      </w:r>
    </w:p>
    <w:p>
      <w:pPr>
        <w:pStyle w:val="Compact"/>
        <w:numPr>
          <w:ilvl w:val="0"/>
          <w:numId w:val="1050"/>
        </w:numPr>
      </w:pPr>
      <w:r>
        <w:t xml:space="preserve">les variogrammes calculés séparément;</w:t>
      </w:r>
    </w:p>
    <w:p>
      <w:pPr>
        <w:pStyle w:val="Compact"/>
        <w:numPr>
          <w:ilvl w:val="0"/>
          <w:numId w:val="1050"/>
        </w:numPr>
      </w:pPr>
      <w:r>
        <w:t xml:space="preserve">les paires qui traversent les limites;</w:t>
      </w:r>
    </w:p>
    <w:p>
      <w:pPr>
        <w:pStyle w:val="Compact"/>
        <w:numPr>
          <w:ilvl w:val="0"/>
          <w:numId w:val="1050"/>
        </w:numPr>
      </w:pPr>
      <w:r>
        <w:t xml:space="preserve">les résultats de validation croisée par domaine.</w:t>
      </w:r>
    </w:p>
    <w:p>
      <w:pPr>
        <w:pStyle w:val="FirstParagraph"/>
      </w:pPr>
      <w:r>
        <w:t xml:space="preserve">La validation croisée peut révéler certains problèmes, mais elle ne remplace pas la définition géologique des populations stationnaires.</w:t>
      </w:r>
    </w:p>
    <w:bookmarkEnd w:id="215"/>
    <w:bookmarkStart w:id="220" w:name="échantillonnage-préférentiel"/>
    <w:p>
      <w:pPr>
        <w:pStyle w:val="Heading3"/>
      </w:pPr>
      <w:r>
        <w:t xml:space="preserve">Échantillonnage préférentiel</w:t>
      </w:r>
    </w:p>
    <w:p>
      <w:pPr>
        <w:pStyle w:val="FirstParagraph"/>
      </w:pPr>
      <w:r>
        <w:t xml:space="preserve">Un échantillonnage supplémentaire est souvent réalisé autour des valeurs élevées. Cette stratégie augmente le nombre de paires à courte distance dans les zones riches et peut modifier artificiellement le variogramme.</w:t>
      </w:r>
    </w:p>
    <w:p>
      <w:pPr>
        <w:pStyle w:val="BodyText"/>
      </w:pPr>
      <w:r>
        <w:t xml:space="preserve">La</w:t>
      </w:r>
      <w:r>
        <w:t xml:space="preserve"> </w:t>
      </w:r>
      <w:hyperlink w:anchor="fig-doublons">
        <w:r>
          <w:rPr>
            <w:rStyle w:val="Hyperlink"/>
          </w:rPr>
          <w:t xml:space="preserve">Figure 20</w:t>
        </w:r>
      </w:hyperlink>
      <w:r>
        <w:t xml:space="preserve"> </w:t>
      </w:r>
      <w:r>
        <w:t xml:space="preserve">compare un échantillonnage initial, un ré-échantillonnage préférentiel et un ré-échantillonnage plus uniforme.</w:t>
      </w:r>
    </w:p>
    <w:tbl>
      <w:tblPr>
        <w:tblStyle w:val="Table"/>
        <w:tblW w:type="pct" w:w="5000"/>
        <w:tblLayout w:type="fixed"/>
        <w:tblLook w:firstRow="0" w:lastRow="0" w:firstColumn="0" w:lastColumn="0" w:noHBand="0" w:noVBand="0" w:val="0000"/>
      </w:tblPr>
      <w:tblGrid>
        <w:gridCol w:w="7920"/>
      </w:tblGrid>
      <w:tr>
        <w:tc>
          <w:tcPr/>
          <w:bookmarkStart w:id="219" w:name="fig-doublons"/>
          <w:p>
            <w:pPr>
              <w:pStyle w:val="Compact"/>
              <w:jc w:val="center"/>
            </w:pPr>
            <w:r>
              <w:drawing>
                <wp:inline>
                  <wp:extent cx="3836643" cy="3248358"/>
                  <wp:effectExtent b="0" l="0" r="0" t="0"/>
                  <wp:docPr descr="" title="" id="217" name="Picture"/>
                  <a:graphic>
                    <a:graphicData uri="http://schemas.openxmlformats.org/drawingml/2006/picture">
                      <pic:pic>
                        <pic:nvPicPr>
                          <pic:cNvPr descr="images/C7_doublons.PNG" id="218" name="Picture"/>
                          <pic:cNvPicPr>
                            <a:picLocks noChangeArrowheads="1" noChangeAspect="1"/>
                          </pic:cNvPicPr>
                        </pic:nvPicPr>
                        <pic:blipFill>
                          <a:blip r:embed="rId216"/>
                          <a:stretch>
                            <a:fillRect/>
                          </a:stretch>
                        </pic:blipFill>
                        <pic:spPr bwMode="auto">
                          <a:xfrm>
                            <a:off x="0" y="0"/>
                            <a:ext cx="3836643" cy="3248358"/>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Impact d’un ré-échantillonnage préférentiel sur le variogramme.</w:t>
            </w:r>
          </w:p>
          <w:bookmarkEnd w:id="219"/>
        </w:tc>
      </w:tr>
    </w:tbl>
    <w:p>
      <w:pPr>
        <w:pStyle w:val="BodyText"/>
      </w:pPr>
      <w:r>
        <w:t xml:space="preserve">Ce problème ne provient pas seulement du nombre de données, mais du lien entre la densité d’échantillonnage et la valeur observée.</w:t>
      </w:r>
    </w:p>
    <w:p>
      <w:pPr>
        <w:pStyle w:val="BodyText"/>
      </w:pPr>
      <w:r>
        <w:t xml:space="preserve">Les options possibles sont :</w:t>
      </w:r>
    </w:p>
    <w:p>
      <w:pPr>
        <w:pStyle w:val="Compact"/>
        <w:numPr>
          <w:ilvl w:val="0"/>
          <w:numId w:val="1051"/>
        </w:numPr>
      </w:pPr>
      <w:r>
        <w:t xml:space="preserve">distinguer les données initiales des données de suivi;</w:t>
      </w:r>
    </w:p>
    <w:p>
      <w:pPr>
        <w:pStyle w:val="Compact"/>
        <w:numPr>
          <w:ilvl w:val="0"/>
          <w:numId w:val="1051"/>
        </w:numPr>
      </w:pPr>
      <w:r>
        <w:t xml:space="preserve">vérifier la comparabilité des supports;</w:t>
      </w:r>
    </w:p>
    <w:p>
      <w:pPr>
        <w:pStyle w:val="Compact"/>
        <w:numPr>
          <w:ilvl w:val="0"/>
          <w:numId w:val="1051"/>
        </w:numPr>
      </w:pPr>
      <w:r>
        <w:t xml:space="preserve">utiliser des poids de déclustering;</w:t>
      </w:r>
    </w:p>
    <w:p>
      <w:pPr>
        <w:pStyle w:val="Compact"/>
        <w:numPr>
          <w:ilvl w:val="0"/>
          <w:numId w:val="1051"/>
        </w:numPr>
      </w:pPr>
      <w:r>
        <w:t xml:space="preserve">calculer des variogrammes sur plusieurs sous-échantillons;</w:t>
      </w:r>
    </w:p>
    <w:p>
      <w:pPr>
        <w:pStyle w:val="Compact"/>
        <w:numPr>
          <w:ilvl w:val="0"/>
          <w:numId w:val="1051"/>
        </w:numPr>
      </w:pPr>
      <w:r>
        <w:t xml:space="preserve">comparer les résultats avec et sans les données de suivi.</w:t>
      </w:r>
    </w:p>
    <w:p>
      <w:pPr>
        <w:pStyle w:val="FirstParagraph"/>
      </w:pPr>
      <w:r>
        <w:t xml:space="preserve">Une décimation systématique peut réduire le biais, mais elle doit être utilisée avec prudence, puisqu’elle élimine également de l’information pertinente.</w:t>
      </w:r>
    </w:p>
    <w:bookmarkEnd w:id="220"/>
    <w:bookmarkStart w:id="225" w:name="coordonnées-géologiques"/>
    <w:p>
      <w:pPr>
        <w:pStyle w:val="Heading3"/>
      </w:pPr>
      <w:r>
        <w:t xml:space="preserve">Coordonnées géologiques</w:t>
      </w:r>
    </w:p>
    <w:p>
      <w:pPr>
        <w:pStyle w:val="FirstParagraph"/>
      </w:pPr>
      <w:r>
        <w:t xml:space="preserve">La continuité spatiale peut être plus simple dans un repère lié à la géologie que dans les coordonnées cartésiennes originales. C’est notamment le cas pour les unités plissées, les veines courbes, les chenaux ou les panaches suivant une trajectoire d’écoulement.</w:t>
      </w:r>
    </w:p>
    <w:p>
      <w:pPr>
        <w:pStyle w:val="BodyText"/>
      </w:pPr>
      <w:r>
        <w:t xml:space="preserve">La</w:t>
      </w:r>
      <w:r>
        <w:t xml:space="preserve"> </w:t>
      </w:r>
      <w:hyperlink w:anchor="fig-plissement">
        <w:r>
          <w:rPr>
            <w:rStyle w:val="Hyperlink"/>
          </w:rPr>
          <w:t xml:space="preserve">Figure 21</w:t>
        </w:r>
      </w:hyperlink>
      <w:r>
        <w:t xml:space="preserve"> </w:t>
      </w:r>
      <w:r>
        <w:t xml:space="preserve">illustre l’effet d’un déplissement sur le variogramme.</w:t>
      </w:r>
    </w:p>
    <w:tbl>
      <w:tblPr>
        <w:tblStyle w:val="Table"/>
        <w:tblW w:type="pct" w:w="5000"/>
        <w:tblLayout w:type="fixed"/>
        <w:tblLook w:firstRow="0" w:lastRow="0" w:firstColumn="0" w:lastColumn="0" w:noHBand="0" w:noVBand="0" w:val="0000"/>
      </w:tblPr>
      <w:tblGrid>
        <w:gridCol w:w="7920"/>
      </w:tblGrid>
      <w:tr>
        <w:tc>
          <w:tcPr/>
          <w:bookmarkStart w:id="224" w:name="fig-plissement"/>
          <w:p>
            <w:pPr>
              <w:pStyle w:val="Compact"/>
              <w:jc w:val="center"/>
            </w:pPr>
            <w:r>
              <w:drawing>
                <wp:inline>
                  <wp:extent cx="5334000" cy="2277139"/>
                  <wp:effectExtent b="0" l="0" r="0" t="0"/>
                  <wp:docPr descr="" title="" id="222" name="Picture"/>
                  <a:graphic>
                    <a:graphicData uri="http://schemas.openxmlformats.org/drawingml/2006/picture">
                      <pic:pic>
                        <pic:nvPicPr>
                          <pic:cNvPr descr="images/C7_Plissement.PNG" id="223" name="Picture"/>
                          <pic:cNvPicPr>
                            <a:picLocks noChangeArrowheads="1" noChangeAspect="1"/>
                          </pic:cNvPicPr>
                        </pic:nvPicPr>
                        <pic:blipFill>
                          <a:blip r:embed="rId221"/>
                          <a:stretch>
                            <a:fillRect/>
                          </a:stretch>
                        </pic:blipFill>
                        <pic:spPr bwMode="auto">
                          <a:xfrm>
                            <a:off x="0" y="0"/>
                            <a:ext cx="5334000" cy="2277139"/>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Impact du plissement et du déplissement sur le variogramme.</w:t>
            </w:r>
          </w:p>
          <w:bookmarkEnd w:id="224"/>
        </w:tc>
      </w:tr>
    </w:tbl>
    <w:p>
      <w:pPr>
        <w:pStyle w:val="BodyText"/>
      </w:pPr>
      <w:r>
        <w:t xml:space="preserve">Une transformation des coordonnées peut réduire des distances artificiellement grandes entre des points qui sont proches dans le repère géologique. Elle exige toutefois :</w:t>
      </w:r>
    </w:p>
    <w:p>
      <w:pPr>
        <w:pStyle w:val="Compact"/>
        <w:numPr>
          <w:ilvl w:val="0"/>
          <w:numId w:val="1052"/>
        </w:numPr>
      </w:pPr>
      <w:r>
        <w:t xml:space="preserve">une interprétation structurale fiable;</w:t>
      </w:r>
    </w:p>
    <w:p>
      <w:pPr>
        <w:pStyle w:val="Compact"/>
        <w:numPr>
          <w:ilvl w:val="0"/>
          <w:numId w:val="1052"/>
        </w:numPr>
      </w:pPr>
      <w:r>
        <w:t xml:space="preserve">une transformation continue;</w:t>
      </w:r>
    </w:p>
    <w:p>
      <w:pPr>
        <w:pStyle w:val="Compact"/>
        <w:numPr>
          <w:ilvl w:val="0"/>
          <w:numId w:val="1052"/>
        </w:numPr>
      </w:pPr>
      <w:r>
        <w:t xml:space="preserve">une conservation raisonnable des distances locales;</w:t>
      </w:r>
    </w:p>
    <w:p>
      <w:pPr>
        <w:pStyle w:val="Compact"/>
        <w:numPr>
          <w:ilvl w:val="0"/>
          <w:numId w:val="1052"/>
        </w:numPr>
      </w:pPr>
      <w:r>
        <w:t xml:space="preserve">une validation de la géométrie transformée.</w:t>
      </w:r>
    </w:p>
    <w:p>
      <w:pPr>
        <w:pStyle w:val="FirstParagraph"/>
      </w:pPr>
      <w:r>
        <w:t xml:space="preserve">Le déplissement ne doit pas être utilisé uniquement pour améliorer l’apparence du variogramme. Il doit correspondre à une hypothèse géologique défendable.</w:t>
      </w:r>
    </w:p>
    <w:bookmarkEnd w:id="225"/>
    <w:bookmarkEnd w:id="226"/>
    <w:bookmarkStart w:id="227" w:name="Xbc5b0ac9415748bf1dd803b87f088d85b171db4"/>
    <w:p>
      <w:pPr>
        <w:pStyle w:val="Heading2"/>
      </w:pPr>
      <w:r>
        <w:t xml:space="preserve">🧮 Atelier interactif 7.9 — Erreurs et effets géologiques</w:t>
      </w:r>
    </w:p>
    <w:p>
      <w:pPr>
        <w:pStyle w:val="FirstParagraph"/>
      </w:pPr>
      <w:r>
        <w:t xml:space="preserve">Cet atelier interactif est disponible uniquement dans la version web du chapitre.</w:t>
      </w:r>
    </w:p>
    <w:bookmarkEnd w:id="227"/>
    <w:bookmarkStart w:id="238" w:name="variogrammes-relatifs"/>
    <w:p>
      <w:pPr>
        <w:pStyle w:val="Heading2"/>
      </w:pPr>
      <w:r>
        <w:t xml:space="preserve">Variogrammes relatifs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C:\Users\danyl\AppData\Local\Programs\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Complément d’information</w:t>
            </w:r>
          </w:p>
        </w:tc>
      </w:tr>
      <w:tr>
        <w:trPr>
          <w:cantSplit/>
        </w:trPr>
        <w:tc>
          <w:tcPr>
            <w:tcMar>
              <w:top w:w="108" w:type="dxa"/>
              <w:bottom w:w="108" w:type="dxa"/>
            </w:tcMar>
          </w:tcPr>
          <w:p>
            <w:pPr>
              <w:pStyle w:val="BodyText"/>
            </w:pPr>
            <w:pPr>
              <w:spacing w:before="16" w:after="16"/>
            </w:pPr>
            <w:r>
              <w:t xml:space="preserve">Cette section présente un outil de diagnostic utile pour certaines variables positives et fortement asymétriques. Elle peut être ignorée en première lecture.</w:t>
            </w:r>
          </w:p>
          <w:p/>
        </w:tc>
      </w:tr>
    </w:tbl>
    <w:bookmarkStart w:id="231" w:name="effet-proportionnel"/>
    <w:p>
      <w:pPr>
        <w:pStyle w:val="Heading3"/>
      </w:pPr>
      <w:r>
        <w:t xml:space="preserve">Effet proportionnel</w:t>
      </w:r>
    </w:p>
    <w:p>
      <w:pPr>
        <w:pStyle w:val="FirstParagraph"/>
      </w:pPr>
      <w:r>
        <w:t xml:space="preserve">Un effet proportionnel est présent lorsque la variabilité locale augmente avec le niveau moyen de la variable. Les zones à forte teneur sont alors plus variables que les zones à faible teneur.</w:t>
      </w:r>
    </w:p>
    <w:p>
      <w:pPr>
        <w:pStyle w:val="BodyText"/>
      </w:pPr>
      <w:r>
        <w:t xml:space="preserve">Dans le cas où l’écart-type local est approximativement proportionnel à la moyenne locale,</w:t>
      </w:r>
    </w:p>
    <w:p>
      <w:pPr>
        <w:pStyle w:val="BodyText"/>
      </w:pPr>
      <m:oMathPara>
        <m:oMathParaPr>
          <m:jc m:val="center"/>
        </m:oMathParaPr>
        <m:oMath>
          <m:sSub>
            <m:e>
              <m:r>
                <m:t>σ</m:t>
              </m:r>
            </m:e>
            <m:sub>
              <m:r>
                <m:rPr>
                  <m:sty m:val="p"/>
                </m:rPr>
                <m:t>l</m:t>
              </m:r>
              <m:r>
                <m:rPr>
                  <m:sty m:val="p"/>
                </m:rPr>
                <m:t>o</m:t>
              </m:r>
              <m:r>
                <m:rPr>
                  <m:sty m:val="p"/>
                </m:rPr>
                <m:t>c</m:t>
              </m:r>
              <m:r>
                <m:rPr>
                  <m:sty m:val="p"/>
                </m:rPr>
                <m:t>a</m:t>
              </m:r>
              <m:r>
                <m:rPr>
                  <m:sty m:val="p"/>
                </m:rPr>
                <m:t>l</m:t>
              </m:r>
            </m:sub>
          </m:sSub>
          <m:r>
            <m:rPr>
              <m:sty m:val="p"/>
            </m:rPr>
            <m:t>∝</m:t>
          </m:r>
          <m:sSub>
            <m:e>
              <m:r>
                <m:t>m</m:t>
              </m:r>
            </m:e>
            <m:sub>
              <m:r>
                <m:rPr>
                  <m:sty m:val="p"/>
                </m:rPr>
                <m:t>l</m:t>
              </m:r>
              <m:r>
                <m:rPr>
                  <m:sty m:val="p"/>
                </m:rPr>
                <m:t>o</m:t>
              </m:r>
              <m:r>
                <m:rPr>
                  <m:sty m:val="p"/>
                </m:rPr>
                <m:t>c</m:t>
              </m:r>
              <m:r>
                <m:rPr>
                  <m:sty m:val="p"/>
                </m:rPr>
                <m:t>a</m:t>
              </m:r>
              <m:r>
                <m:rPr>
                  <m:sty m:val="p"/>
                </m:rPr>
                <m:t>l</m:t>
              </m:r>
            </m:sub>
          </m:sSub>
          <m:r>
            <m:rPr>
              <m:sty m:val="p"/>
            </m:rPr>
            <m:t>,</m:t>
          </m:r>
        </m:oMath>
      </m:oMathPara>
    </w:p>
    <w:p>
      <w:pPr>
        <w:pStyle w:val="FirstParagraph"/>
      </w:pPr>
      <w:r>
        <w:t xml:space="preserve">la variance locale est approximativement proportionnelle au carré de cette moyenne :</w:t>
      </w:r>
    </w:p>
    <w:p>
      <w:pPr>
        <w:pStyle w:val="BodyText"/>
      </w:pPr>
      <m:oMathPara>
        <m:oMathParaPr>
          <m:jc m:val="center"/>
        </m:oMathParaPr>
        <m:oMath>
          <m:sSubSup>
            <m:e>
              <m:r>
                <m:t>σ</m:t>
              </m:r>
            </m:e>
            <m:sub>
              <m:r>
                <m:rPr>
                  <m:sty m:val="p"/>
                </m:rPr>
                <m:t>l</m:t>
              </m:r>
              <m:r>
                <m:rPr>
                  <m:sty m:val="p"/>
                </m:rPr>
                <m:t>o</m:t>
              </m:r>
              <m:r>
                <m:rPr>
                  <m:sty m:val="p"/>
                </m:rPr>
                <m:t>c</m:t>
              </m:r>
              <m:r>
                <m:rPr>
                  <m:sty m:val="p"/>
                </m:rPr>
                <m:t>a</m:t>
              </m:r>
              <m:r>
                <m:rPr>
                  <m:sty m:val="p"/>
                </m:rPr>
                <m:t>l</m:t>
              </m:r>
            </m:sub>
            <m:sup>
              <m:r>
                <m:t>2</m:t>
              </m:r>
            </m:sup>
          </m:sSubSup>
          <m:r>
            <m:rPr>
              <m:sty m:val="p"/>
            </m:rPr>
            <m:t>∝</m:t>
          </m:r>
          <m:sSubSup>
            <m:e>
              <m:r>
                <m:t>m</m:t>
              </m:r>
            </m:e>
            <m:sub>
              <m:r>
                <m:rPr>
                  <m:sty m:val="p"/>
                </m:rPr>
                <m:t>l</m:t>
              </m:r>
              <m:r>
                <m:rPr>
                  <m:sty m:val="p"/>
                </m:rPr>
                <m:t>o</m:t>
              </m:r>
              <m:r>
                <m:rPr>
                  <m:sty m:val="p"/>
                </m:rPr>
                <m:t>c</m:t>
              </m:r>
              <m:r>
                <m:rPr>
                  <m:sty m:val="p"/>
                </m:rPr>
                <m:t>a</m:t>
              </m:r>
              <m:r>
                <m:rPr>
                  <m:sty m:val="p"/>
                </m:rPr>
                <m:t>l</m:t>
              </m:r>
            </m:sub>
            <m:sup>
              <m:r>
                <m:t>2</m:t>
              </m:r>
            </m:sup>
          </m:sSubSup>
          <m:r>
            <m:rPr>
              <m:sty m:val="p"/>
            </m:rPr>
            <m:t>.</m:t>
          </m:r>
        </m:oMath>
      </m:oMathPara>
    </w:p>
    <w:p>
      <w:pPr>
        <w:pStyle w:val="FirstParagraph"/>
      </w:pPr>
      <w:r>
        <w:t xml:space="preserve">Un variogramme global peut alors être dominé par les zones de forte moyenne et devenir difficile à comparer entre les secteurs.</w:t>
      </w:r>
    </w:p>
    <w:bookmarkEnd w:id="231"/>
    <w:bookmarkStart w:id="232" w:name="normalisation-relative"/>
    <w:p>
      <w:pPr>
        <w:pStyle w:val="Heading3"/>
      </w:pPr>
      <w:r>
        <w:t xml:space="preserve">Normalisation relative</w:t>
      </w:r>
    </w:p>
    <w:p>
      <w:pPr>
        <w:pStyle w:val="FirstParagraph"/>
      </w:pPr>
      <w:r>
        <w:t xml:space="preserve">Le variogramme relatif vise à représenter la variabilité par rapport au niveau moyen de la variable.</w:t>
      </w:r>
    </w:p>
    <w:p>
      <w:pPr>
        <w:pStyle w:val="BodyText"/>
      </w:pPr>
      <w:r>
        <w:t xml:space="preserve">Une forme globale consiste à diviser le variogramme par le carré de la moyenne :</w:t>
      </w:r>
    </w:p>
    <w:p>
      <w:pPr>
        <w:pStyle w:val="BodyText"/>
      </w:pPr>
      <m:oMathPara>
        <m:oMathParaPr>
          <m:jc m:val="center"/>
        </m:oMathParaPr>
        <m:oMath>
          <m:sSub>
            <m:e>
              <m:acc>
                <m:accPr>
                  <m:chr m:val="̂"/>
                </m:accPr>
                <m:e>
                  <m:r>
                    <m:t>γ</m:t>
                  </m:r>
                </m:e>
              </m:acc>
            </m:e>
            <m:sub>
              <m:r>
                <m:t>R</m:t>
              </m:r>
            </m:sub>
          </m:sSub>
          <m:d>
            <m:dPr>
              <m:begChr m:val="("/>
              <m:sepChr m:val=""/>
              <m:endChr m:val=")"/>
              <m:grow/>
            </m:dPr>
            <m:e>
              <m:r>
                <m:rPr>
                  <m:sty m:val="b"/>
                </m:rPr>
                <m:t>h</m:t>
              </m:r>
            </m:e>
          </m:d>
          <m:r>
            <m:rPr>
              <m:sty m:val="p"/>
            </m:rPr>
            <m:t>=</m:t>
          </m:r>
          <m:f>
            <m:fPr>
              <m:type m:val="bar"/>
            </m:fPr>
            <m:num>
              <m:acc>
                <m:accPr>
                  <m:chr m:val="̂"/>
                </m:accPr>
                <m:e>
                  <m:r>
                    <m:t>γ</m:t>
                  </m:r>
                </m:e>
              </m:acc>
              <m:d>
                <m:dPr>
                  <m:begChr m:val="("/>
                  <m:sepChr m:val=""/>
                  <m:endChr m:val=")"/>
                  <m:grow/>
                </m:dPr>
                <m:e>
                  <m:r>
                    <m:rPr>
                      <m:sty m:val="b"/>
                    </m:rPr>
                    <m:t>h</m:t>
                  </m:r>
                </m:e>
              </m:d>
            </m:num>
            <m:den>
              <m:sSup>
                <m:e>
                  <m:bar>
                    <m:barPr>
                      <m:pos m:val="top"/>
                    </m:barPr>
                    <m:e>
                      <m:r>
                        <m:t>z</m:t>
                      </m:r>
                    </m:e>
                  </m:bar>
                </m:e>
                <m:sup>
                  <m:r>
                    <m:t> </m:t>
                  </m:r>
                  <m:r>
                    <m:t>2</m:t>
                  </m:r>
                </m:sup>
              </m:sSup>
            </m:den>
          </m:f>
          <m:r>
            <m:rPr>
              <m:sty m:val="p"/>
            </m:rPr>
            <m:t>.</m:t>
          </m:r>
        </m:oMath>
      </m:oMathPara>
    </w:p>
    <w:p>
      <w:pPr>
        <w:pStyle w:val="FirstParagraph"/>
      </w:pPr>
      <w:r>
        <w:t xml:space="preserve">Cette normalisation ne modifie pas la forme du variogramme global. Elle change seulement son échelle et facilite la comparaison entre des domaines ayant des moyennes différentes.</w:t>
      </w:r>
    </w:p>
    <w:p>
      <w:pPr>
        <w:pStyle w:val="BodyText"/>
      </w:pPr>
      <w:r>
        <w:t xml:space="preserve">Une normalisation locale peut être appliquée en calculant séparément le variogramme dans plusieurs zones, puis en divisant chaque résultat par le carré de la moyenne correspondante.</w:t>
      </w:r>
    </w:p>
    <w:p>
      <w:pPr>
        <w:pStyle w:val="BodyText"/>
      </w:pPr>
      <w:r>
        <w:t xml:space="preserve">Une autre forme est le variogramme relatif par paires :</w:t>
      </w:r>
    </w:p>
    <w:p>
      <w:pPr>
        <w:pStyle w:val="BodyText"/>
      </w:pPr>
      <m:oMathPara>
        <m:oMathParaPr>
          <m:jc m:val="center"/>
        </m:oMathParaPr>
        <m:oMath>
          <m:sSub>
            <m:e>
              <m:acc>
                <m:accPr>
                  <m:chr m:val="̂"/>
                </m:accPr>
                <m:e>
                  <m:r>
                    <m:t>γ</m:t>
                  </m:r>
                </m:e>
              </m:acc>
            </m:e>
            <m:sub>
              <m:r>
                <m:t>P</m:t>
              </m:r>
            </m:sub>
          </m:sSub>
          <m:d>
            <m:dPr>
              <m:begChr m:val="("/>
              <m:sepChr m:val=""/>
              <m:endChr m:val=")"/>
              <m:grow/>
            </m:dPr>
            <m:e>
              <m:r>
                <m:rPr>
                  <m:sty m:val="b"/>
                </m:rPr>
                <m:t>h</m:t>
              </m:r>
            </m:e>
          </m:d>
          <m:r>
            <m:rPr>
              <m:sty m:val="p"/>
            </m:rPr>
            <m:t>=</m:t>
          </m:r>
          <m:f>
            <m:fPr>
              <m:type m:val="bar"/>
            </m:fPr>
            <m:num>
              <m:r>
                <m:t>1</m:t>
              </m:r>
            </m:num>
            <m:den>
              <m:r>
                <m:t>2</m:t>
              </m:r>
              <m:r>
                <m:t>N</m:t>
              </m:r>
              <m:d>
                <m:dPr>
                  <m:begChr m:val="("/>
                  <m:sepChr m:val=""/>
                  <m:endChr m:val=")"/>
                  <m:grow/>
                </m:dPr>
                <m:e>
                  <m:r>
                    <m:rPr>
                      <m:sty m:val="b"/>
                    </m:rPr>
                    <m:t>h</m:t>
                  </m:r>
                </m:e>
              </m:d>
            </m:den>
          </m:f>
          <m:nary>
            <m:naryPr>
              <m:chr m:val="∑"/>
              <m:limLoc m:val="undOvr"/>
              <m:subHide m:val="off"/>
              <m:supHide m:val="on"/>
            </m:naryPr>
            <m:sub>
              <m:d>
                <m:dPr>
                  <m:begChr m:val="("/>
                  <m:sepChr m:val=""/>
                  <m:endChr m:val=")"/>
                  <m:grow/>
                </m:dPr>
                <m:e>
                  <m:r>
                    <m:t>i</m:t>
                  </m:r>
                  <m:r>
                    <m:rPr>
                      <m:sty m:val="p"/>
                    </m:rPr>
                    <m:t>,</m:t>
                  </m:r>
                  <m:r>
                    <m:t>j</m:t>
                  </m:r>
                </m:e>
              </m:d>
              <m:r>
                <m:rPr>
                  <m:sty m:val="p"/>
                </m:rPr>
                <m:t>∈</m:t>
              </m:r>
              <m:r>
                <m:rPr>
                  <m:sty m:val="p"/>
                  <m:scr m:val="script"/>
                </m:rPr>
                <m:t>P</m:t>
              </m:r>
              <m:d>
                <m:dPr>
                  <m:begChr m:val="("/>
                  <m:sepChr m:val=""/>
                  <m:endChr m:val=")"/>
                  <m:grow/>
                </m:dPr>
                <m:e>
                  <m:r>
                    <m:rPr>
                      <m:sty m:val="b"/>
                    </m:rPr>
                    <m:t>h</m:t>
                  </m:r>
                </m:e>
              </m:d>
            </m:sub>
            <m:sup>
              <m:r>
                <m:t>​</m:t>
              </m:r>
            </m:sup>
            <m:e>
              <m:f>
                <m:fPr>
                  <m:type m:val="bar"/>
                </m:fPr>
                <m:num>
                  <m:sSup>
                    <m:e>
                      <m:d>
                        <m:dPr>
                          <m:begChr m:val="["/>
                          <m:sepChr m:val=""/>
                          <m:endChr m:val="]"/>
                          <m:grow/>
                        </m:dPr>
                        <m:e>
                          <m:r>
                            <m:t>z</m:t>
                          </m:r>
                          <m:d>
                            <m:dPr>
                              <m:begChr m:val="("/>
                              <m:sepChr m:val=""/>
                              <m:endChr m:val=")"/>
                              <m:grow/>
                            </m:dPr>
                            <m:e>
                              <m:sSub>
                                <m:e>
                                  <m:r>
                                    <m:rPr>
                                      <m:sty m:val="b"/>
                                    </m:rPr>
                                    <m:t>x</m:t>
                                  </m:r>
                                </m:e>
                                <m:sub>
                                  <m:r>
                                    <m:t>j</m:t>
                                  </m:r>
                                </m:sub>
                              </m:sSub>
                            </m:e>
                          </m:d>
                          <m:r>
                            <m:rPr>
                              <m:sty m:val="p"/>
                            </m:rPr>
                            <m:t>−</m:t>
                          </m:r>
                          <m:r>
                            <m:t>z</m:t>
                          </m:r>
                          <m:d>
                            <m:dPr>
                              <m:begChr m:val="("/>
                              <m:sepChr m:val=""/>
                              <m:endChr m:val=")"/>
                              <m:grow/>
                            </m:dPr>
                            <m:e>
                              <m:sSub>
                                <m:e>
                                  <m:r>
                                    <m:rPr>
                                      <m:sty m:val="b"/>
                                    </m:rPr>
                                    <m:t>x</m:t>
                                  </m:r>
                                </m:e>
                                <m:sub>
                                  <m:r>
                                    <m:t>i</m:t>
                                  </m:r>
                                </m:sub>
                              </m:sSub>
                            </m:e>
                          </m:d>
                        </m:e>
                      </m:d>
                    </m:e>
                    <m:sup>
                      <m:r>
                        <m:t>2</m:t>
                      </m:r>
                    </m:sup>
                  </m:sSup>
                </m:num>
                <m:den>
                  <m:sSup>
                    <m:e>
                      <m:d>
                        <m:dPr>
                          <m:begChr m:val="["/>
                          <m:sepChr m:val=""/>
                          <m:endChr m:val="]"/>
                          <m:grow/>
                        </m:dPr>
                        <m:e>
                          <m:f>
                            <m:fPr>
                              <m:type m:val="bar"/>
                            </m:fPr>
                            <m:num>
                              <m:r>
                                <m:t>z</m:t>
                              </m:r>
                              <m:d>
                                <m:dPr>
                                  <m:begChr m:val="("/>
                                  <m:sepChr m:val=""/>
                                  <m:endChr m:val=")"/>
                                  <m:grow/>
                                </m:dPr>
                                <m:e>
                                  <m:sSub>
                                    <m:e>
                                      <m:r>
                                        <m:rPr>
                                          <m:sty m:val="b"/>
                                        </m:rPr>
                                        <m:t>x</m:t>
                                      </m:r>
                                    </m:e>
                                    <m:sub>
                                      <m:r>
                                        <m:t>j</m:t>
                                      </m:r>
                                    </m:sub>
                                  </m:sSub>
                                </m:e>
                              </m:d>
                              <m:r>
                                <m:rPr>
                                  <m:sty m:val="p"/>
                                </m:rPr>
                                <m:t>+</m:t>
                              </m:r>
                              <m:r>
                                <m:t>z</m:t>
                              </m:r>
                              <m:d>
                                <m:dPr>
                                  <m:begChr m:val="("/>
                                  <m:sepChr m:val=""/>
                                  <m:endChr m:val=")"/>
                                  <m:grow/>
                                </m:dPr>
                                <m:e>
                                  <m:sSub>
                                    <m:e>
                                      <m:r>
                                        <m:rPr>
                                          <m:sty m:val="b"/>
                                        </m:rPr>
                                        <m:t>x</m:t>
                                      </m:r>
                                    </m:e>
                                    <m:sub>
                                      <m:r>
                                        <m:t>i</m:t>
                                      </m:r>
                                    </m:sub>
                                  </m:sSub>
                                </m:e>
                              </m:d>
                            </m:num>
                            <m:den>
                              <m:r>
                                <m:t>2</m:t>
                              </m:r>
                            </m:den>
                          </m:f>
                        </m:e>
                      </m:d>
                    </m:e>
                    <m:sup>
                      <m:r>
                        <m:t>2</m:t>
                      </m:r>
                    </m:sup>
                  </m:sSup>
                </m:den>
              </m:f>
            </m:e>
          </m:nary>
          <m:r>
            <m:rPr>
              <m:sty m:val="p"/>
            </m:rPr>
            <m:t>.</m:t>
          </m:r>
        </m:oMath>
      </m:oMathPara>
    </w:p>
    <w:p>
      <w:pPr>
        <w:pStyle w:val="FirstParagraph"/>
      </w:pPr>
      <w:r>
        <w:t xml:space="preserve">Cette forme normalise chaque contribution par le niveau moyen de la paire. Elle est très sensible aux dénominateurs faibles ou nuls et doit donc être réservée aux variables strictement positives, avec un traitement explicite des valeurs proches de zéro.</w:t>
      </w:r>
    </w:p>
    <w:bookmarkEnd w:id="232"/>
    <w:bookmarkStart w:id="237" w:name="interprétation"/>
    <w:p>
      <w:pPr>
        <w:pStyle w:val="Heading3"/>
      </w:pPr>
      <w:r>
        <w:t xml:space="preserve">Interprétation</w:t>
      </w:r>
    </w:p>
    <w:p>
      <w:pPr>
        <w:pStyle w:val="FirstParagraph"/>
      </w:pPr>
      <w:r>
        <w:t xml:space="preserve">Les variogrammes relatifs sont principalement des outils de diagnostic. Ils peuvent aider à :</w:t>
      </w:r>
    </w:p>
    <w:p>
      <w:pPr>
        <w:pStyle w:val="Compact"/>
        <w:numPr>
          <w:ilvl w:val="0"/>
          <w:numId w:val="1053"/>
        </w:numPr>
      </w:pPr>
      <w:r>
        <w:t xml:space="preserve">comparer des structures entre des domaines de moyennes différentes;</w:t>
      </w:r>
    </w:p>
    <w:p>
      <w:pPr>
        <w:pStyle w:val="Compact"/>
        <w:numPr>
          <w:ilvl w:val="0"/>
          <w:numId w:val="1053"/>
        </w:numPr>
      </w:pPr>
      <w:r>
        <w:t xml:space="preserve">détecter un effet proportionnel;</w:t>
      </w:r>
    </w:p>
    <w:p>
      <w:pPr>
        <w:pStyle w:val="Compact"/>
        <w:numPr>
          <w:ilvl w:val="0"/>
          <w:numId w:val="1053"/>
        </w:numPr>
      </w:pPr>
      <w:r>
        <w:t xml:space="preserve">identifier une portée ou une anisotropie masquée par l’hétéroscédasticité.</w:t>
      </w:r>
    </w:p>
    <w:p>
      <w:pPr>
        <w:pStyle w:val="FirstParagraph"/>
      </w:pPr>
      <w:r>
        <w:t xml:space="preserve">Leur palier est sans dimension et ne représente pas directement la variance de la variable originale. Un variogramme relatif ne doit donc pas être utilisé directement dans un krigeage ordinaire sur l’échelle originale sans définir explicitement le modèle de variance locale et la manière de remettre les résultats à l’échelle.</w:t>
      </w:r>
    </w:p>
    <w:p>
      <w:pPr>
        <w:pStyle w:val="BodyText"/>
      </w:pPr>
      <w:r>
        <w:t xml:space="preserve">Dans plusieurs cas, une transformation logarithmique, une modélisation par domaines ou un modèle non stationnaire constitue une solution plus cohérente.</w:t>
      </w:r>
    </w:p>
    <w:tbl>
      <w:tblPr>
        <w:tblStyle w:val="Table"/>
        <w:tblW w:type="pct" w:w="5000"/>
        <w:tblLayout w:type="fixed"/>
        <w:tblLook w:firstRow="0" w:lastRow="0" w:firstColumn="0" w:lastColumn="0" w:noHBand="0" w:noVBand="0" w:val="0000"/>
      </w:tblPr>
      <w:tblGrid>
        <w:gridCol w:w="7920"/>
      </w:tblGrid>
      <w:tr>
        <w:tc>
          <w:tcPr/>
          <w:bookmarkStart w:id="236" w:name="fig-effet-proportionnel"/>
          <w:p>
            <w:pPr>
              <w:pStyle w:val="Compact"/>
              <w:jc w:val="center"/>
            </w:pPr>
            <w:r>
              <w:drawing>
                <wp:inline>
                  <wp:extent cx="5334000" cy="3640666"/>
                  <wp:effectExtent b="0" l="0" r="0" t="0"/>
                  <wp:docPr descr="" title="" id="234" name="Picture"/>
                  <a:graphic>
                    <a:graphicData uri="http://schemas.openxmlformats.org/drawingml/2006/picture">
                      <pic:pic>
                        <pic:nvPicPr>
                          <pic:cNvPr descr="images/C7_effet_proportionnel.png" id="235" name="Picture"/>
                          <pic:cNvPicPr>
                            <a:picLocks noChangeArrowheads="1" noChangeAspect="1"/>
                          </pic:cNvPicPr>
                        </pic:nvPicPr>
                        <pic:blipFill>
                          <a:blip r:embed="rId233"/>
                          <a:stretch>
                            <a:fillRect/>
                          </a:stretch>
                        </pic:blipFill>
                        <pic:spPr bwMode="auto">
                          <a:xfrm>
                            <a:off x="0" y="0"/>
                            <a:ext cx="5334000" cy="3640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Effet proportionnel et principe de la normalisation relative du variogramme.</w:t>
            </w:r>
          </w:p>
          <w:bookmarkEnd w:id="236"/>
        </w:tc>
      </w:tr>
    </w:tbl>
    <w:bookmarkEnd w:id="237"/>
    <w:bookmarkEnd w:id="2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28" Target="media/rId228.png" /><Relationship Type="http://schemas.openxmlformats.org/officeDocument/2006/relationships/image" Id="rId211" Target="media/rId211.png" /><Relationship Type="http://schemas.openxmlformats.org/officeDocument/2006/relationships/image" Id="rId201" Target="media/rId201.png" /><Relationship Type="http://schemas.openxmlformats.org/officeDocument/2006/relationships/image" Id="rId196" Target="media/rId196.png" /><Relationship Type="http://schemas.openxmlformats.org/officeDocument/2006/relationships/image" Id="rId30" Target="media/rId30.png" /><Relationship Type="http://schemas.openxmlformats.org/officeDocument/2006/relationships/image" Id="rId206" Target="media/rId206.png" /><Relationship Type="http://schemas.openxmlformats.org/officeDocument/2006/relationships/image" Id="rId221" Target="media/rId221.png" /><Relationship Type="http://schemas.openxmlformats.org/officeDocument/2006/relationships/image" Id="rId147" Target="media/rId147.png" /><Relationship Type="http://schemas.openxmlformats.org/officeDocument/2006/relationships/image" Id="rId143" Target="media/rId143.png" /><Relationship Type="http://schemas.openxmlformats.org/officeDocument/2006/relationships/image" Id="rId26" Target="media/rId26.png" /><Relationship Type="http://schemas.openxmlformats.org/officeDocument/2006/relationships/image" Id="rId93" Target="media/rId93.png" /><Relationship Type="http://schemas.openxmlformats.org/officeDocument/2006/relationships/image" Id="rId133" Target="media/rId133.png" /><Relationship Type="http://schemas.openxmlformats.org/officeDocument/2006/relationships/image" Id="rId216" Target="media/rId216.png" /><Relationship Type="http://schemas.openxmlformats.org/officeDocument/2006/relationships/image" Id="rId233" Target="media/rId233.png" /><Relationship Type="http://schemas.openxmlformats.org/officeDocument/2006/relationships/image" Id="rId114" Target="media/rId114.png" /><Relationship Type="http://schemas.openxmlformats.org/officeDocument/2006/relationships/image" Id="rId86" Target="media/rId86.png" /><Relationship Type="http://schemas.openxmlformats.org/officeDocument/2006/relationships/image" Id="rId42" Target="media/rId42.png" /><Relationship Type="http://schemas.openxmlformats.org/officeDocument/2006/relationships/image" Id="rId118" Target="media/rId118.png" /><Relationship Type="http://schemas.openxmlformats.org/officeDocument/2006/relationships/image" Id="rId60" Target="media/rId60.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122" Target="media/rId122.png" /><Relationship Type="http://schemas.openxmlformats.org/officeDocument/2006/relationships/image" Id="rId51" Target="media/rId51.png" /><Relationship Type="http://schemas.openxmlformats.org/officeDocument/2006/relationships/image" Id="rId178" Target="media/rId178.png" /><Relationship Type="http://schemas.openxmlformats.org/officeDocument/2006/relationships/image" Id="rId129" Target="media/rId1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Variogramme</dc:title>
  <dc:creator/>
  <dc:language>fr</dc:language>
  <cp:keywords/>
  <dcterms:created xsi:type="dcterms:W3CDTF">2026-08-01T15:52:16Z</dcterms:created>
  <dcterms:modified xsi:type="dcterms:W3CDTF">2026-08-01T15:52:16Z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introduit le variogramme, l’un des outils fondamentaux de la géostatistique. Il permet de décrire la manière dont une variable évolue dans l’espace à partir des données observées. Le calcul du variogramme expérimental est d’abord présenté, suivi de l’ajustement d’un modèle théorique. Cette étape est essentielle, puisque ce modèle est ensuite utilisé dans les méthodes d’estimation et de simulation. Le chapitre aborde également l’anisotropie ainsi que la relation entre le variogramme et la covariance.</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2</vt:lpwstr>
  </property>
  <property fmtid="{D5CDD505-2E9C-101B-9397-08002B2CF9AE}" pid="11" name="number-equations">
    <vt:lpwstr>True</vt:lpwstr>
  </property>
  <property fmtid="{D5CDD505-2E9C-101B-9397-08002B2CF9AE}" pid="12" name="toc-title">
    <vt:lpwstr>Table des matieres</vt:lpwstr>
  </property>
</Properties>
</file>