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00"/>
      </w:pPr>
      <w:r>
        <w:rPr>
          <w:rFonts w:ascii="Aptos Display" w:hAnsi="Aptos Display"/>
          <w:b/>
          <w:color w:val="17365D"/>
          <w:sz w:val="64"/>
        </w:rPr>
        <w:t>PhaRMA T</w:t>
      </w:r>
    </w:p>
    <w:p>
      <w:pPr>
        <w:spacing w:after="240"/>
      </w:pPr>
      <w:r>
        <w:rPr>
          <w:rFonts w:ascii="Aptos Display" w:hAnsi="Aptos Display"/>
          <w:b/>
          <w:color w:val="1F4E78"/>
          <w:sz w:val="38"/>
        </w:rPr>
        <w:t>Addendum tecnico-organizzativo al progetto</w:t>
      </w:r>
    </w:p>
    <w:p>
      <w:pPr>
        <w:spacing w:after="440"/>
        <w:pBdr>
          <w:bottom w:val="single" w:sz="18" w:space="9" w:color="0F766E"/>
        </w:pBdr>
      </w:pPr>
      <w:r>
        <w:rPr>
          <w:rFonts w:ascii="Aptos" w:hAnsi="Aptos"/>
          <w:color w:val="475569"/>
          <w:sz w:val="25"/>
        </w:rPr>
        <w:t>Perimetro del trattamento, infrastruttura cloud, sicurezza, governance e gestione documentale</w:t>
      </w:r>
    </w:p>
    <w:tbl>
      <w:tblPr>
        <w:tblW w:type="dxa" w:w="9410"/>
        <w:jc w:val="left"/>
        <w:tblLayout w:type="fixed"/>
        <w:tblLook w:firstColumn="1" w:firstRow="1" w:lastColumn="0" w:lastRow="0" w:noHBand="0" w:noVBand="1" w:val="04A0"/>
        <w:tblInd w:w="0" w:type="dxa"/>
        <w:tblBorders>
          <w:top w:val="single" w:sz="7" w:space="0" w:color="1F4E78"/>
          <w:left w:val="single" w:sz="7" w:space="0" w:color="1F4E78"/>
          <w:bottom w:val="single" w:sz="7" w:space="0" w:color="1F4E78"/>
          <w:right w:val="single" w:sz="7" w:space="0" w:color="1F4E78"/>
          <w:insideH w:val="single" w:sz="7" w:space="0" w:color="1F4E78"/>
          <w:insideV w:val="single" w:sz="7" w:space="0" w:color="1F4E78"/>
        </w:tblBorders>
      </w:tblPr>
      <w:tblGrid>
        <w:gridCol w:w="9410"/>
      </w:tblGrid>
      <w:tr>
        <w:tc>
          <w:tcPr>
            <w:tcW w:type="dxa" w:w="9410"/>
            <w:tcMar>
              <w:top w:w="95" w:type="dxa"/>
              <w:start w:w="130" w:type="dxa"/>
              <w:bottom w:w="95" w:type="dxa"/>
              <w:end w:w="130" w:type="dxa"/>
            </w:tcMar>
            <w:vAlign w:val="center"/>
            <w:shd w:fill="DDEBF7"/>
          </w:tcPr>
          <w:p>
            <w:pPr>
              <w:spacing w:after="60"/>
            </w:pPr>
            <w:r>
              <w:rPr>
                <w:b/>
                <w:color w:val="1F4E78"/>
                <w:sz w:val="19"/>
              </w:rPr>
              <w:t>STATO DEL DOCUMENTO</w:t>
            </w:r>
          </w:p>
          <w:p>
            <w:pPr>
              <w:spacing w:after="0" w:line="259" w:lineRule="auto"/>
            </w:pPr>
            <w:r>
              <w:t>Bozza per confronto e approvazione SIFO. Le attribuzioni di titolarità, responsabilità, governance, costi e validità documentale dei report non sono assunte unilateralmente dal proponente e devono essere definite con i referenti SIFO competenti.</w:t>
            </w:r>
          </w:p>
        </w:tc>
      </w:tr>
    </w:tbl>
    <w:p>
      <w:pPr>
        <w:spacing w:after="0"/>
      </w:pPr>
    </w:p>
    <w:tbl>
      <w:tblPr>
        <w:tblW w:type="dxa" w:w="941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710"/>
      </w:tblGrid>
      <w:tr>
        <w:tc>
          <w:tcPr>
            <w:tcW w:type="dxa" w:w="2700"/>
            <w:tcMar>
              <w:top w:w="95" w:type="dxa"/>
              <w:start w:w="130" w:type="dxa"/>
              <w:bottom w:w="95" w:type="dxa"/>
              <w:end w:w="130" w:type="dxa"/>
            </w:tcMar>
            <w:vAlign w:val="center"/>
            <w:shd w:fill="F5F7FA"/>
          </w:tcPr>
          <w:p>
            <w:pPr>
              <w:spacing w:after="0"/>
            </w:pPr>
            <w:r>
              <w:rPr>
                <w:b/>
                <w:color w:val="17365D"/>
              </w:rPr>
              <w:t>Documento</w:t>
            </w:r>
          </w:p>
        </w:tc>
        <w:tc>
          <w:tcPr>
            <w:tcW w:type="dxa" w:w="6710"/>
            <w:tcMar>
              <w:top w:w="95" w:type="dxa"/>
              <w:start w:w="130" w:type="dxa"/>
              <w:bottom w:w="95" w:type="dxa"/>
              <w:end w:w="130" w:type="dxa"/>
            </w:tcMar>
            <w:vAlign w:val="center"/>
          </w:tcPr>
          <w:p>
            <w:pPr>
              <w:spacing w:after="0"/>
            </w:pPr>
            <w:r>
              <w:t>Addendum tecnico-organizzativo al progetto PhaRMA T</w:t>
            </w:r>
          </w:p>
        </w:tc>
      </w:tr>
      <w:tr>
        <w:tc>
          <w:tcPr>
            <w:tcW w:type="dxa" w:w="2700"/>
            <w:tcMar>
              <w:top w:w="95" w:type="dxa"/>
              <w:start w:w="130" w:type="dxa"/>
              <w:bottom w:w="95" w:type="dxa"/>
              <w:end w:w="130" w:type="dxa"/>
            </w:tcMar>
            <w:vAlign w:val="center"/>
            <w:shd w:fill="F5F7FA"/>
          </w:tcPr>
          <w:p>
            <w:pPr>
              <w:spacing w:after="0"/>
            </w:pPr>
            <w:r>
              <w:rPr>
                <w:b/>
                <w:color w:val="17365D"/>
              </w:rPr>
              <w:t>Versione</w:t>
            </w:r>
          </w:p>
        </w:tc>
        <w:tc>
          <w:tcPr>
            <w:tcW w:type="dxa" w:w="6710"/>
            <w:tcMar>
              <w:top w:w="95" w:type="dxa"/>
              <w:start w:w="130" w:type="dxa"/>
              <w:bottom w:w="95" w:type="dxa"/>
              <w:end w:w="130" w:type="dxa"/>
            </w:tcMar>
            <w:vAlign w:val="center"/>
          </w:tcPr>
          <w:p>
            <w:pPr>
              <w:spacing w:after="0"/>
            </w:pPr>
            <w:r>
              <w:t>0.9 - bozza sottoposta a validazione</w:t>
            </w:r>
          </w:p>
        </w:tc>
      </w:tr>
      <w:tr>
        <w:tc>
          <w:tcPr>
            <w:tcW w:type="dxa" w:w="2700"/>
            <w:tcMar>
              <w:top w:w="95" w:type="dxa"/>
              <w:start w:w="130" w:type="dxa"/>
              <w:bottom w:w="95" w:type="dxa"/>
              <w:end w:w="130" w:type="dxa"/>
            </w:tcMar>
            <w:vAlign w:val="center"/>
            <w:shd w:fill="F5F7FA"/>
          </w:tcPr>
          <w:p>
            <w:pPr>
              <w:spacing w:after="0"/>
            </w:pPr>
            <w:r>
              <w:rPr>
                <w:b/>
                <w:color w:val="17365D"/>
              </w:rPr>
              <w:t>Data</w:t>
            </w:r>
          </w:p>
        </w:tc>
        <w:tc>
          <w:tcPr>
            <w:tcW w:type="dxa" w:w="6710"/>
            <w:tcMar>
              <w:top w:w="95" w:type="dxa"/>
              <w:start w:w="130" w:type="dxa"/>
              <w:bottom w:w="95" w:type="dxa"/>
              <w:end w:w="130" w:type="dxa"/>
            </w:tcMar>
            <w:vAlign w:val="center"/>
          </w:tcPr>
          <w:p>
            <w:pPr>
              <w:spacing w:after="0"/>
            </w:pPr>
            <w:r>
              <w:t>6 agosto 2026</w:t>
            </w:r>
          </w:p>
        </w:tc>
      </w:tr>
      <w:tr>
        <w:tc>
          <w:tcPr>
            <w:tcW w:type="dxa" w:w="2700"/>
            <w:tcMar>
              <w:top w:w="95" w:type="dxa"/>
              <w:start w:w="130" w:type="dxa"/>
              <w:bottom w:w="95" w:type="dxa"/>
              <w:end w:w="130" w:type="dxa"/>
            </w:tcMar>
            <w:vAlign w:val="center"/>
            <w:shd w:fill="F5F7FA"/>
          </w:tcPr>
          <w:p>
            <w:pPr>
              <w:spacing w:after="0"/>
            </w:pPr>
            <w:r>
              <w:rPr>
                <w:b/>
                <w:color w:val="17365D"/>
              </w:rPr>
              <w:t>Proponente</w:t>
            </w:r>
          </w:p>
        </w:tc>
        <w:tc>
          <w:tcPr>
            <w:tcW w:type="dxa" w:w="6710"/>
            <w:tcMar>
              <w:top w:w="95" w:type="dxa"/>
              <w:start w:w="130" w:type="dxa"/>
              <w:bottom w:w="95" w:type="dxa"/>
              <w:end w:w="130" w:type="dxa"/>
            </w:tcMar>
            <w:vAlign w:val="center"/>
          </w:tcPr>
          <w:p>
            <w:pPr>
              <w:spacing w:after="0"/>
            </w:pPr>
            <w:r>
              <w:t>Dott. Daniele Leonardi Vinci</w:t>
            </w:r>
          </w:p>
        </w:tc>
      </w:tr>
      <w:tr>
        <w:tc>
          <w:tcPr>
            <w:tcW w:type="dxa" w:w="2700"/>
            <w:tcMar>
              <w:top w:w="95" w:type="dxa"/>
              <w:start w:w="130" w:type="dxa"/>
              <w:bottom w:w="95" w:type="dxa"/>
              <w:end w:w="130" w:type="dxa"/>
            </w:tcMar>
            <w:vAlign w:val="center"/>
            <w:shd w:fill="F5F7FA"/>
          </w:tcPr>
          <w:p>
            <w:pPr>
              <w:spacing w:after="0"/>
            </w:pPr>
            <w:r>
              <w:rPr>
                <w:b/>
                <w:color w:val="17365D"/>
              </w:rPr>
              <w:t>Orizzonte progettuale</w:t>
            </w:r>
          </w:p>
        </w:tc>
        <w:tc>
          <w:tcPr>
            <w:tcW w:type="dxa" w:w="6710"/>
            <w:tcMar>
              <w:top w:w="95" w:type="dxa"/>
              <w:start w:w="130" w:type="dxa"/>
              <w:bottom w:w="95" w:type="dxa"/>
              <w:end w:w="130" w:type="dxa"/>
            </w:tcMar>
            <w:vAlign w:val="center"/>
          </w:tcPr>
          <w:p>
            <w:pPr>
              <w:spacing w:after="0"/>
            </w:pPr>
            <w:r>
              <w:t>Mandato ASC Rischio Clinico SIFO 2025-2028, con eventuale proroga da deliberare</w:t>
            </w:r>
          </w:p>
        </w:tc>
      </w:tr>
    </w:tbl>
    <w:p/>
    <w:p>
      <w:pPr>
        <w:spacing w:before="280"/>
        <w:jc w:val="center"/>
      </w:pPr>
      <w:r>
        <w:rPr>
          <w:i/>
          <w:color w:val="64748B"/>
          <w:sz w:val="19"/>
        </w:rPr>
        <w:t>Documento integrativo al Documento tecnico-progettuale PhaRMA T</w:t>
      </w:r>
    </w:p>
    <w:p>
      <w:r>
        <w:br w:type="page"/>
      </w:r>
    </w:p>
    <w:p>
      <w:pPr>
        <w:pStyle w:val="Heading1"/>
        <w:keepNext w:val="1"/>
      </w:pPr>
      <w:r>
        <w:t>Sintesi esecutiva</w:t>
      </w:r>
    </w:p>
    <w:p>
      <w:r>
        <w:t>Il presente addendum integra il documento tecnico-progettuale di PhaRMA T e risponde alle esigenze di chiarimento relative al perimetro dei dati, alla gestione dell'infrastruttura cloud, alle misure di sicurezza, ai fornitori, alla conservazione, all'esercizio dei diritti, alla governance del progetto e alla qualificazione documentale dei report.</w:t>
      </w:r>
    </w:p>
    <w:p>
      <w:r>
        <w:t>PhaRMA T è destinata a finalità formative, metodologiche e documentali nell'ambito del rischio clinico e della farmacia ospedaliera. Non è un dispositivo medico, non orienta decisioni cliniche individuali e non è progettata per raccogliere dati identificativi di pazienti o operatori. La presenza di campi testuali liberi rende tuttavia possibile un inserimento improprio o accidentale di informazioni personali: il rischio viene quindi gestito mediante minimizzazione, regole di compilazione, controlli contestuali, formazione, procedure di rettifica e cancellazione e segregazione tecnica dei dati.</w:t>
      </w:r>
    </w:p>
    <w:tbl>
      <w:tblPr>
        <w:tblW w:type="dxa" w:w="9410"/>
        <w:jc w:val="left"/>
        <w:tblLayout w:type="fixed"/>
        <w:tblLook w:firstColumn="1" w:firstRow="1" w:lastColumn="0" w:lastRow="0" w:noHBand="0" w:noVBand="1" w:val="04A0"/>
        <w:tblInd w:w="0" w:type="dxa"/>
        <w:tblBorders>
          <w:top w:val="single" w:sz="7" w:space="0" w:color="0F766E"/>
          <w:left w:val="single" w:sz="7" w:space="0" w:color="0F766E"/>
          <w:bottom w:val="single" w:sz="7" w:space="0" w:color="0F766E"/>
          <w:right w:val="single" w:sz="7" w:space="0" w:color="0F766E"/>
          <w:insideH w:val="single" w:sz="7" w:space="0" w:color="0F766E"/>
          <w:insideV w:val="single" w:sz="7" w:space="0" w:color="0F766E"/>
        </w:tblBorders>
      </w:tblPr>
      <w:tblGrid>
        <w:gridCol w:w="9410"/>
      </w:tblGrid>
      <w:tr>
        <w:tc>
          <w:tcPr>
            <w:tcW w:type="dxa" w:w="9410"/>
            <w:tcMar>
              <w:top w:w="95" w:type="dxa"/>
              <w:start w:w="130" w:type="dxa"/>
              <w:bottom w:w="95" w:type="dxa"/>
              <w:end w:w="130" w:type="dxa"/>
            </w:tcMar>
            <w:vAlign w:val="center"/>
            <w:shd w:fill="E6F4F1"/>
          </w:tcPr>
          <w:p>
            <w:pPr>
              <w:spacing w:after="60"/>
            </w:pPr>
            <w:r>
              <w:rPr>
                <w:b/>
                <w:color w:val="0F766E"/>
                <w:sz w:val="19"/>
              </w:rPr>
              <w:t>RACCOMANDAZIONE</w:t>
            </w:r>
          </w:p>
          <w:p>
            <w:pPr>
              <w:spacing w:after="0" w:line="259" w:lineRule="auto"/>
            </w:pPr>
            <w:r>
              <w:t>Procedere per fasi. L'ambiente attuale su account personali e piani gratuiti è idoneo alla validazione tecnica con dati sintetici. L'apertura a utenti reali in un pilota istituzionale richiede la preventiva definizione dei ruoli, la disciplina contrattuale dei fornitori e un assetto di governo approvato da SIFO.</w:t>
            </w:r>
          </w:p>
        </w:tc>
      </w:tr>
    </w:tbl>
    <w:p>
      <w:pPr>
        <w:spacing w:after="0"/>
      </w:pPr>
    </w:p>
    <w:p>
      <w:pPr>
        <w:pStyle w:val="Heading2"/>
        <w:keepNext w:val="1"/>
      </w:pPr>
      <w:r>
        <w:t>Contenuti dell'addendum</w:t>
      </w:r>
    </w:p>
    <w:p>
      <w:pPr>
        <w:pStyle w:val="ListNumber"/>
        <w:numPr>
          <w:ilvl w:val="0"/>
          <w:numId w:val="10"/>
        </w:numPr>
      </w:pPr>
      <w:r>
        <w:t>Finalità, perimetro e qualificazione del documento.</w:t>
      </w:r>
    </w:p>
    <w:p>
      <w:pPr>
        <w:pStyle w:val="ListNumber"/>
        <w:numPr>
          <w:ilvl w:val="0"/>
          <w:numId w:val="10"/>
        </w:numPr>
      </w:pPr>
      <w:r>
        <w:t>Dati trattati, dati non ammessi e misure di minimizzazione.</w:t>
      </w:r>
    </w:p>
    <w:p>
      <w:pPr>
        <w:pStyle w:val="ListNumber"/>
        <w:numPr>
          <w:ilvl w:val="0"/>
          <w:numId w:val="10"/>
        </w:numPr>
      </w:pPr>
      <w:r>
        <w:t>Architettura, flussi informativi, fornitori e localizzazione.</w:t>
      </w:r>
    </w:p>
    <w:p>
      <w:pPr>
        <w:pStyle w:val="ListNumber"/>
        <w:numPr>
          <w:ilvl w:val="0"/>
          <w:numId w:val="10"/>
        </w:numPr>
      </w:pPr>
      <w:r>
        <w:t>Misure tecniche e organizzative e gestione dei diritti.</w:t>
      </w:r>
    </w:p>
    <w:p>
      <w:pPr>
        <w:pStyle w:val="ListNumber"/>
        <w:numPr>
          <w:ilvl w:val="0"/>
          <w:numId w:val="10"/>
        </w:numPr>
      </w:pPr>
      <w:r>
        <w:t>Governance transitoria e proposta di passaggio a SIFO.</w:t>
      </w:r>
    </w:p>
    <w:p>
      <w:pPr>
        <w:pStyle w:val="ListNumber"/>
        <w:numPr>
          <w:ilvl w:val="0"/>
          <w:numId w:val="10"/>
        </w:numPr>
      </w:pPr>
      <w:r>
        <w:t>Conservazione, cancellazione e gestione essenziale delle segnalazioni.</w:t>
      </w:r>
    </w:p>
    <w:p>
      <w:pPr>
        <w:pStyle w:val="ListNumber"/>
        <w:numPr>
          <w:ilvl w:val="0"/>
          <w:numId w:val="10"/>
        </w:numPr>
      </w:pPr>
      <w:r>
        <w:t>Qualificazione e possibile versionamento dei report.</w:t>
      </w:r>
    </w:p>
    <w:p>
      <w:pPr>
        <w:pStyle w:val="ListNumber"/>
        <w:numPr>
          <w:ilvl w:val="0"/>
          <w:numId w:val="10"/>
        </w:numPr>
      </w:pPr>
      <w:r>
        <w:t>Decisioni richieste a SIFO e condizioni preliminari al pilota.</w:t>
      </w:r>
    </w:p>
    <w:p>
      <w:pPr>
        <w:pStyle w:val="Heading1"/>
        <w:keepNext w:val="1"/>
      </w:pPr>
      <w:r>
        <w:t>1. Finalità e natura dell'addendum</w:t>
      </w:r>
    </w:p>
    <w:p>
      <w:r>
        <w:t>L'addendum ha natura tecnico-organizzativa e costituisce una proposta di disciplina da sottoporre a confronto con i referenti scientifici, privacy, legali e ICT di SIFO. Non sostituisce l'informativa agli utenti, il registro delle attività di trattamento, gli accordi con i fornitori o le determinazioni formali del soggetto che assumerà la governance.</w:t>
      </w:r>
    </w:p>
    <w:tbl>
      <w:tblPr>
        <w:tblW w:type="dxa" w:w="941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710"/>
      </w:tblGrid>
      <w:tr>
        <w:trPr>
          <w:cantSplit/>
        </w:trPr>
        <w:tc>
          <w:tcPr>
            <w:tcW w:type="dxa" w:w="2700"/>
            <w:tcMar>
              <w:top w:w="95" w:type="dxa"/>
              <w:start w:w="130" w:type="dxa"/>
              <w:bottom w:w="95" w:type="dxa"/>
              <w:end w:w="130" w:type="dxa"/>
            </w:tcMar>
            <w:vAlign w:val="center"/>
            <w:shd w:fill="F5F7FA"/>
          </w:tcPr>
          <w:p>
            <w:pPr>
              <w:spacing w:after="0"/>
            </w:pPr>
            <w:r>
              <w:rPr>
                <w:b/>
                <w:color w:val="17365D"/>
              </w:rPr>
              <w:t>Ambito</w:t>
            </w:r>
          </w:p>
        </w:tc>
        <w:tc>
          <w:tcPr>
            <w:tcW w:type="dxa" w:w="6710"/>
            <w:tcMar>
              <w:top w:w="95" w:type="dxa"/>
              <w:start w:w="130" w:type="dxa"/>
              <w:bottom w:w="95" w:type="dxa"/>
              <w:end w:w="130" w:type="dxa"/>
            </w:tcMar>
            <w:vAlign w:val="center"/>
          </w:tcPr>
          <w:p>
            <w:pPr>
              <w:spacing w:after="0"/>
            </w:pPr>
            <w:r>
              <w:t>PhaRMA T: moduli FMEA, RCA e Gap Analysis, autenticazione, database, report ed export.</w:t>
            </w:r>
          </w:p>
        </w:tc>
      </w:tr>
      <w:tr>
        <w:trPr>
          <w:cantSplit/>
        </w:trPr>
        <w:tc>
          <w:tcPr>
            <w:tcW w:type="dxa" w:w="2700"/>
            <w:tcMar>
              <w:top w:w="95" w:type="dxa"/>
              <w:start w:w="130" w:type="dxa"/>
              <w:bottom w:w="95" w:type="dxa"/>
              <w:end w:w="130" w:type="dxa"/>
            </w:tcMar>
            <w:vAlign w:val="center"/>
            <w:shd w:fill="F5F7FA"/>
          </w:tcPr>
          <w:p>
            <w:pPr>
              <w:spacing w:after="0"/>
            </w:pPr>
            <w:r>
              <w:rPr>
                <w:b/>
                <w:color w:val="17365D"/>
              </w:rPr>
              <w:t>Finalità</w:t>
            </w:r>
          </w:p>
        </w:tc>
        <w:tc>
          <w:tcPr>
            <w:tcW w:type="dxa" w:w="6710"/>
            <w:tcMar>
              <w:top w:w="95" w:type="dxa"/>
              <w:start w:w="130" w:type="dxa"/>
              <w:bottom w:w="95" w:type="dxa"/>
              <w:end w:w="130" w:type="dxa"/>
            </w:tcMar>
            <w:vAlign w:val="center"/>
          </w:tcPr>
          <w:p>
            <w:pPr>
              <w:spacing w:after="0"/>
            </w:pPr>
            <w:r>
              <w:t>Formazione, esercitazione metodologica, standardizzazione documentale e supporto a gruppi di lavoro.</w:t>
            </w:r>
          </w:p>
        </w:tc>
      </w:tr>
      <w:tr>
        <w:trPr>
          <w:cantSplit/>
        </w:trPr>
        <w:tc>
          <w:tcPr>
            <w:tcW w:type="dxa" w:w="2700"/>
            <w:tcMar>
              <w:top w:w="95" w:type="dxa"/>
              <w:start w:w="130" w:type="dxa"/>
              <w:bottom w:w="95" w:type="dxa"/>
              <w:end w:w="130" w:type="dxa"/>
            </w:tcMar>
            <w:vAlign w:val="center"/>
            <w:shd w:fill="F5F7FA"/>
          </w:tcPr>
          <w:p>
            <w:pPr>
              <w:spacing w:after="0"/>
            </w:pPr>
            <w:r>
              <w:rPr>
                <w:b/>
                <w:color w:val="17365D"/>
              </w:rPr>
              <w:t>Esclusioni</w:t>
            </w:r>
          </w:p>
        </w:tc>
        <w:tc>
          <w:tcPr>
            <w:tcW w:type="dxa" w:w="6710"/>
            <w:tcMar>
              <w:top w:w="95" w:type="dxa"/>
              <w:start w:w="130" w:type="dxa"/>
              <w:bottom w:w="95" w:type="dxa"/>
              <w:end w:w="130" w:type="dxa"/>
            </w:tcMar>
            <w:vAlign w:val="center"/>
          </w:tcPr>
          <w:p>
            <w:pPr>
              <w:spacing w:after="0"/>
            </w:pPr>
            <w:r>
              <w:t>Decisioni cliniche individuali, diagnosi, terapia, prognosi, gestione della cartella clinica e trattamento intenzionale di dati sanitari identificativi.</w:t>
            </w:r>
          </w:p>
        </w:tc>
      </w:tr>
      <w:tr>
        <w:trPr>
          <w:cantSplit/>
        </w:trPr>
        <w:tc>
          <w:tcPr>
            <w:tcW w:type="dxa" w:w="2700"/>
            <w:tcMar>
              <w:top w:w="95" w:type="dxa"/>
              <w:start w:w="130" w:type="dxa"/>
              <w:bottom w:w="95" w:type="dxa"/>
              <w:end w:w="130" w:type="dxa"/>
            </w:tcMar>
            <w:vAlign w:val="center"/>
            <w:shd w:fill="F5F7FA"/>
          </w:tcPr>
          <w:p>
            <w:pPr>
              <w:spacing w:after="0"/>
            </w:pPr>
            <w:r>
              <w:rPr>
                <w:b/>
                <w:color w:val="17365D"/>
              </w:rPr>
              <w:t>Stato</w:t>
            </w:r>
          </w:p>
        </w:tc>
        <w:tc>
          <w:tcPr>
            <w:tcW w:type="dxa" w:w="6710"/>
            <w:tcMar>
              <w:top w:w="95" w:type="dxa"/>
              <w:start w:w="130" w:type="dxa"/>
              <w:bottom w:w="95" w:type="dxa"/>
              <w:end w:w="130" w:type="dxa"/>
            </w:tcMar>
            <w:vAlign w:val="center"/>
          </w:tcPr>
          <w:p>
            <w:pPr>
              <w:spacing w:after="0"/>
            </w:pPr>
            <w:r>
              <w:t>Bozza da validare. I ruoli di titolare, responsabile, referente tecnico e owner dei contenuti sono indicati come proposta, non come attribuzione definitiva.</w:t>
            </w:r>
          </w:p>
        </w:tc>
      </w:tr>
    </w:tbl>
    <w:p>
      <w:pPr>
        <w:spacing w:after="0"/>
      </w:pPr>
    </w:p>
    <w:p>
      <w:pPr>
        <w:pStyle w:val="Heading1"/>
        <w:keepNext w:val="1"/>
      </w:pPr>
      <w:r>
        <w:t>2. Perimetro dei dati e utilizzi previsti</w:t>
      </w:r>
    </w:p>
    <w:p>
      <w:pPr>
        <w:pStyle w:val="Heading2"/>
        <w:keepNext w:val="1"/>
      </w:pPr>
      <w:r>
        <w:t>2.1 Categorie di dati previste</w:t>
      </w:r>
    </w:p>
    <w:p>
      <w:pPr>
        <w:pStyle w:val="ListBullet"/>
      </w:pPr>
      <w:r>
        <w:t>Dati dell'account: indirizzo e-mail, identificativo tecnico dell'utente, credenziali gestite da Supabase e metadati di autenticazione.</w:t>
      </w:r>
    </w:p>
    <w:p>
      <w:pPr>
        <w:pStyle w:val="ListBullet"/>
      </w:pPr>
      <w:r>
        <w:t>Dati organizzativi: struttura, reparto o unità, ruolo o nominativo del responsabile dell'attività quando inseriti dall'utente.</w:t>
      </w:r>
    </w:p>
    <w:p>
      <w:pPr>
        <w:pStyle w:val="ListBullet"/>
      </w:pPr>
      <w:r>
        <w:t>Dati metodologici: assessment, processi, rischi, cause, 5 Whys, gap, norme, requisiti, azioni correttive, scadenze e note.</w:t>
      </w:r>
    </w:p>
    <w:p>
      <w:pPr>
        <w:pStyle w:val="ListBullet"/>
      </w:pPr>
      <w:r>
        <w:t>Dati tecnici: indirizzo IP, browser, dispositivo, timestamp ed eventi di accesso generati dai servizi cloud secondo le rispettive configurazioni.</w:t>
      </w:r>
    </w:p>
    <w:p>
      <w:pPr>
        <w:pStyle w:val="ListBullet"/>
      </w:pPr>
      <w:r>
        <w:t>Output: file PDF, Excel, PNG e JSON generati nel browser e scaricati dall'utente sul proprio dispositivo.</w:t>
      </w:r>
    </w:p>
    <w:p>
      <w:pPr>
        <w:pStyle w:val="Heading2"/>
        <w:keepNext w:val="1"/>
      </w:pPr>
      <w:r>
        <w:t>2.2 Dati non ammessi</w:t>
      </w:r>
    </w:p>
    <w:p>
      <w:pPr>
        <w:pStyle w:val="ListBullet"/>
      </w:pPr>
      <w:r>
        <w:t>Nomi, cognomi, iniziali significative, codici fiscali, numeri di cartella o codici paziente riconducibili a persone.</w:t>
      </w:r>
    </w:p>
    <w:p>
      <w:pPr>
        <w:pStyle w:val="ListBullet"/>
      </w:pPr>
      <w:r>
        <w:t>Date di nascita, recapiti, immagini, allegati o dettagli clinici individuali.</w:t>
      </w:r>
    </w:p>
    <w:p>
      <w:pPr>
        <w:pStyle w:val="ListBullet"/>
      </w:pPr>
      <w:r>
        <w:t>Nominativi di operatori coinvolti in eventi o near miss, se non strettamente necessari e formalmente autorizzati.</w:t>
      </w:r>
    </w:p>
    <w:p>
      <w:pPr>
        <w:pStyle w:val="ListBullet"/>
      </w:pPr>
      <w:r>
        <w:t>Combinazioni narrative che, per rarità dell'evento, luogo, data o ruolo, rendano ragionevolmente identificabile una persona.</w:t>
      </w:r>
    </w:p>
    <w:tbl>
      <w:tblPr>
        <w:tblW w:type="dxa" w:w="9410"/>
        <w:jc w:val="left"/>
        <w:tblLayout w:type="fixed"/>
        <w:tblLook w:firstColumn="1" w:firstRow="1" w:lastColumn="0" w:lastRow="0" w:noHBand="0" w:noVBand="1" w:val="04A0"/>
        <w:tblInd w:w="0" w:type="dxa"/>
        <w:tblBorders>
          <w:top w:val="single" w:sz="7" w:space="0" w:color="A16207"/>
          <w:left w:val="single" w:sz="7" w:space="0" w:color="A16207"/>
          <w:bottom w:val="single" w:sz="7" w:space="0" w:color="A16207"/>
          <w:right w:val="single" w:sz="7" w:space="0" w:color="A16207"/>
          <w:insideH w:val="single" w:sz="7" w:space="0" w:color="A16207"/>
          <w:insideV w:val="single" w:sz="7" w:space="0" w:color="A16207"/>
        </w:tblBorders>
      </w:tblPr>
      <w:tblGrid>
        <w:gridCol w:w="9410"/>
      </w:tblGrid>
      <w:tr>
        <w:tc>
          <w:tcPr>
            <w:tcW w:type="dxa" w:w="9410"/>
            <w:tcMar>
              <w:top w:w="95" w:type="dxa"/>
              <w:start w:w="130" w:type="dxa"/>
              <w:bottom w:w="95" w:type="dxa"/>
              <w:end w:w="130" w:type="dxa"/>
            </w:tcMar>
            <w:vAlign w:val="center"/>
            <w:shd w:fill="FFF4D6"/>
          </w:tcPr>
          <w:p>
            <w:pPr>
              <w:spacing w:after="60"/>
            </w:pPr>
            <w:r>
              <w:rPr>
                <w:b/>
                <w:color w:val="A16207"/>
                <w:sz w:val="19"/>
              </w:rPr>
              <w:t>PRINCIPIO OPERATIVO</w:t>
            </w:r>
          </w:p>
          <w:p>
            <w:pPr>
              <w:spacing w:after="0" w:line="259" w:lineRule="auto"/>
            </w:pPr>
            <w:r>
              <w:t>L'app non deve essere descritta come sistema che anonimizza automaticamente i dati. È più corretto affermare che è progettata per raccogliere dati non identificativi e che applica misure di contenimento del rischio di inserimento improprio nei campi liberi.</w:t>
            </w:r>
          </w:p>
        </w:tc>
      </w:tr>
    </w:tbl>
    <w:p>
      <w:pPr>
        <w:spacing w:after="0"/>
      </w:pPr>
    </w:p>
    <w:p>
      <w:pPr>
        <w:pStyle w:val="Heading1"/>
        <w:keepNext w:val="1"/>
      </w:pPr>
      <w:r>
        <w:t>3. Anonimizzazione, pseudonimizzazione e minimizzazione</w:t>
      </w:r>
    </w:p>
    <w:p>
      <w:r>
        <w:t>Il Regolamento (UE) 2016/679 non impone in ogni caso l'anonimizzazione come unica misura possibile. Impone che i dati personali siano adeguati, pertinenti e limitati a quanto necessario, che la protezione sia integrata nella progettazione e che le misure di sicurezza siano proporzionate al rischio. I dati resi realmente anonimi, in modo che l'interessato non sia più identificabile con mezzi ragionevolmente utilizzabili, escono dal campo di applicazione del Regolamento; i dati pseudonimizzati restano invece dati personali quando possono essere ricollegati a una persona mediante informazioni aggiuntive.</w:t>
      </w:r>
    </w:p>
    <w:p>
      <w:r>
        <w:t>Nel perimetro proposto, l'obiettivo primario non è conservare dati clinici pseudonimizzati, ma evitare a monte l'inserimento di informazioni personali. Se un caso formativo richiede un riferimento, deve essere usato un codice didattico privo di chiave di ricongiungimento all'interno della piattaforma. Eventuali chiavi detenute esternamente renderebbero i dati pseudonimizzati e richiederebbero una valutazione distinta da parte del titolare.</w:t>
      </w:r>
    </w:p>
    <w:p>
      <w:pPr>
        <w:pStyle w:val="Heading2"/>
        <w:keepNext w:val="1"/>
      </w:pPr>
      <w:r>
        <w:t>3.1 Misure già presenti</w:t>
      </w:r>
    </w:p>
    <w:p>
      <w:pPr>
        <w:pStyle w:val="ListBullet"/>
      </w:pPr>
      <w:r>
        <w:t>Privacy Policy, termini d'uso e disclaimer che vietano dati personali, sanitari o identificativi.</w:t>
      </w:r>
    </w:p>
    <w:p>
      <w:pPr>
        <w:pStyle w:val="ListBullet"/>
      </w:pPr>
      <w:r>
        <w:t>Messaggi nelle schermate di accesso e registrazione sull'uso di dati simulati, anonimi o non identificativi.</w:t>
      </w:r>
    </w:p>
    <w:p>
      <w:pPr>
        <w:pStyle w:val="ListBullet"/>
      </w:pPr>
      <w:r>
        <w:t>Export GDPR complessivo dei dati FMEA, RCA e Gap Analysis.</w:t>
      </w:r>
    </w:p>
    <w:p>
      <w:pPr>
        <w:pStyle w:val="ListBullet"/>
      </w:pPr>
      <w:r>
        <w:t>Procedura strutturata di richiesta di cancellazione mediante contatto verificato.</w:t>
      </w:r>
    </w:p>
    <w:p>
      <w:pPr>
        <w:pStyle w:val="ListBullet"/>
      </w:pPr>
      <w:r>
        <w:t>Separazione dei dati per utente mediante autenticazione e Row Level Security.</w:t>
      </w:r>
    </w:p>
    <w:p>
      <w:pPr>
        <w:pStyle w:val="Heading2"/>
        <w:keepNext w:val="1"/>
      </w:pPr>
      <w:r>
        <w:t>3.2 Misure da consolidare prima del pilota</w:t>
      </w:r>
    </w:p>
    <w:p>
      <w:pPr>
        <w:pStyle w:val="ListBullet"/>
      </w:pPr>
      <w:r>
        <w:t>Banner contestuali nei form sensibili: non inserire dati identificativi di pazienti o operatori.</w:t>
      </w:r>
    </w:p>
    <w:p>
      <w:pPr>
        <w:pStyle w:val="ListBullet"/>
      </w:pPr>
      <w:r>
        <w:t>Placeholder ed esempi formulati con casi generici, reparti, ruoli e date non riconducibili a eventi reali.</w:t>
      </w:r>
    </w:p>
    <w:p>
      <w:pPr>
        <w:pStyle w:val="ListBullet"/>
      </w:pPr>
      <w:r>
        <w:t>Regola di compilazione: descrivere processo, fattore contribuente e conseguenza organizzativa, evitando dettagli individuali non necessari.</w:t>
      </w:r>
    </w:p>
    <w:p>
      <w:pPr>
        <w:pStyle w:val="ListBullet"/>
      </w:pPr>
      <w:r>
        <w:t>Breve presa visione iniziale e richiamo nel manuale utente e nel materiale formativo.</w:t>
      </w:r>
    </w:p>
    <w:p>
      <w:pPr>
        <w:pStyle w:val="ListBullet"/>
      </w:pPr>
      <w:r>
        <w:t>Procedura di segnalazione, rettifica e rimozione rapida dei contenuti impropri.</w:t>
      </w:r>
    </w:p>
    <w:p>
      <w:pPr>
        <w:pStyle w:val="ListBullet"/>
      </w:pPr>
      <w:r>
        <w:t>Verifica periodica a campione limitata agli aspetti metodologici, senza accesso generalizzato ai contenuti degli utenti e secondo ruoli autorizzati da definire.</w:t>
      </w:r>
    </w:p>
    <w:tbl>
      <w:tblPr>
        <w:tblW w:type="dxa" w:w="9410"/>
        <w:jc w:val="left"/>
        <w:tblLayout w:type="fixed"/>
        <w:tblLook w:firstColumn="1" w:firstRow="1" w:lastColumn="0" w:lastRow="0" w:noHBand="0" w:noVBand="1" w:val="04A0"/>
        <w:tblInd w:w="0" w:type="dxa"/>
        <w:tblBorders>
          <w:top w:val="single" w:sz="7" w:space="0" w:color="1F4E78"/>
          <w:left w:val="single" w:sz="7" w:space="0" w:color="1F4E78"/>
          <w:bottom w:val="single" w:sz="7" w:space="0" w:color="1F4E78"/>
          <w:right w:val="single" w:sz="7" w:space="0" w:color="1F4E78"/>
          <w:insideH w:val="single" w:sz="7" w:space="0" w:color="1F4E78"/>
          <w:insideV w:val="single" w:sz="7" w:space="0" w:color="1F4E78"/>
        </w:tblBorders>
      </w:tblPr>
      <w:tblGrid>
        <w:gridCol w:w="9410"/>
      </w:tblGrid>
      <w:tr>
        <w:tc>
          <w:tcPr>
            <w:tcW w:type="dxa" w:w="9410"/>
            <w:tcMar>
              <w:top w:w="95" w:type="dxa"/>
              <w:start w:w="130" w:type="dxa"/>
              <w:bottom w:w="95" w:type="dxa"/>
              <w:end w:w="130" w:type="dxa"/>
            </w:tcMar>
            <w:vAlign w:val="center"/>
            <w:shd w:fill="DDEBF7"/>
          </w:tcPr>
          <w:p>
            <w:pPr>
              <w:spacing w:after="60"/>
            </w:pPr>
            <w:r>
              <w:rPr>
                <w:b/>
                <w:color w:val="1F4E78"/>
                <w:sz w:val="19"/>
              </w:rPr>
              <w:t>CONTROLLO AUTOMATICO DEI TESTI</w:t>
            </w:r>
          </w:p>
          <w:p>
            <w:pPr>
              <w:spacing w:after="0" w:line="259" w:lineRule="auto"/>
            </w:pPr>
            <w:r>
              <w:t>Non si propone un blocco basato esclusivamente su espressioni regolari per e-mail, telefoni o codici fiscali: tali controlli possono produrre falsi positivi e non riconoscono l'identificabilità indiretta. Sono preferibili istruzioni contestuali, formazione, rettifica, cancellazione e responsabilizzazione dell'utente.</w:t>
            </w:r>
          </w:p>
        </w:tc>
      </w:tr>
    </w:tbl>
    <w:p>
      <w:pPr>
        <w:spacing w:after="0"/>
      </w:pPr>
    </w:p>
    <w:p>
      <w:pPr>
        <w:pStyle w:val="Heading1"/>
        <w:keepNext w:val="1"/>
      </w:pPr>
      <w:r>
        <w:t>4. Architettura e flusso delle informazioni</w:t>
      </w:r>
    </w:p>
    <w:p>
      <w:r>
        <w:t>PhaRMA T è una single page application React/TypeScript. Il codice dell'interfaccia viene distribuito da Vercel al browser. Dopo l'autenticazione, il browser comunica direttamente con Supabase tramite API HTTPS. Non è presente un backend custom né un ulteriore server applicativo proprietario. Gli export sono prodotti prevalentemente nel browser.</w:t>
      </w:r>
    </w:p>
    <w:p>
      <w:r>
        <w:drawing>
          <wp:inline xmlns:a="http://schemas.openxmlformats.org/drawingml/2006/main" xmlns:pic="http://schemas.openxmlformats.org/drawingml/2006/picture">
            <wp:extent cx="5922000" cy="2072700"/>
            <wp:docPr id="1" name="Picture 1"/>
            <wp:cNvGraphicFramePr>
              <a:graphicFrameLocks noChangeAspect="1"/>
            </wp:cNvGraphicFramePr>
            <a:graphic>
              <a:graphicData uri="http://schemas.openxmlformats.org/drawingml/2006/picture">
                <pic:pic>
                  <pic:nvPicPr>
                    <pic:cNvPr id="0" name="addendum_flusso_dati.png"/>
                    <pic:cNvPicPr/>
                  </pic:nvPicPr>
                  <pic:blipFill>
                    <a:blip r:embed="rId11"/>
                    <a:stretch>
                      <a:fillRect/>
                    </a:stretch>
                  </pic:blipFill>
                  <pic:spPr>
                    <a:xfrm>
                      <a:off x="0" y="0"/>
                      <a:ext cx="5922000" cy="2072700"/>
                    </a:xfrm>
                    <a:prstGeom prst="rect"/>
                  </pic:spPr>
                </pic:pic>
              </a:graphicData>
            </a:graphic>
          </wp:inline>
        </w:drawing>
      </w:r>
    </w:p>
    <w:p>
      <w:pPr>
        <w:spacing w:after="160"/>
        <w:jc w:val="center"/>
      </w:pPr>
      <w:r>
        <w:rPr>
          <w:i/>
          <w:color w:val="64748B"/>
          <w:sz w:val="18"/>
        </w:rPr>
        <w:t>Figura 1. Flusso tecnico principale dell'applicazione.</w:t>
      </w:r>
    </w:p>
    <w:tbl>
      <w:tblPr>
        <w:tblW w:type="dxa" w:w="941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710"/>
      </w:tblGrid>
      <w:tr>
        <w:trPr>
          <w:cantSplit/>
        </w:trPr>
        <w:tc>
          <w:tcPr>
            <w:tcW w:type="dxa" w:w="2700"/>
            <w:tcMar>
              <w:top w:w="95" w:type="dxa"/>
              <w:start w:w="130" w:type="dxa"/>
              <w:bottom w:w="95" w:type="dxa"/>
              <w:end w:w="130" w:type="dxa"/>
            </w:tcMar>
            <w:vAlign w:val="center"/>
            <w:shd w:fill="F5F7FA"/>
          </w:tcPr>
          <w:p>
            <w:pPr>
              <w:spacing w:after="0"/>
            </w:pPr>
            <w:r>
              <w:rPr>
                <w:b/>
                <w:color w:val="17365D"/>
              </w:rPr>
              <w:t>Frontend</w:t>
            </w:r>
          </w:p>
        </w:tc>
        <w:tc>
          <w:tcPr>
            <w:tcW w:type="dxa" w:w="6710"/>
            <w:tcMar>
              <w:top w:w="95" w:type="dxa"/>
              <w:start w:w="130" w:type="dxa"/>
              <w:bottom w:w="95" w:type="dxa"/>
              <w:end w:w="130" w:type="dxa"/>
            </w:tcMar>
            <w:vAlign w:val="center"/>
          </w:tcPr>
          <w:p>
            <w:pPr>
              <w:spacing w:after="0"/>
            </w:pPr>
            <w:r>
              <w:t>React 19, TypeScript, Vite, Tailwind CSS; routing protetto e interfacce FMEA/RCA/Gap.</w:t>
            </w:r>
          </w:p>
        </w:tc>
      </w:tr>
      <w:tr>
        <w:trPr>
          <w:cantSplit/>
        </w:trPr>
        <w:tc>
          <w:tcPr>
            <w:tcW w:type="dxa" w:w="2700"/>
            <w:tcMar>
              <w:top w:w="95" w:type="dxa"/>
              <w:start w:w="130" w:type="dxa"/>
              <w:bottom w:w="95" w:type="dxa"/>
              <w:end w:w="130" w:type="dxa"/>
            </w:tcMar>
            <w:vAlign w:val="center"/>
            <w:shd w:fill="F5F7FA"/>
          </w:tcPr>
          <w:p>
            <w:pPr>
              <w:spacing w:after="0"/>
            </w:pPr>
            <w:r>
              <w:rPr>
                <w:b/>
                <w:color w:val="17365D"/>
              </w:rPr>
              <w:t>Backend gestito</w:t>
            </w:r>
          </w:p>
        </w:tc>
        <w:tc>
          <w:tcPr>
            <w:tcW w:type="dxa" w:w="6710"/>
            <w:tcMar>
              <w:top w:w="95" w:type="dxa"/>
              <w:start w:w="130" w:type="dxa"/>
              <w:bottom w:w="95" w:type="dxa"/>
              <w:end w:w="130" w:type="dxa"/>
            </w:tcMar>
            <w:vAlign w:val="center"/>
          </w:tcPr>
          <w:p>
            <w:pPr>
              <w:spacing w:after="0"/>
            </w:pPr>
            <w:r>
              <w:t>Supabase Auth, API automatiche e PostgreSQL. Nessuna API custom applicativa.</w:t>
            </w:r>
          </w:p>
        </w:tc>
      </w:tr>
      <w:tr>
        <w:trPr>
          <w:cantSplit/>
        </w:trPr>
        <w:tc>
          <w:tcPr>
            <w:tcW w:type="dxa" w:w="2700"/>
            <w:tcMar>
              <w:top w:w="95" w:type="dxa"/>
              <w:start w:w="130" w:type="dxa"/>
              <w:bottom w:w="95" w:type="dxa"/>
              <w:end w:w="130" w:type="dxa"/>
            </w:tcMar>
            <w:vAlign w:val="center"/>
            <w:shd w:fill="F5F7FA"/>
          </w:tcPr>
          <w:p>
            <w:pPr>
              <w:spacing w:after="0"/>
            </w:pPr>
            <w:r>
              <w:rPr>
                <w:b/>
                <w:color w:val="17365D"/>
              </w:rPr>
              <w:t>Hosting</w:t>
            </w:r>
          </w:p>
        </w:tc>
        <w:tc>
          <w:tcPr>
            <w:tcW w:type="dxa" w:w="6710"/>
            <w:tcMar>
              <w:top w:w="95" w:type="dxa"/>
              <w:start w:w="130" w:type="dxa"/>
              <w:bottom w:w="95" w:type="dxa"/>
              <w:end w:w="130" w:type="dxa"/>
            </w:tcMar>
            <w:vAlign w:val="center"/>
          </w:tcPr>
          <w:p>
            <w:pPr>
              <w:spacing w:after="0"/>
            </w:pPr>
            <w:r>
              <w:t>Vercel distribuisce gli asset frontend e gestisce HTTPS/deploy; non conserva il database applicativo.</w:t>
            </w:r>
          </w:p>
        </w:tc>
      </w:tr>
      <w:tr>
        <w:trPr>
          <w:cantSplit/>
        </w:trPr>
        <w:tc>
          <w:tcPr>
            <w:tcW w:type="dxa" w:w="2700"/>
            <w:tcMar>
              <w:top w:w="95" w:type="dxa"/>
              <w:start w:w="130" w:type="dxa"/>
              <w:bottom w:w="95" w:type="dxa"/>
              <w:end w:w="130" w:type="dxa"/>
            </w:tcMar>
            <w:vAlign w:val="center"/>
            <w:shd w:fill="F5F7FA"/>
          </w:tcPr>
          <w:p>
            <w:pPr>
              <w:spacing w:after="0"/>
            </w:pPr>
            <w:r>
              <w:rPr>
                <w:b/>
                <w:color w:val="17365D"/>
              </w:rPr>
              <w:t>Sviluppo e versione</w:t>
            </w:r>
          </w:p>
        </w:tc>
        <w:tc>
          <w:tcPr>
            <w:tcW w:type="dxa" w:w="6710"/>
            <w:tcMar>
              <w:top w:w="95" w:type="dxa"/>
              <w:start w:w="130" w:type="dxa"/>
              <w:bottom w:w="95" w:type="dxa"/>
              <w:end w:w="130" w:type="dxa"/>
            </w:tcMar>
            <w:vAlign w:val="center"/>
          </w:tcPr>
          <w:p>
            <w:pPr>
              <w:spacing w:after="0"/>
            </w:pPr>
            <w:r>
              <w:t>Codice su GitHub; sviluppo locale con Node.js e Visual Studio Code o ambiente equivalente.</w:t>
            </w:r>
          </w:p>
        </w:tc>
      </w:tr>
      <w:tr>
        <w:trPr>
          <w:cantSplit/>
        </w:trPr>
        <w:tc>
          <w:tcPr>
            <w:tcW w:type="dxa" w:w="2700"/>
            <w:tcMar>
              <w:top w:w="95" w:type="dxa"/>
              <w:start w:w="130" w:type="dxa"/>
              <w:bottom w:w="95" w:type="dxa"/>
              <w:end w:w="130" w:type="dxa"/>
            </w:tcMar>
            <w:vAlign w:val="center"/>
            <w:shd w:fill="F5F7FA"/>
          </w:tcPr>
          <w:p>
            <w:pPr>
              <w:spacing w:after="0"/>
            </w:pPr>
            <w:r>
              <w:rPr>
                <w:b/>
                <w:color w:val="17365D"/>
              </w:rPr>
              <w:t>Export</w:t>
            </w:r>
          </w:p>
        </w:tc>
        <w:tc>
          <w:tcPr>
            <w:tcW w:type="dxa" w:w="6710"/>
            <w:tcMar>
              <w:top w:w="95" w:type="dxa"/>
              <w:start w:w="130" w:type="dxa"/>
              <w:bottom w:w="95" w:type="dxa"/>
              <w:end w:w="130" w:type="dxa"/>
            </w:tcMar>
            <w:vAlign w:val="center"/>
          </w:tcPr>
          <w:p>
            <w:pPr>
              <w:spacing w:after="0"/>
            </w:pPr>
            <w:r>
              <w:t>PDF, Excel, PNG e JSON generati lato client; i file scaricati sono poi sotto il controllo dell'utente.</w:t>
            </w:r>
          </w:p>
        </w:tc>
      </w:tr>
    </w:tbl>
    <w:p>
      <w:pPr>
        <w:spacing w:after="0"/>
      </w:pPr>
    </w:p>
    <w:p>
      <w:pPr>
        <w:pStyle w:val="Heading1"/>
        <w:keepNext w:val="1"/>
      </w:pPr>
      <w:r>
        <w:t>5. Fornitori, localizzazione e trasferimenti</w:t>
      </w:r>
    </w:p>
    <w:p>
      <w:pPr>
        <w:pStyle w:val="Heading2"/>
        <w:keepNext w:val="1"/>
      </w:pPr>
      <w:r>
        <w:t>5.1 Supabase</w:t>
      </w:r>
    </w:p>
    <w:p>
      <w:r>
        <w:t>Il progetto utilizza attualmente il piano Free di Supabase. Il database principale è configurato nella regione specifica West EU (Paris), corrispondente a eu-west-3. La scelta della regione è una misura di localizzazione del database primario, ma non dimostra da sola la piena conformità: servizi accessori e subfornitori devono essere considerati secondo la documentazione contrattuale e il Data Processing Addendum.</w:t>
      </w:r>
    </w:p>
    <w:p>
      <w:r>
        <w:t>Il DPA Supabase qualifica ordinariamente il cliente come titolare e Supabase come responsabile, oppure Supabase come sub-responsabile quando il cliente opera per conto di un proprio titolare. Il DPA disciplina anche subfornitori e clausole contrattuali standard per i trasferimenti. Alla data del presente addendum, il DPA non risulta sottoscritto: la sottoscrizione da parte del soggetto corretto è indicata come condizione preliminare all'apertura del pilota istituzionale.</w:t>
      </w:r>
    </w:p>
    <w:p>
      <w:pPr>
        <w:pStyle w:val="Heading2"/>
        <w:keepNext w:val="1"/>
      </w:pPr>
      <w:r>
        <w:t>5.2 Vercel</w:t>
      </w:r>
    </w:p>
    <w:p>
      <w:r>
        <w:t>Il progetto utilizza attualmente Vercel Hobby/Free per distribuire il frontend. Vercel tratta almeno metadati tecnici di accesso e informazioni generate dal servizio, pur non ospitando il database applicativo. Il DPA pubblico di Vercel dichiara l'applicazione del ruolo di responsabile ai clienti Pro ed Enterprise. Ne consegue che l'uso istituzionale su piano Hobby richiede una valutazione contrattuale specifica; la soluzione prudenziale è il passaggio almeno a Pro oppure l'adozione di un hosting governato direttamente da SIFO.</w:t>
      </w:r>
    </w:p>
    <w:p>
      <w:pPr>
        <w:pStyle w:val="Heading2"/>
        <w:keepNext w:val="1"/>
      </w:pPr>
      <w:r>
        <w:t>5.3 GitHub e ambiente di sviluppo</w:t>
      </w:r>
    </w:p>
    <w:p>
      <w:r>
        <w:t>GitHub contiene il codice sorgente e lo storico delle modifiche, non i contenuti operativi degli assessment. Le variabili segrete non devono essere incluse nel repository. Visual Studio Code e gli strumenti locali sono ambienti di sviluppo e non costituiscono componenti produttive accessibili agli utenti finali.</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50"/>
        <w:gridCol w:w="2350"/>
        <w:gridCol w:w="2650"/>
        <w:gridCol w:w="2660"/>
      </w:tblGrid>
      <w:tr>
        <w:trPr>
          <w:tblHeader w:val="true"/>
          <w:cantSplit/>
        </w:trPr>
        <w:tc>
          <w:tcPr>
            <w:tcW w:type="dxa" w:w="1750"/>
            <w:tcMar>
              <w:top w:w="95" w:type="dxa"/>
              <w:start w:w="130" w:type="dxa"/>
              <w:bottom w:w="95" w:type="dxa"/>
              <w:end w:w="130" w:type="dxa"/>
            </w:tcMar>
            <w:vAlign w:val="center"/>
            <w:shd w:fill="17365D"/>
          </w:tcPr>
          <w:p>
            <w:pPr>
              <w:spacing w:after="0"/>
            </w:pPr>
            <w:r>
              <w:rPr>
                <w:b/>
                <w:color w:val="FFFFFF"/>
                <w:sz w:val="17"/>
              </w:rPr>
              <w:t>Fornitore</w:t>
            </w:r>
          </w:p>
        </w:tc>
        <w:tc>
          <w:tcPr>
            <w:tcW w:type="dxa" w:w="2350"/>
            <w:tcMar>
              <w:top w:w="95" w:type="dxa"/>
              <w:start w:w="130" w:type="dxa"/>
              <w:bottom w:w="95" w:type="dxa"/>
              <w:end w:w="130" w:type="dxa"/>
            </w:tcMar>
            <w:vAlign w:val="center"/>
            <w:shd w:fill="17365D"/>
          </w:tcPr>
          <w:p>
            <w:pPr>
              <w:spacing w:after="0"/>
            </w:pPr>
            <w:r>
              <w:rPr>
                <w:b/>
                <w:color w:val="FFFFFF"/>
                <w:sz w:val="17"/>
              </w:rPr>
              <w:t>Funzione</w:t>
            </w:r>
          </w:p>
        </w:tc>
        <w:tc>
          <w:tcPr>
            <w:tcW w:type="dxa" w:w="2650"/>
            <w:tcMar>
              <w:top w:w="95" w:type="dxa"/>
              <w:start w:w="130" w:type="dxa"/>
              <w:bottom w:w="95" w:type="dxa"/>
              <w:end w:w="130" w:type="dxa"/>
            </w:tcMar>
            <w:vAlign w:val="center"/>
            <w:shd w:fill="17365D"/>
          </w:tcPr>
          <w:p>
            <w:pPr>
              <w:spacing w:after="0"/>
            </w:pPr>
            <w:r>
              <w:rPr>
                <w:b/>
                <w:color w:val="FFFFFF"/>
                <w:sz w:val="17"/>
              </w:rPr>
              <w:t>Stato attuale</w:t>
            </w:r>
          </w:p>
        </w:tc>
        <w:tc>
          <w:tcPr>
            <w:tcW w:type="dxa" w:w="2660"/>
            <w:tcMar>
              <w:top w:w="95" w:type="dxa"/>
              <w:start w:w="130" w:type="dxa"/>
              <w:bottom w:w="95" w:type="dxa"/>
              <w:end w:w="130" w:type="dxa"/>
            </w:tcMar>
            <w:vAlign w:val="center"/>
            <w:shd w:fill="17365D"/>
          </w:tcPr>
          <w:p>
            <w:pPr>
              <w:spacing w:after="0"/>
            </w:pPr>
            <w:r>
              <w:rPr>
                <w:b/>
                <w:color w:val="FFFFFF"/>
                <w:sz w:val="17"/>
              </w:rPr>
              <w:t>Azione proposta</w:t>
            </w:r>
          </w:p>
        </w:tc>
      </w:tr>
      <w:tr>
        <w:trPr>
          <w:cantSplit/>
        </w:trPr>
        <w:tc>
          <w:tcPr>
            <w:tcW w:type="dxa" w:w="1750"/>
            <w:tcMar>
              <w:top w:w="95" w:type="dxa"/>
              <w:start w:w="130" w:type="dxa"/>
              <w:bottom w:w="95" w:type="dxa"/>
              <w:end w:w="130" w:type="dxa"/>
            </w:tcMar>
            <w:vAlign w:val="center"/>
          </w:tcPr>
          <w:p>
            <w:pPr>
              <w:spacing w:after="0" w:line="252" w:lineRule="auto"/>
            </w:pPr>
            <w:r>
              <w:rPr>
                <w:sz w:val="17"/>
              </w:rPr>
              <w:t>Supabase</w:t>
            </w:r>
          </w:p>
        </w:tc>
        <w:tc>
          <w:tcPr>
            <w:tcW w:type="dxa" w:w="2350"/>
            <w:tcMar>
              <w:top w:w="95" w:type="dxa"/>
              <w:start w:w="130" w:type="dxa"/>
              <w:bottom w:w="95" w:type="dxa"/>
              <w:end w:w="130" w:type="dxa"/>
            </w:tcMar>
            <w:vAlign w:val="center"/>
          </w:tcPr>
          <w:p>
            <w:pPr>
              <w:spacing w:after="0" w:line="252" w:lineRule="auto"/>
            </w:pPr>
            <w:r>
              <w:rPr>
                <w:sz w:val="17"/>
              </w:rPr>
              <w:t>Auth, database, API, RLS</w:t>
            </w:r>
          </w:p>
        </w:tc>
        <w:tc>
          <w:tcPr>
            <w:tcW w:type="dxa" w:w="2650"/>
            <w:tcMar>
              <w:top w:w="95" w:type="dxa"/>
              <w:start w:w="130" w:type="dxa"/>
              <w:bottom w:w="95" w:type="dxa"/>
              <w:end w:w="130" w:type="dxa"/>
            </w:tcMar>
            <w:vAlign w:val="center"/>
          </w:tcPr>
          <w:p>
            <w:pPr>
              <w:spacing w:after="0" w:line="252" w:lineRule="auto"/>
            </w:pPr>
            <w:r>
              <w:rPr>
                <w:sz w:val="17"/>
              </w:rPr>
              <w:t>Free; database primario a Parigi; DPA non sottoscritto</w:t>
            </w:r>
          </w:p>
        </w:tc>
        <w:tc>
          <w:tcPr>
            <w:tcW w:type="dxa" w:w="2660"/>
            <w:tcMar>
              <w:top w:w="95" w:type="dxa"/>
              <w:start w:w="130" w:type="dxa"/>
              <w:bottom w:w="95" w:type="dxa"/>
              <w:end w:w="130" w:type="dxa"/>
            </w:tcMar>
            <w:vAlign w:val="center"/>
          </w:tcPr>
          <w:p>
            <w:pPr>
              <w:spacing w:after="0" w:line="252" w:lineRule="auto"/>
            </w:pPr>
            <w:r>
              <w:rPr>
                <w:sz w:val="17"/>
              </w:rPr>
              <w:t>Definire cliente/titolare, sottoscrivere DPA e valutare Pro prima del pilota istituzionale</w:t>
            </w:r>
          </w:p>
        </w:tc>
      </w:tr>
      <w:tr>
        <w:trPr>
          <w:cantSplit/>
        </w:trPr>
        <w:tc>
          <w:tcPr>
            <w:tcW w:type="dxa" w:w="1750"/>
            <w:shd w:fill="FAFBFC"/>
            <w:tcMar>
              <w:top w:w="95" w:type="dxa"/>
              <w:start w:w="130" w:type="dxa"/>
              <w:bottom w:w="95" w:type="dxa"/>
              <w:end w:w="130" w:type="dxa"/>
            </w:tcMar>
            <w:vAlign w:val="center"/>
          </w:tcPr>
          <w:p>
            <w:pPr>
              <w:spacing w:after="0" w:line="252" w:lineRule="auto"/>
            </w:pPr>
            <w:r>
              <w:rPr>
                <w:sz w:val="17"/>
              </w:rPr>
              <w:t>Vercel</w:t>
            </w:r>
          </w:p>
        </w:tc>
        <w:tc>
          <w:tcPr>
            <w:tcW w:type="dxa" w:w="2350"/>
            <w:shd w:fill="FAFBFC"/>
            <w:tcMar>
              <w:top w:w="95" w:type="dxa"/>
              <w:start w:w="130" w:type="dxa"/>
              <w:bottom w:w="95" w:type="dxa"/>
              <w:end w:w="130" w:type="dxa"/>
            </w:tcMar>
            <w:vAlign w:val="center"/>
          </w:tcPr>
          <w:p>
            <w:pPr>
              <w:spacing w:after="0" w:line="252" w:lineRule="auto"/>
            </w:pPr>
            <w:r>
              <w:rPr>
                <w:sz w:val="17"/>
              </w:rPr>
              <w:t>Hosting frontend, HTTPS, deploy</w:t>
            </w:r>
          </w:p>
        </w:tc>
        <w:tc>
          <w:tcPr>
            <w:tcW w:type="dxa" w:w="2650"/>
            <w:shd w:fill="FAFBFC"/>
            <w:tcMar>
              <w:top w:w="95" w:type="dxa"/>
              <w:start w:w="130" w:type="dxa"/>
              <w:bottom w:w="95" w:type="dxa"/>
              <w:end w:w="130" w:type="dxa"/>
            </w:tcMar>
            <w:vAlign w:val="center"/>
          </w:tcPr>
          <w:p>
            <w:pPr>
              <w:spacing w:after="0" w:line="252" w:lineRule="auto"/>
            </w:pPr>
            <w:r>
              <w:rPr>
                <w:sz w:val="17"/>
              </w:rPr>
              <w:t>Hobby/Free; nessun database applicativo</w:t>
            </w:r>
          </w:p>
        </w:tc>
        <w:tc>
          <w:tcPr>
            <w:tcW w:type="dxa" w:w="2660"/>
            <w:shd w:fill="FAFBFC"/>
            <w:tcMar>
              <w:top w:w="95" w:type="dxa"/>
              <w:start w:w="130" w:type="dxa"/>
              <w:bottom w:w="95" w:type="dxa"/>
              <w:end w:w="130" w:type="dxa"/>
            </w:tcMar>
            <w:vAlign w:val="center"/>
          </w:tcPr>
          <w:p>
            <w:pPr>
              <w:spacing w:after="0" w:line="252" w:lineRule="auto"/>
            </w:pPr>
            <w:r>
              <w:rPr>
                <w:sz w:val="17"/>
              </w:rPr>
              <w:t>Valutare Pro o hosting SIFO per governance contrattuale e DPA</w:t>
            </w:r>
          </w:p>
        </w:tc>
      </w:tr>
      <w:tr>
        <w:trPr>
          <w:cantSplit/>
        </w:trPr>
        <w:tc>
          <w:tcPr>
            <w:tcW w:type="dxa" w:w="1750"/>
            <w:tcMar>
              <w:top w:w="95" w:type="dxa"/>
              <w:start w:w="130" w:type="dxa"/>
              <w:bottom w:w="95" w:type="dxa"/>
              <w:end w:w="130" w:type="dxa"/>
            </w:tcMar>
            <w:vAlign w:val="center"/>
          </w:tcPr>
          <w:p>
            <w:pPr>
              <w:spacing w:after="0" w:line="252" w:lineRule="auto"/>
            </w:pPr>
            <w:r>
              <w:rPr>
                <w:sz w:val="17"/>
              </w:rPr>
              <w:t>GitHub</w:t>
            </w:r>
          </w:p>
        </w:tc>
        <w:tc>
          <w:tcPr>
            <w:tcW w:type="dxa" w:w="2350"/>
            <w:tcMar>
              <w:top w:w="95" w:type="dxa"/>
              <w:start w:w="130" w:type="dxa"/>
              <w:bottom w:w="95" w:type="dxa"/>
              <w:end w:w="130" w:type="dxa"/>
            </w:tcMar>
            <w:vAlign w:val="center"/>
          </w:tcPr>
          <w:p>
            <w:pPr>
              <w:spacing w:after="0" w:line="252" w:lineRule="auto"/>
            </w:pPr>
            <w:r>
              <w:rPr>
                <w:sz w:val="17"/>
              </w:rPr>
              <w:t>Versionamento codice</w:t>
            </w:r>
          </w:p>
        </w:tc>
        <w:tc>
          <w:tcPr>
            <w:tcW w:type="dxa" w:w="2650"/>
            <w:tcMar>
              <w:top w:w="95" w:type="dxa"/>
              <w:start w:w="130" w:type="dxa"/>
              <w:bottom w:w="95" w:type="dxa"/>
              <w:end w:w="130" w:type="dxa"/>
            </w:tcMar>
            <w:vAlign w:val="center"/>
          </w:tcPr>
          <w:p>
            <w:pPr>
              <w:spacing w:after="0" w:line="252" w:lineRule="auto"/>
            </w:pPr>
            <w:r>
              <w:rPr>
                <w:sz w:val="17"/>
              </w:rPr>
              <w:t>Repository del progetto</w:t>
            </w:r>
          </w:p>
        </w:tc>
        <w:tc>
          <w:tcPr>
            <w:tcW w:type="dxa" w:w="2660"/>
            <w:tcMar>
              <w:top w:w="95" w:type="dxa"/>
              <w:start w:w="130" w:type="dxa"/>
              <w:bottom w:w="95" w:type="dxa"/>
              <w:end w:w="130" w:type="dxa"/>
            </w:tcMar>
            <w:vAlign w:val="center"/>
          </w:tcPr>
          <w:p>
            <w:pPr>
              <w:spacing w:after="0" w:line="252" w:lineRule="auto"/>
            </w:pPr>
            <w:r>
              <w:rPr>
                <w:sz w:val="17"/>
              </w:rPr>
              <w:t>Definire ownership, amministratori, protezione branch e gestione accessi</w:t>
            </w:r>
          </w:p>
        </w:tc>
      </w:tr>
    </w:tbl>
    <w:p>
      <w:pPr>
        <w:spacing w:after="0"/>
      </w:pPr>
    </w:p>
    <w:p>
      <w:pPr>
        <w:pStyle w:val="Heading1"/>
        <w:keepNext w:val="1"/>
      </w:pPr>
      <w:r>
        <w:t>6. Misure tecniche e organizzative</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4700"/>
        <w:gridCol w:w="2810"/>
      </w:tblGrid>
      <w:tr>
        <w:trPr>
          <w:tblHeader w:val="true"/>
          <w:cantSplit/>
        </w:trPr>
        <w:tc>
          <w:tcPr>
            <w:tcW w:type="dxa" w:w="1900"/>
            <w:tcMar>
              <w:top w:w="95" w:type="dxa"/>
              <w:start w:w="130" w:type="dxa"/>
              <w:bottom w:w="95" w:type="dxa"/>
              <w:end w:w="130" w:type="dxa"/>
            </w:tcMar>
            <w:vAlign w:val="center"/>
            <w:shd w:fill="17365D"/>
          </w:tcPr>
          <w:p>
            <w:pPr>
              <w:spacing w:after="0"/>
            </w:pPr>
            <w:r>
              <w:rPr>
                <w:b/>
                <w:color w:val="FFFFFF"/>
                <w:sz w:val="17"/>
              </w:rPr>
              <w:t>Area</w:t>
            </w:r>
          </w:p>
        </w:tc>
        <w:tc>
          <w:tcPr>
            <w:tcW w:type="dxa" w:w="4700"/>
            <w:tcMar>
              <w:top w:w="95" w:type="dxa"/>
              <w:start w:w="130" w:type="dxa"/>
              <w:bottom w:w="95" w:type="dxa"/>
              <w:end w:w="130" w:type="dxa"/>
            </w:tcMar>
            <w:vAlign w:val="center"/>
            <w:shd w:fill="17365D"/>
          </w:tcPr>
          <w:p>
            <w:pPr>
              <w:spacing w:after="0"/>
            </w:pPr>
            <w:r>
              <w:rPr>
                <w:b/>
                <w:color w:val="FFFFFF"/>
                <w:sz w:val="17"/>
              </w:rPr>
              <w:t>Misura attuale</w:t>
            </w:r>
          </w:p>
        </w:tc>
        <w:tc>
          <w:tcPr>
            <w:tcW w:type="dxa" w:w="2810"/>
            <w:tcMar>
              <w:top w:w="95" w:type="dxa"/>
              <w:start w:w="130" w:type="dxa"/>
              <w:bottom w:w="95" w:type="dxa"/>
              <w:end w:w="130" w:type="dxa"/>
            </w:tcMar>
            <w:vAlign w:val="center"/>
            <w:shd w:fill="17365D"/>
          </w:tcPr>
          <w:p>
            <w:pPr>
              <w:spacing w:after="0"/>
            </w:pPr>
            <w:r>
              <w:rPr>
                <w:b/>
                <w:color w:val="FFFFFF"/>
                <w:sz w:val="17"/>
              </w:rPr>
              <w:t>Stato / presidio</w:t>
            </w:r>
          </w:p>
        </w:tc>
      </w:tr>
      <w:tr>
        <w:trPr>
          <w:cantSplit/>
        </w:trPr>
        <w:tc>
          <w:tcPr>
            <w:tcW w:type="dxa" w:w="1900"/>
            <w:tcMar>
              <w:top w:w="95" w:type="dxa"/>
              <w:start w:w="130" w:type="dxa"/>
              <w:bottom w:w="95" w:type="dxa"/>
              <w:end w:w="130" w:type="dxa"/>
            </w:tcMar>
            <w:vAlign w:val="center"/>
          </w:tcPr>
          <w:p>
            <w:pPr>
              <w:spacing w:after="0" w:line="252" w:lineRule="auto"/>
            </w:pPr>
            <w:r>
              <w:rPr>
                <w:sz w:val="17"/>
              </w:rPr>
              <w:t>Autenticazione</w:t>
            </w:r>
          </w:p>
        </w:tc>
        <w:tc>
          <w:tcPr>
            <w:tcW w:type="dxa" w:w="4700"/>
            <w:tcMar>
              <w:top w:w="95" w:type="dxa"/>
              <w:start w:w="130" w:type="dxa"/>
              <w:bottom w:w="95" w:type="dxa"/>
              <w:end w:w="130" w:type="dxa"/>
            </w:tcMar>
            <w:vAlign w:val="center"/>
          </w:tcPr>
          <w:p>
            <w:pPr>
              <w:spacing w:after="0" w:line="252" w:lineRule="auto"/>
            </w:pPr>
            <w:r>
              <w:rPr>
                <w:sz w:val="17"/>
              </w:rPr>
              <w:t>Supabase Auth, verifica e-mail obbligatoria, accesso anonimo disabilitato</w:t>
            </w:r>
          </w:p>
        </w:tc>
        <w:tc>
          <w:tcPr>
            <w:tcW w:type="dxa" w:w="2810"/>
            <w:tcMar>
              <w:top w:w="95" w:type="dxa"/>
              <w:start w:w="130" w:type="dxa"/>
              <w:bottom w:w="95" w:type="dxa"/>
              <w:end w:w="130" w:type="dxa"/>
            </w:tcMar>
            <w:vAlign w:val="center"/>
          </w:tcPr>
          <w:p>
            <w:pPr>
              <w:spacing w:after="0" w:line="252" w:lineRule="auto"/>
            </w:pPr>
            <w:r>
              <w:rPr>
                <w:sz w:val="17"/>
              </w:rPr>
              <w:t>Implementato e configurato</w:t>
            </w:r>
          </w:p>
        </w:tc>
      </w:tr>
      <w:tr>
        <w:trPr>
          <w:cantSplit/>
        </w:trPr>
        <w:tc>
          <w:tcPr>
            <w:tcW w:type="dxa" w:w="1900"/>
            <w:shd w:fill="FAFBFC"/>
            <w:tcMar>
              <w:top w:w="95" w:type="dxa"/>
              <w:start w:w="130" w:type="dxa"/>
              <w:bottom w:w="95" w:type="dxa"/>
              <w:end w:w="130" w:type="dxa"/>
            </w:tcMar>
            <w:vAlign w:val="center"/>
          </w:tcPr>
          <w:p>
            <w:pPr>
              <w:spacing w:after="0" w:line="252" w:lineRule="auto"/>
            </w:pPr>
            <w:r>
              <w:rPr>
                <w:sz w:val="17"/>
              </w:rPr>
              <w:t>Password</w:t>
            </w:r>
          </w:p>
        </w:tc>
        <w:tc>
          <w:tcPr>
            <w:tcW w:type="dxa" w:w="4700"/>
            <w:shd w:fill="FAFBFC"/>
            <w:tcMar>
              <w:top w:w="95" w:type="dxa"/>
              <w:start w:w="130" w:type="dxa"/>
              <w:bottom w:w="95" w:type="dxa"/>
              <w:end w:w="130" w:type="dxa"/>
            </w:tcMar>
            <w:vAlign w:val="center"/>
          </w:tcPr>
          <w:p>
            <w:pPr>
              <w:spacing w:after="0" w:line="252" w:lineRule="auto"/>
            </w:pPr>
            <w:r>
              <w:rPr>
                <w:sz w:val="17"/>
              </w:rPr>
              <w:t>Minimo 12 caratteri con minuscole, maiuscole, numeri e simboli</w:t>
            </w:r>
          </w:p>
        </w:tc>
        <w:tc>
          <w:tcPr>
            <w:tcW w:type="dxa" w:w="2810"/>
            <w:shd w:fill="FAFBFC"/>
            <w:tcMar>
              <w:top w:w="95" w:type="dxa"/>
              <w:start w:w="130" w:type="dxa"/>
              <w:bottom w:w="95" w:type="dxa"/>
              <w:end w:w="130" w:type="dxa"/>
            </w:tcMar>
            <w:vAlign w:val="center"/>
          </w:tcPr>
          <w:p>
            <w:pPr>
              <w:spacing w:after="0" w:line="252" w:lineRule="auto"/>
            </w:pPr>
            <w:r>
              <w:rPr>
                <w:sz w:val="17"/>
              </w:rPr>
              <w:t>Implementato in UI e configurato nel provider</w:t>
            </w:r>
          </w:p>
        </w:tc>
      </w:tr>
      <w:tr>
        <w:trPr>
          <w:cantSplit/>
        </w:trPr>
        <w:tc>
          <w:tcPr>
            <w:tcW w:type="dxa" w:w="1900"/>
            <w:tcMar>
              <w:top w:w="95" w:type="dxa"/>
              <w:start w:w="130" w:type="dxa"/>
              <w:bottom w:w="95" w:type="dxa"/>
              <w:end w:w="130" w:type="dxa"/>
            </w:tcMar>
            <w:vAlign w:val="center"/>
          </w:tcPr>
          <w:p>
            <w:pPr>
              <w:spacing w:after="0" w:line="252" w:lineRule="auto"/>
            </w:pPr>
            <w:r>
              <w:rPr>
                <w:sz w:val="17"/>
              </w:rPr>
              <w:t>Autorizzazione</w:t>
            </w:r>
          </w:p>
        </w:tc>
        <w:tc>
          <w:tcPr>
            <w:tcW w:type="dxa" w:w="4700"/>
            <w:tcMar>
              <w:top w:w="95" w:type="dxa"/>
              <w:start w:w="130" w:type="dxa"/>
              <w:bottom w:w="95" w:type="dxa"/>
              <w:end w:w="130" w:type="dxa"/>
            </w:tcMar>
            <w:vAlign w:val="center"/>
          </w:tcPr>
          <w:p>
            <w:pPr>
              <w:spacing w:after="0" w:line="252" w:lineRule="auto"/>
            </w:pPr>
            <w:r>
              <w:rPr>
                <w:sz w:val="17"/>
              </w:rPr>
              <w:t>Route protette e Row Level Security su tabelle applicative</w:t>
            </w:r>
          </w:p>
        </w:tc>
        <w:tc>
          <w:tcPr>
            <w:tcW w:type="dxa" w:w="2810"/>
            <w:tcMar>
              <w:top w:w="95" w:type="dxa"/>
              <w:start w:w="130" w:type="dxa"/>
              <w:bottom w:w="95" w:type="dxa"/>
              <w:end w:w="130" w:type="dxa"/>
            </w:tcMar>
            <w:vAlign w:val="center"/>
          </w:tcPr>
          <w:p>
            <w:pPr>
              <w:spacing w:after="0" w:line="252" w:lineRule="auto"/>
            </w:pPr>
            <w:r>
              <w:rPr>
                <w:sz w:val="17"/>
              </w:rPr>
              <w:t>Implementato; policy rafforzate e verificate</w:t>
            </w:r>
          </w:p>
        </w:tc>
      </w:tr>
      <w:tr>
        <w:trPr>
          <w:cantSplit/>
        </w:trPr>
        <w:tc>
          <w:tcPr>
            <w:tcW w:type="dxa" w:w="1900"/>
            <w:shd w:fill="FAFBFC"/>
            <w:tcMar>
              <w:top w:w="95" w:type="dxa"/>
              <w:start w:w="130" w:type="dxa"/>
              <w:bottom w:w="95" w:type="dxa"/>
              <w:end w:w="130" w:type="dxa"/>
            </w:tcMar>
            <w:vAlign w:val="center"/>
          </w:tcPr>
          <w:p>
            <w:pPr>
              <w:spacing w:after="0" w:line="252" w:lineRule="auto"/>
            </w:pPr>
            <w:r>
              <w:rPr>
                <w:sz w:val="17"/>
              </w:rPr>
              <w:t>Segregazione</w:t>
            </w:r>
          </w:p>
        </w:tc>
        <w:tc>
          <w:tcPr>
            <w:tcW w:type="dxa" w:w="4700"/>
            <w:shd w:fill="FAFBFC"/>
            <w:tcMar>
              <w:top w:w="95" w:type="dxa"/>
              <w:start w:w="130" w:type="dxa"/>
              <w:bottom w:w="95" w:type="dxa"/>
              <w:end w:w="130" w:type="dxa"/>
            </w:tcMar>
            <w:vAlign w:val="center"/>
          </w:tcPr>
          <w:p>
            <w:pPr>
              <w:spacing w:after="0" w:line="252" w:lineRule="auto"/>
            </w:pPr>
            <w:r>
              <w:rPr>
                <w:sz w:val="17"/>
              </w:rPr>
              <w:t>Record associati all'utente; controlli auth.uid() e vincoli sulle tabelle figlie</w:t>
            </w:r>
          </w:p>
        </w:tc>
        <w:tc>
          <w:tcPr>
            <w:tcW w:type="dxa" w:w="2810"/>
            <w:shd w:fill="FAFBFC"/>
            <w:tcMar>
              <w:top w:w="95" w:type="dxa"/>
              <w:start w:w="130" w:type="dxa"/>
              <w:bottom w:w="95" w:type="dxa"/>
              <w:end w:w="130" w:type="dxa"/>
            </w:tcMar>
            <w:vAlign w:val="center"/>
          </w:tcPr>
          <w:p>
            <w:pPr>
              <w:spacing w:after="0" w:line="252" w:lineRule="auto"/>
            </w:pPr>
            <w:r>
              <w:rPr>
                <w:sz w:val="17"/>
              </w:rPr>
              <w:t>Implementato nel database</w:t>
            </w:r>
          </w:p>
        </w:tc>
      </w:tr>
      <w:tr>
        <w:trPr>
          <w:cantSplit/>
        </w:trPr>
        <w:tc>
          <w:tcPr>
            <w:tcW w:type="dxa" w:w="1900"/>
            <w:tcMar>
              <w:top w:w="95" w:type="dxa"/>
              <w:start w:w="130" w:type="dxa"/>
              <w:bottom w:w="95" w:type="dxa"/>
              <w:end w:w="130" w:type="dxa"/>
            </w:tcMar>
            <w:vAlign w:val="center"/>
          </w:tcPr>
          <w:p>
            <w:pPr>
              <w:spacing w:after="0" w:line="252" w:lineRule="auto"/>
            </w:pPr>
            <w:r>
              <w:rPr>
                <w:sz w:val="17"/>
              </w:rPr>
              <w:t>Trasmissione</w:t>
            </w:r>
          </w:p>
        </w:tc>
        <w:tc>
          <w:tcPr>
            <w:tcW w:type="dxa" w:w="4700"/>
            <w:tcMar>
              <w:top w:w="95" w:type="dxa"/>
              <w:start w:w="130" w:type="dxa"/>
              <w:bottom w:w="95" w:type="dxa"/>
              <w:end w:w="130" w:type="dxa"/>
            </w:tcMar>
            <w:vAlign w:val="center"/>
          </w:tcPr>
          <w:p>
            <w:pPr>
              <w:spacing w:after="0" w:line="252" w:lineRule="auto"/>
            </w:pPr>
            <w:r>
              <w:rPr>
                <w:sz w:val="17"/>
              </w:rPr>
              <w:t>Comunicazioni HTTPS tra browser, Vercel e Supabase</w:t>
            </w:r>
          </w:p>
        </w:tc>
        <w:tc>
          <w:tcPr>
            <w:tcW w:type="dxa" w:w="2810"/>
            <w:tcMar>
              <w:top w:w="95" w:type="dxa"/>
              <w:start w:w="130" w:type="dxa"/>
              <w:bottom w:w="95" w:type="dxa"/>
              <w:end w:w="130" w:type="dxa"/>
            </w:tcMar>
            <w:vAlign w:val="center"/>
          </w:tcPr>
          <w:p>
            <w:pPr>
              <w:spacing w:after="0" w:line="252" w:lineRule="auto"/>
            </w:pPr>
            <w:r>
              <w:rPr>
                <w:sz w:val="17"/>
              </w:rPr>
              <w:t>Fornito dalle piattaforme</w:t>
            </w:r>
          </w:p>
        </w:tc>
      </w:tr>
      <w:tr>
        <w:trPr>
          <w:cantSplit/>
        </w:trPr>
        <w:tc>
          <w:tcPr>
            <w:tcW w:type="dxa" w:w="1900"/>
            <w:shd w:fill="FAFBFC"/>
            <w:tcMar>
              <w:top w:w="95" w:type="dxa"/>
              <w:start w:w="130" w:type="dxa"/>
              <w:bottom w:w="95" w:type="dxa"/>
              <w:end w:w="130" w:type="dxa"/>
            </w:tcMar>
            <w:vAlign w:val="center"/>
          </w:tcPr>
          <w:p>
            <w:pPr>
              <w:spacing w:after="0" w:line="252" w:lineRule="auto"/>
            </w:pPr>
            <w:r>
              <w:rPr>
                <w:sz w:val="17"/>
              </w:rPr>
              <w:t>Credenziali</w:t>
            </w:r>
          </w:p>
        </w:tc>
        <w:tc>
          <w:tcPr>
            <w:tcW w:type="dxa" w:w="4700"/>
            <w:shd w:fill="FAFBFC"/>
            <w:tcMar>
              <w:top w:w="95" w:type="dxa"/>
              <w:start w:w="130" w:type="dxa"/>
              <w:bottom w:w="95" w:type="dxa"/>
              <w:end w:w="130" w:type="dxa"/>
            </w:tcMar>
            <w:vAlign w:val="center"/>
          </w:tcPr>
          <w:p>
            <w:pPr>
              <w:spacing w:after="0" w:line="252" w:lineRule="auto"/>
            </w:pPr>
            <w:r>
              <w:rPr>
                <w:sz w:val="17"/>
              </w:rPr>
              <w:t>Chiave anon pubblica nel client; nessuna service role esposta nel frontend</w:t>
            </w:r>
          </w:p>
        </w:tc>
        <w:tc>
          <w:tcPr>
            <w:tcW w:type="dxa" w:w="2810"/>
            <w:shd w:fill="FAFBFC"/>
            <w:tcMar>
              <w:top w:w="95" w:type="dxa"/>
              <w:start w:w="130" w:type="dxa"/>
              <w:bottom w:w="95" w:type="dxa"/>
              <w:end w:w="130" w:type="dxa"/>
            </w:tcMar>
            <w:vAlign w:val="center"/>
          </w:tcPr>
          <w:p>
            <w:pPr>
              <w:spacing w:after="0" w:line="252" w:lineRule="auto"/>
            </w:pPr>
            <w:r>
              <w:rPr>
                <w:sz w:val="17"/>
              </w:rPr>
              <w:t>Implementato</w:t>
            </w:r>
          </w:p>
        </w:tc>
      </w:tr>
      <w:tr>
        <w:trPr>
          <w:cantSplit/>
        </w:trPr>
        <w:tc>
          <w:tcPr>
            <w:tcW w:type="dxa" w:w="1900"/>
            <w:tcMar>
              <w:top w:w="95" w:type="dxa"/>
              <w:start w:w="130" w:type="dxa"/>
              <w:bottom w:w="95" w:type="dxa"/>
              <w:end w:w="130" w:type="dxa"/>
            </w:tcMar>
            <w:vAlign w:val="center"/>
          </w:tcPr>
          <w:p>
            <w:pPr>
              <w:spacing w:after="0" w:line="252" w:lineRule="auto"/>
            </w:pPr>
            <w:r>
              <w:rPr>
                <w:sz w:val="17"/>
              </w:rPr>
              <w:t>Portabilità</w:t>
            </w:r>
          </w:p>
        </w:tc>
        <w:tc>
          <w:tcPr>
            <w:tcW w:type="dxa" w:w="4700"/>
            <w:tcMar>
              <w:top w:w="95" w:type="dxa"/>
              <w:start w:w="130" w:type="dxa"/>
              <w:bottom w:w="95" w:type="dxa"/>
              <w:end w:w="130" w:type="dxa"/>
            </w:tcMar>
            <w:vAlign w:val="center"/>
          </w:tcPr>
          <w:p>
            <w:pPr>
              <w:spacing w:after="0" w:line="252" w:lineRule="auto"/>
            </w:pPr>
            <w:r>
              <w:rPr>
                <w:sz w:val="17"/>
              </w:rPr>
              <w:t>Esportazione JSON complessiva FMEA/RCA/Gap</w:t>
            </w:r>
          </w:p>
        </w:tc>
        <w:tc>
          <w:tcPr>
            <w:tcW w:type="dxa" w:w="2810"/>
            <w:tcMar>
              <w:top w:w="95" w:type="dxa"/>
              <w:start w:w="130" w:type="dxa"/>
              <w:bottom w:w="95" w:type="dxa"/>
              <w:end w:w="130" w:type="dxa"/>
            </w:tcMar>
            <w:vAlign w:val="center"/>
          </w:tcPr>
          <w:p>
            <w:pPr>
              <w:spacing w:after="0" w:line="252" w:lineRule="auto"/>
            </w:pPr>
            <w:r>
              <w:rPr>
                <w:sz w:val="17"/>
              </w:rPr>
              <w:t>Implementato</w:t>
            </w:r>
          </w:p>
        </w:tc>
      </w:tr>
      <w:tr>
        <w:trPr>
          <w:cantSplit/>
        </w:trPr>
        <w:tc>
          <w:tcPr>
            <w:tcW w:type="dxa" w:w="1900"/>
            <w:shd w:fill="FAFBFC"/>
            <w:tcMar>
              <w:top w:w="95" w:type="dxa"/>
              <w:start w:w="130" w:type="dxa"/>
              <w:bottom w:w="95" w:type="dxa"/>
              <w:end w:w="130" w:type="dxa"/>
            </w:tcMar>
            <w:vAlign w:val="center"/>
          </w:tcPr>
          <w:p>
            <w:pPr>
              <w:spacing w:after="0" w:line="252" w:lineRule="auto"/>
            </w:pPr>
            <w:r>
              <w:rPr>
                <w:sz w:val="17"/>
              </w:rPr>
              <w:t>Cancellazione</w:t>
            </w:r>
          </w:p>
        </w:tc>
        <w:tc>
          <w:tcPr>
            <w:tcW w:type="dxa" w:w="4700"/>
            <w:shd w:fill="FAFBFC"/>
            <w:tcMar>
              <w:top w:w="95" w:type="dxa"/>
              <w:start w:w="130" w:type="dxa"/>
              <w:bottom w:w="95" w:type="dxa"/>
              <w:end w:w="130" w:type="dxa"/>
            </w:tcMar>
            <w:vAlign w:val="center"/>
          </w:tcPr>
          <w:p>
            <w:pPr>
              <w:spacing w:after="0" w:line="252" w:lineRule="auto"/>
            </w:pPr>
            <w:r>
              <w:rPr>
                <w:sz w:val="17"/>
              </w:rPr>
              <w:t>Richiesta verificata da Impostazioni con conferma e presa in carico manuale</w:t>
            </w:r>
          </w:p>
        </w:tc>
        <w:tc>
          <w:tcPr>
            <w:tcW w:type="dxa" w:w="2810"/>
            <w:shd w:fill="FAFBFC"/>
            <w:tcMar>
              <w:top w:w="95" w:type="dxa"/>
              <w:start w:w="130" w:type="dxa"/>
              <w:bottom w:w="95" w:type="dxa"/>
              <w:end w:w="130" w:type="dxa"/>
            </w:tcMar>
            <w:vAlign w:val="center"/>
          </w:tcPr>
          <w:p>
            <w:pPr>
              <w:spacing w:after="0" w:line="252" w:lineRule="auto"/>
            </w:pPr>
            <w:r>
              <w:rPr>
                <w:sz w:val="17"/>
              </w:rPr>
              <w:t>Implementato a livello procedurale; esecuzione amministrativa da formalizzare</w:t>
            </w:r>
          </w:p>
        </w:tc>
      </w:tr>
      <w:tr>
        <w:trPr>
          <w:cantSplit/>
        </w:trPr>
        <w:tc>
          <w:tcPr>
            <w:tcW w:type="dxa" w:w="1900"/>
            <w:tcMar>
              <w:top w:w="95" w:type="dxa"/>
              <w:start w:w="130" w:type="dxa"/>
              <w:bottom w:w="95" w:type="dxa"/>
              <w:end w:w="130" w:type="dxa"/>
            </w:tcMar>
            <w:vAlign w:val="center"/>
          </w:tcPr>
          <w:p>
            <w:pPr>
              <w:spacing w:after="0" w:line="252" w:lineRule="auto"/>
            </w:pPr>
            <w:r>
              <w:rPr>
                <w:sz w:val="17"/>
              </w:rPr>
              <w:t>Log</w:t>
            </w:r>
          </w:p>
        </w:tc>
        <w:tc>
          <w:tcPr>
            <w:tcW w:type="dxa" w:w="4700"/>
            <w:tcMar>
              <w:top w:w="95" w:type="dxa"/>
              <w:start w:w="130" w:type="dxa"/>
              <w:bottom w:w="95" w:type="dxa"/>
              <w:end w:w="130" w:type="dxa"/>
            </w:tcMar>
            <w:vAlign w:val="center"/>
          </w:tcPr>
          <w:p>
            <w:pPr>
              <w:spacing w:after="0" w:line="252" w:lineRule="auto"/>
            </w:pPr>
            <w:r>
              <w:rPr>
                <w:sz w:val="17"/>
              </w:rPr>
              <w:t>Eventi di autenticazione Supabase e log tecnici secondo piano</w:t>
            </w:r>
          </w:p>
        </w:tc>
        <w:tc>
          <w:tcPr>
            <w:tcW w:type="dxa" w:w="2810"/>
            <w:tcMar>
              <w:top w:w="95" w:type="dxa"/>
              <w:start w:w="130" w:type="dxa"/>
              <w:bottom w:w="95" w:type="dxa"/>
              <w:end w:w="130" w:type="dxa"/>
            </w:tcMar>
            <w:vAlign w:val="center"/>
          </w:tcPr>
          <w:p>
            <w:pPr>
              <w:spacing w:after="0" w:line="252" w:lineRule="auto"/>
            </w:pPr>
            <w:r>
              <w:rPr>
                <w:sz w:val="17"/>
              </w:rPr>
              <w:t>Disponibili con retention limitata sul piano Free</w:t>
            </w:r>
          </w:p>
        </w:tc>
      </w:tr>
    </w:tbl>
    <w:p>
      <w:pPr>
        <w:spacing w:after="0"/>
      </w:pPr>
    </w:p>
    <w:p>
      <w:pPr>
        <w:pStyle w:val="Heading2"/>
        <w:keepNext w:val="1"/>
      </w:pPr>
      <w:r>
        <w:t>6.1 Misure organizzative richieste</w:t>
      </w:r>
    </w:p>
    <w:p>
      <w:pPr>
        <w:pStyle w:val="ListBullet"/>
      </w:pPr>
      <w:r>
        <w:t>Elenco nominativo degli amministratori autorizzati e revisione periodica degli accessi.</w:t>
      </w:r>
    </w:p>
    <w:p>
      <w:pPr>
        <w:pStyle w:val="ListBullet"/>
      </w:pPr>
      <w:r>
        <w:t>Separazione tra account del proponente e account istituzionali prima del roll-out.</w:t>
      </w:r>
    </w:p>
    <w:p>
      <w:pPr>
        <w:pStyle w:val="ListBullet"/>
      </w:pPr>
      <w:r>
        <w:t>Procedura di aggiornamento, test, approvazione e rilascio delle versioni applicative.</w:t>
      </w:r>
    </w:p>
    <w:p>
      <w:pPr>
        <w:pStyle w:val="ListBullet"/>
      </w:pPr>
      <w:r>
        <w:t>Manuale utente versionato e materiale formativo obbligatorio per il gruppo pilota.</w:t>
      </w:r>
    </w:p>
    <w:p>
      <w:pPr>
        <w:pStyle w:val="ListBullet"/>
      </w:pPr>
      <w:r>
        <w:t>Registro delle attività di trattamento e valutazione formalizzata dell'eventuale necessità di DPIA.</w:t>
      </w:r>
    </w:p>
    <w:p>
      <w:pPr>
        <w:pStyle w:val="ListBullet"/>
      </w:pPr>
      <w:r>
        <w:t>Verifica periodica dei fornitori, dei subfornitori e delle modifiche contrattuali rilevanti.</w:t>
      </w:r>
    </w:p>
    <w:p>
      <w:pPr>
        <w:pStyle w:val="Heading1"/>
        <w:keepNext w:val="1"/>
      </w:pPr>
      <w:r>
        <w:t>7. Governance e responsabilità</w:t>
      </w:r>
    </w:p>
    <w:p>
      <w:r>
        <w:t>La governance non può essere attribuita unilateralmente dal proponente. La seguente matrice identifica le funzioni necessarie e formula una proposta da discutere con SIFO. Le qualificazioni privacy definitive dipendono dalle decisioni effettive su finalità, mezzi, account e accessi amministrativi.</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2150"/>
        <w:gridCol w:w="3650"/>
        <w:gridCol w:w="1910"/>
      </w:tblGrid>
      <w:tr>
        <w:trPr>
          <w:tblHeader w:val="true"/>
          <w:cantSplit/>
        </w:trPr>
        <w:tc>
          <w:tcPr>
            <w:tcW w:type="dxa" w:w="1700"/>
            <w:tcMar>
              <w:top w:w="95" w:type="dxa"/>
              <w:start w:w="130" w:type="dxa"/>
              <w:bottom w:w="95" w:type="dxa"/>
              <w:end w:w="130" w:type="dxa"/>
            </w:tcMar>
            <w:vAlign w:val="center"/>
            <w:shd w:fill="17365D"/>
          </w:tcPr>
          <w:p>
            <w:pPr>
              <w:spacing w:after="0"/>
            </w:pPr>
            <w:r>
              <w:rPr>
                <w:b/>
                <w:color w:val="FFFFFF"/>
                <w:sz w:val="17"/>
              </w:rPr>
              <w:t>Funzione</w:t>
            </w:r>
          </w:p>
        </w:tc>
        <w:tc>
          <w:tcPr>
            <w:tcW w:type="dxa" w:w="2150"/>
            <w:tcMar>
              <w:top w:w="95" w:type="dxa"/>
              <w:start w:w="130" w:type="dxa"/>
              <w:bottom w:w="95" w:type="dxa"/>
              <w:end w:w="130" w:type="dxa"/>
            </w:tcMar>
            <w:vAlign w:val="center"/>
            <w:shd w:fill="17365D"/>
          </w:tcPr>
          <w:p>
            <w:pPr>
              <w:spacing w:after="0"/>
            </w:pPr>
            <w:r>
              <w:rPr>
                <w:b/>
                <w:color w:val="FFFFFF"/>
                <w:sz w:val="17"/>
              </w:rPr>
              <w:t>Soggetto proposto</w:t>
            </w:r>
          </w:p>
        </w:tc>
        <w:tc>
          <w:tcPr>
            <w:tcW w:type="dxa" w:w="3650"/>
            <w:tcMar>
              <w:top w:w="95" w:type="dxa"/>
              <w:start w:w="130" w:type="dxa"/>
              <w:bottom w:w="95" w:type="dxa"/>
              <w:end w:w="130" w:type="dxa"/>
            </w:tcMar>
            <w:vAlign w:val="center"/>
            <w:shd w:fill="17365D"/>
          </w:tcPr>
          <w:p>
            <w:pPr>
              <w:spacing w:after="0"/>
            </w:pPr>
            <w:r>
              <w:rPr>
                <w:b/>
                <w:color w:val="FFFFFF"/>
                <w:sz w:val="17"/>
              </w:rPr>
              <w:t>Responsabilità essenziali</w:t>
            </w:r>
          </w:p>
        </w:tc>
        <w:tc>
          <w:tcPr>
            <w:tcW w:type="dxa" w:w="1910"/>
            <w:tcMar>
              <w:top w:w="95" w:type="dxa"/>
              <w:start w:w="130" w:type="dxa"/>
              <w:bottom w:w="95" w:type="dxa"/>
              <w:end w:w="130" w:type="dxa"/>
            </w:tcMar>
            <w:vAlign w:val="center"/>
            <w:shd w:fill="17365D"/>
          </w:tcPr>
          <w:p>
            <w:pPr>
              <w:spacing w:after="0"/>
            </w:pPr>
            <w:r>
              <w:rPr>
                <w:b/>
                <w:color w:val="FFFFFF"/>
                <w:sz w:val="17"/>
              </w:rPr>
              <w:t>Stato</w:t>
            </w:r>
          </w:p>
        </w:tc>
      </w:tr>
      <w:tr>
        <w:trPr>
          <w:cantSplit/>
        </w:trPr>
        <w:tc>
          <w:tcPr>
            <w:tcW w:type="dxa" w:w="1700"/>
            <w:tcMar>
              <w:top w:w="95" w:type="dxa"/>
              <w:start w:w="130" w:type="dxa"/>
              <w:bottom w:w="95" w:type="dxa"/>
              <w:end w:w="130" w:type="dxa"/>
            </w:tcMar>
            <w:vAlign w:val="center"/>
          </w:tcPr>
          <w:p>
            <w:pPr>
              <w:spacing w:after="0" w:line="252" w:lineRule="auto"/>
            </w:pPr>
            <w:r>
              <w:rPr>
                <w:sz w:val="17"/>
              </w:rPr>
              <w:t>Sponsor e governance</w:t>
            </w:r>
          </w:p>
        </w:tc>
        <w:tc>
          <w:tcPr>
            <w:tcW w:type="dxa" w:w="2150"/>
            <w:tcMar>
              <w:top w:w="95" w:type="dxa"/>
              <w:start w:w="130" w:type="dxa"/>
              <w:bottom w:w="95" w:type="dxa"/>
              <w:end w:w="130" w:type="dxa"/>
            </w:tcMar>
            <w:vAlign w:val="center"/>
          </w:tcPr>
          <w:p>
            <w:pPr>
              <w:spacing w:after="0" w:line="252" w:lineRule="auto"/>
            </w:pPr>
            <w:r>
              <w:rPr>
                <w:sz w:val="17"/>
              </w:rPr>
              <w:t>SIFO / organo da individuare</w:t>
            </w:r>
          </w:p>
        </w:tc>
        <w:tc>
          <w:tcPr>
            <w:tcW w:type="dxa" w:w="3650"/>
            <w:tcMar>
              <w:top w:w="95" w:type="dxa"/>
              <w:start w:w="130" w:type="dxa"/>
              <w:bottom w:w="95" w:type="dxa"/>
              <w:end w:w="130" w:type="dxa"/>
            </w:tcMar>
            <w:vAlign w:val="center"/>
          </w:tcPr>
          <w:p>
            <w:pPr>
              <w:spacing w:after="0" w:line="252" w:lineRule="auto"/>
            </w:pPr>
            <w:r>
              <w:rPr>
                <w:sz w:val="17"/>
              </w:rPr>
              <w:t>Indirizzo, approvazione del pilota, risorse, criteri di prosecuzione</w:t>
            </w:r>
          </w:p>
        </w:tc>
        <w:tc>
          <w:tcPr>
            <w:tcW w:type="dxa" w:w="1910"/>
            <w:tcMar>
              <w:top w:w="95" w:type="dxa"/>
              <w:start w:w="130" w:type="dxa"/>
              <w:bottom w:w="95" w:type="dxa"/>
              <w:end w:w="130" w:type="dxa"/>
            </w:tcMar>
            <w:vAlign w:val="center"/>
          </w:tcPr>
          <w:p>
            <w:pPr>
              <w:spacing w:after="0" w:line="252" w:lineRule="auto"/>
            </w:pPr>
            <w:r>
              <w:rPr>
                <w:sz w:val="17"/>
              </w:rPr>
              <w:t>Da concordare</w:t>
            </w:r>
          </w:p>
        </w:tc>
      </w:tr>
      <w:tr>
        <w:trPr>
          <w:cantSplit/>
        </w:trPr>
        <w:tc>
          <w:tcPr>
            <w:tcW w:type="dxa" w:w="1700"/>
            <w:shd w:fill="FAFBFC"/>
            <w:tcMar>
              <w:top w:w="95" w:type="dxa"/>
              <w:start w:w="130" w:type="dxa"/>
              <w:bottom w:w="95" w:type="dxa"/>
              <w:end w:w="130" w:type="dxa"/>
            </w:tcMar>
            <w:vAlign w:val="center"/>
          </w:tcPr>
          <w:p>
            <w:pPr>
              <w:spacing w:after="0" w:line="252" w:lineRule="auto"/>
            </w:pPr>
            <w:r>
              <w:rPr>
                <w:sz w:val="17"/>
              </w:rPr>
              <w:t>Owner scientifico</w:t>
            </w:r>
          </w:p>
        </w:tc>
        <w:tc>
          <w:tcPr>
            <w:tcW w:type="dxa" w:w="2150"/>
            <w:shd w:fill="FAFBFC"/>
            <w:tcMar>
              <w:top w:w="95" w:type="dxa"/>
              <w:start w:w="130" w:type="dxa"/>
              <w:bottom w:w="95" w:type="dxa"/>
              <w:end w:w="130" w:type="dxa"/>
            </w:tcMar>
            <w:vAlign w:val="center"/>
          </w:tcPr>
          <w:p>
            <w:pPr>
              <w:spacing w:after="0" w:line="252" w:lineRule="auto"/>
            </w:pPr>
            <w:r>
              <w:rPr>
                <w:sz w:val="17"/>
              </w:rPr>
              <w:t>ASC Rischio Clinico / referente designato</w:t>
            </w:r>
          </w:p>
        </w:tc>
        <w:tc>
          <w:tcPr>
            <w:tcW w:type="dxa" w:w="3650"/>
            <w:shd w:fill="FAFBFC"/>
            <w:tcMar>
              <w:top w:w="95" w:type="dxa"/>
              <w:start w:w="130" w:type="dxa"/>
              <w:bottom w:w="95" w:type="dxa"/>
              <w:end w:w="130" w:type="dxa"/>
            </w:tcMar>
            <w:vAlign w:val="center"/>
          </w:tcPr>
          <w:p>
            <w:pPr>
              <w:spacing w:after="0" w:line="252" w:lineRule="auto"/>
            </w:pPr>
            <w:r>
              <w:rPr>
                <w:sz w:val="17"/>
              </w:rPr>
              <w:t>Validazione metodologica, contenuti, manuale e KPI qualitativi</w:t>
            </w:r>
          </w:p>
        </w:tc>
        <w:tc>
          <w:tcPr>
            <w:tcW w:type="dxa" w:w="1910"/>
            <w:shd w:fill="FAFBFC"/>
            <w:tcMar>
              <w:top w:w="95" w:type="dxa"/>
              <w:start w:w="130" w:type="dxa"/>
              <w:bottom w:w="95" w:type="dxa"/>
              <w:end w:w="130" w:type="dxa"/>
            </w:tcMar>
            <w:vAlign w:val="center"/>
          </w:tcPr>
          <w:p>
            <w:pPr>
              <w:spacing w:after="0" w:line="252" w:lineRule="auto"/>
            </w:pPr>
            <w:r>
              <w:rPr>
                <w:sz w:val="17"/>
              </w:rPr>
              <w:t>Da concordare</w:t>
            </w:r>
          </w:p>
        </w:tc>
      </w:tr>
      <w:tr>
        <w:trPr>
          <w:cantSplit/>
        </w:trPr>
        <w:tc>
          <w:tcPr>
            <w:tcW w:type="dxa" w:w="1700"/>
            <w:tcMar>
              <w:top w:w="95" w:type="dxa"/>
              <w:start w:w="130" w:type="dxa"/>
              <w:bottom w:w="95" w:type="dxa"/>
              <w:end w:w="130" w:type="dxa"/>
            </w:tcMar>
            <w:vAlign w:val="center"/>
          </w:tcPr>
          <w:p>
            <w:pPr>
              <w:spacing w:after="0" w:line="252" w:lineRule="auto"/>
            </w:pPr>
            <w:r>
              <w:rPr>
                <w:sz w:val="17"/>
              </w:rPr>
              <w:t>Titolare del trattamento</w:t>
            </w:r>
          </w:p>
        </w:tc>
        <w:tc>
          <w:tcPr>
            <w:tcW w:type="dxa" w:w="2150"/>
            <w:tcMar>
              <w:top w:w="95" w:type="dxa"/>
              <w:start w:w="130" w:type="dxa"/>
              <w:bottom w:w="95" w:type="dxa"/>
              <w:end w:w="130" w:type="dxa"/>
            </w:tcMar>
            <w:vAlign w:val="center"/>
          </w:tcPr>
          <w:p>
            <w:pPr>
              <w:spacing w:after="0" w:line="252" w:lineRule="auto"/>
            </w:pPr>
            <w:r>
              <w:rPr>
                <w:sz w:val="17"/>
              </w:rPr>
              <w:t>Soggetto che determina finalità e mezzi</w:t>
            </w:r>
          </w:p>
        </w:tc>
        <w:tc>
          <w:tcPr>
            <w:tcW w:type="dxa" w:w="3650"/>
            <w:tcMar>
              <w:top w:w="95" w:type="dxa"/>
              <w:start w:w="130" w:type="dxa"/>
              <w:bottom w:w="95" w:type="dxa"/>
              <w:end w:w="130" w:type="dxa"/>
            </w:tcMar>
            <w:vAlign w:val="center"/>
          </w:tcPr>
          <w:p>
            <w:pPr>
              <w:spacing w:after="0" w:line="252" w:lineRule="auto"/>
            </w:pPr>
            <w:r>
              <w:rPr>
                <w:sz w:val="17"/>
              </w:rPr>
              <w:t>Informativa, registro, diritti, fornitori, conservazione e valutazione rischi</w:t>
            </w:r>
          </w:p>
        </w:tc>
        <w:tc>
          <w:tcPr>
            <w:tcW w:type="dxa" w:w="1910"/>
            <w:tcMar>
              <w:top w:w="95" w:type="dxa"/>
              <w:start w:w="130" w:type="dxa"/>
              <w:bottom w:w="95" w:type="dxa"/>
              <w:end w:w="130" w:type="dxa"/>
            </w:tcMar>
            <w:vAlign w:val="center"/>
          </w:tcPr>
          <w:p>
            <w:pPr>
              <w:spacing w:after="0" w:line="252" w:lineRule="auto"/>
            </w:pPr>
            <w:r>
              <w:rPr>
                <w:sz w:val="17"/>
              </w:rPr>
              <w:t>Da determinare con SIFO</w:t>
            </w:r>
          </w:p>
        </w:tc>
      </w:tr>
      <w:tr>
        <w:trPr>
          <w:cantSplit/>
        </w:trPr>
        <w:tc>
          <w:tcPr>
            <w:tcW w:type="dxa" w:w="1700"/>
            <w:shd w:fill="FAFBFC"/>
            <w:tcMar>
              <w:top w:w="95" w:type="dxa"/>
              <w:start w:w="130" w:type="dxa"/>
              <w:bottom w:w="95" w:type="dxa"/>
              <w:end w:w="130" w:type="dxa"/>
            </w:tcMar>
            <w:vAlign w:val="center"/>
          </w:tcPr>
          <w:p>
            <w:pPr>
              <w:spacing w:after="0" w:line="252" w:lineRule="auto"/>
            </w:pPr>
            <w:r>
              <w:rPr>
                <w:sz w:val="17"/>
              </w:rPr>
              <w:t>Owner tecnico</w:t>
            </w:r>
          </w:p>
        </w:tc>
        <w:tc>
          <w:tcPr>
            <w:tcW w:type="dxa" w:w="2150"/>
            <w:shd w:fill="FAFBFC"/>
            <w:tcMar>
              <w:top w:w="95" w:type="dxa"/>
              <w:start w:w="130" w:type="dxa"/>
              <w:bottom w:w="95" w:type="dxa"/>
              <w:end w:w="130" w:type="dxa"/>
            </w:tcMar>
            <w:vAlign w:val="center"/>
          </w:tcPr>
          <w:p>
            <w:pPr>
              <w:spacing w:after="0" w:line="252" w:lineRule="auto"/>
            </w:pPr>
            <w:r>
              <w:rPr>
                <w:sz w:val="17"/>
              </w:rPr>
              <w:t>Proponente in fase transitoria; successivamente referente SIFO/fornitore</w:t>
            </w:r>
          </w:p>
        </w:tc>
        <w:tc>
          <w:tcPr>
            <w:tcW w:type="dxa" w:w="3650"/>
            <w:shd w:fill="FAFBFC"/>
            <w:tcMar>
              <w:top w:w="95" w:type="dxa"/>
              <w:start w:w="130" w:type="dxa"/>
              <w:bottom w:w="95" w:type="dxa"/>
              <w:end w:w="130" w:type="dxa"/>
            </w:tcMar>
            <w:vAlign w:val="center"/>
          </w:tcPr>
          <w:p>
            <w:pPr>
              <w:spacing w:after="0" w:line="252" w:lineRule="auto"/>
            </w:pPr>
            <w:r>
              <w:rPr>
                <w:sz w:val="17"/>
              </w:rPr>
              <w:t>Manutenzione, deploy, configurazione, supporto e sicurezza tecnica</w:t>
            </w:r>
          </w:p>
        </w:tc>
        <w:tc>
          <w:tcPr>
            <w:tcW w:type="dxa" w:w="1910"/>
            <w:shd w:fill="FAFBFC"/>
            <w:tcMar>
              <w:top w:w="95" w:type="dxa"/>
              <w:start w:w="130" w:type="dxa"/>
              <w:bottom w:w="95" w:type="dxa"/>
              <w:end w:w="130" w:type="dxa"/>
            </w:tcMar>
            <w:vAlign w:val="center"/>
          </w:tcPr>
          <w:p>
            <w:pPr>
              <w:spacing w:after="0" w:line="252" w:lineRule="auto"/>
            </w:pPr>
            <w:r>
              <w:rPr>
                <w:sz w:val="17"/>
              </w:rPr>
              <w:t>Proposta transitoria</w:t>
            </w:r>
          </w:p>
        </w:tc>
      </w:tr>
      <w:tr>
        <w:trPr>
          <w:cantSplit/>
        </w:trPr>
        <w:tc>
          <w:tcPr>
            <w:tcW w:type="dxa" w:w="1700"/>
            <w:tcMar>
              <w:top w:w="95" w:type="dxa"/>
              <w:start w:w="130" w:type="dxa"/>
              <w:bottom w:w="95" w:type="dxa"/>
              <w:end w:w="130" w:type="dxa"/>
            </w:tcMar>
            <w:vAlign w:val="center"/>
          </w:tcPr>
          <w:p>
            <w:pPr>
              <w:spacing w:after="0" w:line="252" w:lineRule="auto"/>
            </w:pPr>
            <w:r>
              <w:rPr>
                <w:sz w:val="17"/>
              </w:rPr>
              <w:t>Referenti privacy/legali</w:t>
            </w:r>
          </w:p>
        </w:tc>
        <w:tc>
          <w:tcPr>
            <w:tcW w:type="dxa" w:w="2150"/>
            <w:tcMar>
              <w:top w:w="95" w:type="dxa"/>
              <w:start w:w="130" w:type="dxa"/>
              <w:bottom w:w="95" w:type="dxa"/>
              <w:end w:w="130" w:type="dxa"/>
            </w:tcMar>
            <w:vAlign w:val="center"/>
          </w:tcPr>
          <w:p>
            <w:pPr>
              <w:spacing w:after="0" w:line="252" w:lineRule="auto"/>
            </w:pPr>
            <w:r>
              <w:rPr>
                <w:sz w:val="17"/>
              </w:rPr>
              <w:t>DPO o referenti competenti SIFO</w:t>
            </w:r>
          </w:p>
        </w:tc>
        <w:tc>
          <w:tcPr>
            <w:tcW w:type="dxa" w:w="3650"/>
            <w:tcMar>
              <w:top w:w="95" w:type="dxa"/>
              <w:start w:w="130" w:type="dxa"/>
              <w:bottom w:w="95" w:type="dxa"/>
              <w:end w:w="130" w:type="dxa"/>
            </w:tcMar>
            <w:vAlign w:val="center"/>
          </w:tcPr>
          <w:p>
            <w:pPr>
              <w:spacing w:after="0" w:line="252" w:lineRule="auto"/>
            </w:pPr>
            <w:r>
              <w:rPr>
                <w:sz w:val="17"/>
              </w:rPr>
              <w:t>Validazione ruoli, DPA, trasferimenti, retention e DPIA</w:t>
            </w:r>
          </w:p>
        </w:tc>
        <w:tc>
          <w:tcPr>
            <w:tcW w:type="dxa" w:w="1910"/>
            <w:tcMar>
              <w:top w:w="95" w:type="dxa"/>
              <w:start w:w="130" w:type="dxa"/>
              <w:bottom w:w="95" w:type="dxa"/>
              <w:end w:w="130" w:type="dxa"/>
            </w:tcMar>
            <w:vAlign w:val="center"/>
          </w:tcPr>
          <w:p>
            <w:pPr>
              <w:spacing w:after="0" w:line="252" w:lineRule="auto"/>
            </w:pPr>
            <w:r>
              <w:rPr>
                <w:sz w:val="17"/>
              </w:rPr>
              <w:t>Da coinvolgere</w:t>
            </w:r>
          </w:p>
        </w:tc>
      </w:tr>
      <w:tr>
        <w:trPr>
          <w:cantSplit/>
        </w:trPr>
        <w:tc>
          <w:tcPr>
            <w:tcW w:type="dxa" w:w="1700"/>
            <w:shd w:fill="FAFBFC"/>
            <w:tcMar>
              <w:top w:w="95" w:type="dxa"/>
              <w:start w:w="130" w:type="dxa"/>
              <w:bottom w:w="95" w:type="dxa"/>
              <w:end w:w="130" w:type="dxa"/>
            </w:tcMar>
            <w:vAlign w:val="center"/>
          </w:tcPr>
          <w:p>
            <w:pPr>
              <w:spacing w:after="0" w:line="252" w:lineRule="auto"/>
            </w:pPr>
            <w:r>
              <w:rPr>
                <w:sz w:val="17"/>
              </w:rPr>
              <w:t>ICT</w:t>
            </w:r>
          </w:p>
        </w:tc>
        <w:tc>
          <w:tcPr>
            <w:tcW w:type="dxa" w:w="2150"/>
            <w:shd w:fill="FAFBFC"/>
            <w:tcMar>
              <w:top w:w="95" w:type="dxa"/>
              <w:start w:w="130" w:type="dxa"/>
              <w:bottom w:w="95" w:type="dxa"/>
              <w:end w:w="130" w:type="dxa"/>
            </w:tcMar>
            <w:vAlign w:val="center"/>
          </w:tcPr>
          <w:p>
            <w:pPr>
              <w:spacing w:after="0" w:line="252" w:lineRule="auto"/>
            </w:pPr>
            <w:r>
              <w:rPr>
                <w:sz w:val="17"/>
              </w:rPr>
              <w:t>Referente infrastrutture e sicurezza SIFO</w:t>
            </w:r>
          </w:p>
        </w:tc>
        <w:tc>
          <w:tcPr>
            <w:tcW w:type="dxa" w:w="3650"/>
            <w:shd w:fill="FAFBFC"/>
            <w:tcMar>
              <w:top w:w="95" w:type="dxa"/>
              <w:start w:w="130" w:type="dxa"/>
              <w:bottom w:w="95" w:type="dxa"/>
              <w:end w:w="130" w:type="dxa"/>
            </w:tcMar>
            <w:vAlign w:val="center"/>
          </w:tcPr>
          <w:p>
            <w:pPr>
              <w:spacing w:after="0" w:line="252" w:lineRule="auto"/>
            </w:pPr>
            <w:r>
              <w:rPr>
                <w:sz w:val="17"/>
              </w:rPr>
              <w:t>Account, domini, accessi amministrativi, continuità e monitoraggio</w:t>
            </w:r>
          </w:p>
        </w:tc>
        <w:tc>
          <w:tcPr>
            <w:tcW w:type="dxa" w:w="1910"/>
            <w:shd w:fill="FAFBFC"/>
            <w:tcMar>
              <w:top w:w="95" w:type="dxa"/>
              <w:start w:w="130" w:type="dxa"/>
              <w:bottom w:w="95" w:type="dxa"/>
              <w:end w:w="130" w:type="dxa"/>
            </w:tcMar>
            <w:vAlign w:val="center"/>
          </w:tcPr>
          <w:p>
            <w:pPr>
              <w:spacing w:after="0" w:line="252" w:lineRule="auto"/>
            </w:pPr>
            <w:r>
              <w:rPr>
                <w:sz w:val="17"/>
              </w:rPr>
              <w:t>Da coinvolgere</w:t>
            </w:r>
          </w:p>
        </w:tc>
      </w:tr>
      <w:tr>
        <w:trPr>
          <w:cantSplit/>
        </w:trPr>
        <w:tc>
          <w:tcPr>
            <w:tcW w:type="dxa" w:w="1700"/>
            <w:tcMar>
              <w:top w:w="95" w:type="dxa"/>
              <w:start w:w="130" w:type="dxa"/>
              <w:bottom w:w="95" w:type="dxa"/>
              <w:end w:w="130" w:type="dxa"/>
            </w:tcMar>
            <w:vAlign w:val="center"/>
          </w:tcPr>
          <w:p>
            <w:pPr>
              <w:spacing w:after="0" w:line="252" w:lineRule="auto"/>
            </w:pPr>
            <w:r>
              <w:rPr>
                <w:sz w:val="17"/>
              </w:rPr>
              <w:t>Utenti autorizzati</w:t>
            </w:r>
          </w:p>
        </w:tc>
        <w:tc>
          <w:tcPr>
            <w:tcW w:type="dxa" w:w="2150"/>
            <w:tcMar>
              <w:top w:w="95" w:type="dxa"/>
              <w:start w:w="130" w:type="dxa"/>
              <w:bottom w:w="95" w:type="dxa"/>
              <w:end w:w="130" w:type="dxa"/>
            </w:tcMar>
            <w:vAlign w:val="center"/>
          </w:tcPr>
          <w:p>
            <w:pPr>
              <w:spacing w:after="0" w:line="252" w:lineRule="auto"/>
            </w:pPr>
            <w:r>
              <w:rPr>
                <w:sz w:val="17"/>
              </w:rPr>
              <w:t>Farmacisti e partecipanti al pilota</w:t>
            </w:r>
          </w:p>
        </w:tc>
        <w:tc>
          <w:tcPr>
            <w:tcW w:type="dxa" w:w="3650"/>
            <w:tcMar>
              <w:top w:w="95" w:type="dxa"/>
              <w:start w:w="130" w:type="dxa"/>
              <w:bottom w:w="95" w:type="dxa"/>
              <w:end w:w="130" w:type="dxa"/>
            </w:tcMar>
            <w:vAlign w:val="center"/>
          </w:tcPr>
          <w:p>
            <w:pPr>
              <w:spacing w:after="0" w:line="252" w:lineRule="auto"/>
            </w:pPr>
            <w:r>
              <w:rPr>
                <w:sz w:val="17"/>
              </w:rPr>
              <w:t>Uso conforme, dati non identificativi, accuratezza metodologica e segnalazioni</w:t>
            </w:r>
          </w:p>
        </w:tc>
        <w:tc>
          <w:tcPr>
            <w:tcW w:type="dxa" w:w="1910"/>
            <w:tcMar>
              <w:top w:w="95" w:type="dxa"/>
              <w:start w:w="130" w:type="dxa"/>
              <w:bottom w:w="95" w:type="dxa"/>
              <w:end w:w="130" w:type="dxa"/>
            </w:tcMar>
            <w:vAlign w:val="center"/>
          </w:tcPr>
          <w:p>
            <w:pPr>
              <w:spacing w:after="0" w:line="252" w:lineRule="auto"/>
            </w:pPr>
            <w:r>
              <w:rPr>
                <w:sz w:val="17"/>
              </w:rPr>
              <w:t>Da formalizzare</w:t>
            </w:r>
          </w:p>
        </w:tc>
      </w:tr>
    </w:tbl>
    <w:p>
      <w:pPr>
        <w:spacing w:after="0"/>
      </w:pPr>
    </w:p>
    <w:p>
      <w:pPr>
        <w:pStyle w:val="Heading1"/>
        <w:keepNext w:val="1"/>
      </w:pPr>
      <w:r>
        <w:t>8. Conservazione, cancellazione e diritti</w:t>
      </w:r>
    </w:p>
    <w:p>
      <w:r>
        <w:t>Il GDPR non stabilisce un unico periodo di conservazione valido per ogni trattamento. Il titolare deve definire periodi o criteri proporzionati alle finalità, documentarli e comunicarli agli interessati. La proposta seguente costituisce una base di confronto e deve essere approvata da SIFO.</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50"/>
        <w:gridCol w:w="2150"/>
        <w:gridCol w:w="5210"/>
      </w:tblGrid>
      <w:tr>
        <w:trPr>
          <w:tblHeader w:val="true"/>
          <w:cantSplit/>
        </w:trPr>
        <w:tc>
          <w:tcPr>
            <w:tcW w:type="dxa" w:w="2050"/>
            <w:tcMar>
              <w:top w:w="95" w:type="dxa"/>
              <w:start w:w="130" w:type="dxa"/>
              <w:bottom w:w="95" w:type="dxa"/>
              <w:end w:w="130" w:type="dxa"/>
            </w:tcMar>
            <w:vAlign w:val="center"/>
            <w:shd w:fill="17365D"/>
          </w:tcPr>
          <w:p>
            <w:pPr>
              <w:spacing w:after="0"/>
            </w:pPr>
            <w:r>
              <w:rPr>
                <w:b/>
                <w:color w:val="FFFFFF"/>
                <w:sz w:val="17"/>
              </w:rPr>
              <w:t>Categoria</w:t>
            </w:r>
          </w:p>
        </w:tc>
        <w:tc>
          <w:tcPr>
            <w:tcW w:type="dxa" w:w="2150"/>
            <w:tcMar>
              <w:top w:w="95" w:type="dxa"/>
              <w:start w:w="130" w:type="dxa"/>
              <w:bottom w:w="95" w:type="dxa"/>
              <w:end w:w="130" w:type="dxa"/>
            </w:tcMar>
            <w:vAlign w:val="center"/>
            <w:shd w:fill="17365D"/>
          </w:tcPr>
          <w:p>
            <w:pPr>
              <w:spacing w:after="0"/>
            </w:pPr>
            <w:r>
              <w:rPr>
                <w:b/>
                <w:color w:val="FFFFFF"/>
                <w:sz w:val="17"/>
              </w:rPr>
              <w:t>Periodo proposto</w:t>
            </w:r>
          </w:p>
        </w:tc>
        <w:tc>
          <w:tcPr>
            <w:tcW w:type="dxa" w:w="5210"/>
            <w:tcMar>
              <w:top w:w="95" w:type="dxa"/>
              <w:start w:w="130" w:type="dxa"/>
              <w:bottom w:w="95" w:type="dxa"/>
              <w:end w:w="130" w:type="dxa"/>
            </w:tcMar>
            <w:vAlign w:val="center"/>
            <w:shd w:fill="17365D"/>
          </w:tcPr>
          <w:p>
            <w:pPr>
              <w:spacing w:after="0"/>
            </w:pPr>
            <w:r>
              <w:rPr>
                <w:b/>
                <w:color w:val="FFFFFF"/>
                <w:sz w:val="17"/>
              </w:rPr>
              <w:t>Criterio / azione</w:t>
            </w:r>
          </w:p>
        </w:tc>
      </w:tr>
      <w:tr>
        <w:trPr>
          <w:cantSplit/>
        </w:trPr>
        <w:tc>
          <w:tcPr>
            <w:tcW w:type="dxa" w:w="2050"/>
            <w:tcMar>
              <w:top w:w="95" w:type="dxa"/>
              <w:start w:w="130" w:type="dxa"/>
              <w:bottom w:w="95" w:type="dxa"/>
              <w:end w:w="130" w:type="dxa"/>
            </w:tcMar>
            <w:vAlign w:val="center"/>
          </w:tcPr>
          <w:p>
            <w:pPr>
              <w:spacing w:after="0" w:line="252" w:lineRule="auto"/>
            </w:pPr>
            <w:r>
              <w:rPr>
                <w:sz w:val="17"/>
              </w:rPr>
              <w:t>Account attivo</w:t>
            </w:r>
          </w:p>
        </w:tc>
        <w:tc>
          <w:tcPr>
            <w:tcW w:type="dxa" w:w="2150"/>
            <w:tcMar>
              <w:top w:w="95" w:type="dxa"/>
              <w:start w:w="130" w:type="dxa"/>
              <w:bottom w:w="95" w:type="dxa"/>
              <w:end w:w="130" w:type="dxa"/>
            </w:tcMar>
            <w:vAlign w:val="center"/>
          </w:tcPr>
          <w:p>
            <w:pPr>
              <w:spacing w:after="0" w:line="252" w:lineRule="auto"/>
            </w:pPr>
            <w:r>
              <w:rPr>
                <w:sz w:val="17"/>
              </w:rPr>
              <w:t>Per la durata dell'utilizzo autorizzato</w:t>
            </w:r>
          </w:p>
        </w:tc>
        <w:tc>
          <w:tcPr>
            <w:tcW w:type="dxa" w:w="5210"/>
            <w:tcMar>
              <w:top w:w="95" w:type="dxa"/>
              <w:start w:w="130" w:type="dxa"/>
              <w:bottom w:w="95" w:type="dxa"/>
              <w:end w:w="130" w:type="dxa"/>
            </w:tcMar>
            <w:vAlign w:val="center"/>
          </w:tcPr>
          <w:p>
            <w:pPr>
              <w:spacing w:after="0" w:line="252" w:lineRule="auto"/>
            </w:pPr>
            <w:r>
              <w:rPr>
                <w:sz w:val="17"/>
              </w:rPr>
              <w:t>Revisione periodica degli account e chiusura al venir meno della finalità</w:t>
            </w:r>
          </w:p>
        </w:tc>
      </w:tr>
      <w:tr>
        <w:trPr>
          <w:cantSplit/>
        </w:trPr>
        <w:tc>
          <w:tcPr>
            <w:tcW w:type="dxa" w:w="2050"/>
            <w:shd w:fill="FAFBFC"/>
            <w:tcMar>
              <w:top w:w="95" w:type="dxa"/>
              <w:start w:w="130" w:type="dxa"/>
              <w:bottom w:w="95" w:type="dxa"/>
              <w:end w:w="130" w:type="dxa"/>
            </w:tcMar>
            <w:vAlign w:val="center"/>
          </w:tcPr>
          <w:p>
            <w:pPr>
              <w:spacing w:after="0" w:line="252" w:lineRule="auto"/>
            </w:pPr>
            <w:r>
              <w:rPr>
                <w:sz w:val="17"/>
              </w:rPr>
              <w:t>Account inattivo</w:t>
            </w:r>
          </w:p>
        </w:tc>
        <w:tc>
          <w:tcPr>
            <w:tcW w:type="dxa" w:w="2150"/>
            <w:shd w:fill="FAFBFC"/>
            <w:tcMar>
              <w:top w:w="95" w:type="dxa"/>
              <w:start w:w="130" w:type="dxa"/>
              <w:bottom w:w="95" w:type="dxa"/>
              <w:end w:w="130" w:type="dxa"/>
            </w:tcMar>
            <w:vAlign w:val="center"/>
          </w:tcPr>
          <w:p>
            <w:pPr>
              <w:spacing w:after="0" w:line="252" w:lineRule="auto"/>
            </w:pPr>
            <w:r>
              <w:rPr>
                <w:sz w:val="17"/>
              </w:rPr>
              <w:t>Revisione dopo 12 mesi</w:t>
            </w:r>
          </w:p>
        </w:tc>
        <w:tc>
          <w:tcPr>
            <w:tcW w:type="dxa" w:w="5210"/>
            <w:shd w:fill="FAFBFC"/>
            <w:tcMar>
              <w:top w:w="95" w:type="dxa"/>
              <w:start w:w="130" w:type="dxa"/>
              <w:bottom w:w="95" w:type="dxa"/>
              <w:end w:w="130" w:type="dxa"/>
            </w:tcMar>
            <w:vAlign w:val="center"/>
          </w:tcPr>
          <w:p>
            <w:pPr>
              <w:spacing w:after="0" w:line="252" w:lineRule="auto"/>
            </w:pPr>
            <w:r>
              <w:rPr>
                <w:sz w:val="17"/>
              </w:rPr>
              <w:t>Preavviso di 30 giorni per export o riattivazione; successiva cancellazione</w:t>
            </w:r>
          </w:p>
        </w:tc>
      </w:tr>
      <w:tr>
        <w:trPr>
          <w:cantSplit/>
        </w:trPr>
        <w:tc>
          <w:tcPr>
            <w:tcW w:type="dxa" w:w="2050"/>
            <w:tcMar>
              <w:top w:w="95" w:type="dxa"/>
              <w:start w:w="130" w:type="dxa"/>
              <w:bottom w:w="95" w:type="dxa"/>
              <w:end w:w="130" w:type="dxa"/>
            </w:tcMar>
            <w:vAlign w:val="center"/>
          </w:tcPr>
          <w:p>
            <w:pPr>
              <w:spacing w:after="0" w:line="252" w:lineRule="auto"/>
            </w:pPr>
            <w:r>
              <w:rPr>
                <w:sz w:val="17"/>
              </w:rPr>
              <w:t>Dati del pilota</w:t>
            </w:r>
          </w:p>
        </w:tc>
        <w:tc>
          <w:tcPr>
            <w:tcW w:type="dxa" w:w="2150"/>
            <w:tcMar>
              <w:top w:w="95" w:type="dxa"/>
              <w:start w:w="130" w:type="dxa"/>
              <w:bottom w:w="95" w:type="dxa"/>
              <w:end w:w="130" w:type="dxa"/>
            </w:tcMar>
            <w:vAlign w:val="center"/>
          </w:tcPr>
          <w:p>
            <w:pPr>
              <w:spacing w:after="0" w:line="252" w:lineRule="auto"/>
            </w:pPr>
            <w:r>
              <w:rPr>
                <w:sz w:val="17"/>
              </w:rPr>
              <w:t>Durata del pilota + 90 giorni</w:t>
            </w:r>
          </w:p>
        </w:tc>
        <w:tc>
          <w:tcPr>
            <w:tcW w:type="dxa" w:w="5210"/>
            <w:tcMar>
              <w:top w:w="95" w:type="dxa"/>
              <w:start w:w="130" w:type="dxa"/>
              <w:bottom w:w="95" w:type="dxa"/>
              <w:end w:w="130" w:type="dxa"/>
            </w:tcMar>
            <w:vAlign w:val="center"/>
          </w:tcPr>
          <w:p>
            <w:pPr>
              <w:spacing w:after="0" w:line="252" w:lineRule="auto"/>
            </w:pPr>
            <w:r>
              <w:rPr>
                <w:sz w:val="17"/>
              </w:rPr>
              <w:t>Verifica esiti, export, trasferimento o cancellazione secondo decisione SIFO</w:t>
            </w:r>
          </w:p>
        </w:tc>
      </w:tr>
      <w:tr>
        <w:trPr>
          <w:cantSplit/>
        </w:trPr>
        <w:tc>
          <w:tcPr>
            <w:tcW w:type="dxa" w:w="2050"/>
            <w:shd w:fill="FAFBFC"/>
            <w:tcMar>
              <w:top w:w="95" w:type="dxa"/>
              <w:start w:w="130" w:type="dxa"/>
              <w:bottom w:w="95" w:type="dxa"/>
              <w:end w:w="130" w:type="dxa"/>
            </w:tcMar>
            <w:vAlign w:val="center"/>
          </w:tcPr>
          <w:p>
            <w:pPr>
              <w:spacing w:after="0" w:line="252" w:lineRule="auto"/>
            </w:pPr>
            <w:r>
              <w:rPr>
                <w:sz w:val="17"/>
              </w:rPr>
              <w:t>Richiesta di cancellazione</w:t>
            </w:r>
          </w:p>
        </w:tc>
        <w:tc>
          <w:tcPr>
            <w:tcW w:type="dxa" w:w="2150"/>
            <w:shd w:fill="FAFBFC"/>
            <w:tcMar>
              <w:top w:w="95" w:type="dxa"/>
              <w:start w:w="130" w:type="dxa"/>
              <w:bottom w:w="95" w:type="dxa"/>
              <w:end w:w="130" w:type="dxa"/>
            </w:tcMar>
            <w:vAlign w:val="center"/>
          </w:tcPr>
          <w:p>
            <w:pPr>
              <w:spacing w:after="0" w:line="252" w:lineRule="auto"/>
            </w:pPr>
            <w:r>
              <w:rPr>
                <w:sz w:val="17"/>
              </w:rPr>
              <w:t>Riscontro entro un mese</w:t>
            </w:r>
          </w:p>
        </w:tc>
        <w:tc>
          <w:tcPr>
            <w:tcW w:type="dxa" w:w="5210"/>
            <w:shd w:fill="FAFBFC"/>
            <w:tcMar>
              <w:top w:w="95" w:type="dxa"/>
              <w:start w:w="130" w:type="dxa"/>
              <w:bottom w:w="95" w:type="dxa"/>
              <w:end w:w="130" w:type="dxa"/>
            </w:tcMar>
            <w:vAlign w:val="center"/>
          </w:tcPr>
          <w:p>
            <w:pPr>
              <w:spacing w:after="0" w:line="252" w:lineRule="auto"/>
            </w:pPr>
            <w:r>
              <w:rPr>
                <w:sz w:val="17"/>
              </w:rPr>
              <w:t>Verifica identità, export facoltativo, cancellazione senza ingiustificato ritardo ove applicabile</w:t>
            </w:r>
          </w:p>
        </w:tc>
      </w:tr>
      <w:tr>
        <w:trPr>
          <w:cantSplit/>
        </w:trPr>
        <w:tc>
          <w:tcPr>
            <w:tcW w:type="dxa" w:w="2050"/>
            <w:tcMar>
              <w:top w:w="95" w:type="dxa"/>
              <w:start w:w="130" w:type="dxa"/>
              <w:bottom w:w="95" w:type="dxa"/>
              <w:end w:w="130" w:type="dxa"/>
            </w:tcMar>
            <w:vAlign w:val="center"/>
          </w:tcPr>
          <w:p>
            <w:pPr>
              <w:spacing w:after="0" w:line="252" w:lineRule="auto"/>
            </w:pPr>
            <w:r>
              <w:rPr>
                <w:sz w:val="17"/>
              </w:rPr>
              <w:t>Assistenza e segnalazioni</w:t>
            </w:r>
          </w:p>
        </w:tc>
        <w:tc>
          <w:tcPr>
            <w:tcW w:type="dxa" w:w="2150"/>
            <w:tcMar>
              <w:top w:w="95" w:type="dxa"/>
              <w:start w:w="130" w:type="dxa"/>
              <w:bottom w:w="95" w:type="dxa"/>
              <w:end w:w="130" w:type="dxa"/>
            </w:tcMar>
            <w:vAlign w:val="center"/>
          </w:tcPr>
          <w:p>
            <w:pPr>
              <w:spacing w:after="0" w:line="252" w:lineRule="auto"/>
            </w:pPr>
            <w:r>
              <w:rPr>
                <w:sz w:val="17"/>
              </w:rPr>
              <w:t>12 mesi dalla chiusura</w:t>
            </w:r>
          </w:p>
        </w:tc>
        <w:tc>
          <w:tcPr>
            <w:tcW w:type="dxa" w:w="5210"/>
            <w:tcMar>
              <w:top w:w="95" w:type="dxa"/>
              <w:start w:w="130" w:type="dxa"/>
              <w:bottom w:w="95" w:type="dxa"/>
              <w:end w:w="130" w:type="dxa"/>
            </w:tcMar>
            <w:vAlign w:val="center"/>
          </w:tcPr>
          <w:p>
            <w:pPr>
              <w:spacing w:after="0" w:line="252" w:lineRule="auto"/>
            </w:pPr>
            <w:r>
              <w:rPr>
                <w:sz w:val="17"/>
              </w:rPr>
              <w:t>Cancellazione anticipata se non più necessarie</w:t>
            </w:r>
          </w:p>
        </w:tc>
      </w:tr>
      <w:tr>
        <w:trPr>
          <w:cantSplit/>
        </w:trPr>
        <w:tc>
          <w:tcPr>
            <w:tcW w:type="dxa" w:w="2050"/>
            <w:shd w:fill="FAFBFC"/>
            <w:tcMar>
              <w:top w:w="95" w:type="dxa"/>
              <w:start w:w="130" w:type="dxa"/>
              <w:bottom w:w="95" w:type="dxa"/>
              <w:end w:w="130" w:type="dxa"/>
            </w:tcMar>
            <w:vAlign w:val="center"/>
          </w:tcPr>
          <w:p>
            <w:pPr>
              <w:spacing w:after="0" w:line="252" w:lineRule="auto"/>
            </w:pPr>
            <w:r>
              <w:rPr>
                <w:sz w:val="17"/>
              </w:rPr>
              <w:t>Evidenza della richiesta di oblio</w:t>
            </w:r>
          </w:p>
        </w:tc>
        <w:tc>
          <w:tcPr>
            <w:tcW w:type="dxa" w:w="2150"/>
            <w:shd w:fill="FAFBFC"/>
            <w:tcMar>
              <w:top w:w="95" w:type="dxa"/>
              <w:start w:w="130" w:type="dxa"/>
              <w:bottom w:w="95" w:type="dxa"/>
              <w:end w:w="130" w:type="dxa"/>
            </w:tcMar>
            <w:vAlign w:val="center"/>
          </w:tcPr>
          <w:p>
            <w:pPr>
              <w:spacing w:after="0" w:line="252" w:lineRule="auto"/>
            </w:pPr>
            <w:r>
              <w:rPr>
                <w:sz w:val="17"/>
              </w:rPr>
              <w:t>24 mesi</w:t>
            </w:r>
          </w:p>
        </w:tc>
        <w:tc>
          <w:tcPr>
            <w:tcW w:type="dxa" w:w="5210"/>
            <w:shd w:fill="FAFBFC"/>
            <w:tcMar>
              <w:top w:w="95" w:type="dxa"/>
              <w:start w:w="130" w:type="dxa"/>
              <w:bottom w:w="95" w:type="dxa"/>
              <w:end w:w="130" w:type="dxa"/>
            </w:tcMar>
            <w:vAlign w:val="center"/>
          </w:tcPr>
          <w:p>
            <w:pPr>
              <w:spacing w:after="0" w:line="252" w:lineRule="auto"/>
            </w:pPr>
            <w:r>
              <w:rPr>
                <w:sz w:val="17"/>
              </w:rPr>
              <w:t>Solo metadati minimi di presa in carico/esito; non i contenuti cancellati</w:t>
            </w:r>
          </w:p>
        </w:tc>
      </w:tr>
      <w:tr>
        <w:trPr>
          <w:cantSplit/>
        </w:trPr>
        <w:tc>
          <w:tcPr>
            <w:tcW w:type="dxa" w:w="2050"/>
            <w:tcMar>
              <w:top w:w="95" w:type="dxa"/>
              <w:start w:w="130" w:type="dxa"/>
              <w:bottom w:w="95" w:type="dxa"/>
              <w:end w:w="130" w:type="dxa"/>
            </w:tcMar>
            <w:vAlign w:val="center"/>
          </w:tcPr>
          <w:p>
            <w:pPr>
              <w:spacing w:after="0" w:line="252" w:lineRule="auto"/>
            </w:pPr>
            <w:r>
              <w:rPr>
                <w:sz w:val="17"/>
              </w:rPr>
              <w:t>Log tecnici</w:t>
            </w:r>
          </w:p>
        </w:tc>
        <w:tc>
          <w:tcPr>
            <w:tcW w:type="dxa" w:w="2150"/>
            <w:tcMar>
              <w:top w:w="95" w:type="dxa"/>
              <w:start w:w="130" w:type="dxa"/>
              <w:bottom w:w="95" w:type="dxa"/>
              <w:end w:w="130" w:type="dxa"/>
            </w:tcMar>
            <w:vAlign w:val="center"/>
          </w:tcPr>
          <w:p>
            <w:pPr>
              <w:spacing w:after="0" w:line="252" w:lineRule="auto"/>
            </w:pPr>
            <w:r>
              <w:rPr>
                <w:sz w:val="17"/>
              </w:rPr>
              <w:t>Secondo piano e policy approvata</w:t>
            </w:r>
          </w:p>
        </w:tc>
        <w:tc>
          <w:tcPr>
            <w:tcW w:type="dxa" w:w="5210"/>
            <w:tcMar>
              <w:top w:w="95" w:type="dxa"/>
              <w:start w:w="130" w:type="dxa"/>
              <w:bottom w:w="95" w:type="dxa"/>
              <w:end w:w="130" w:type="dxa"/>
            </w:tcMar>
            <w:vAlign w:val="center"/>
          </w:tcPr>
          <w:p>
            <w:pPr>
              <w:spacing w:after="0" w:line="252" w:lineRule="auto"/>
            </w:pPr>
            <w:r>
              <w:rPr>
                <w:sz w:val="17"/>
              </w:rPr>
              <w:t>Limitazione accessi, revisione e cancellazione; retention Free attualmente ridotta</w:t>
            </w:r>
          </w:p>
        </w:tc>
      </w:tr>
      <w:tr>
        <w:trPr>
          <w:cantSplit/>
        </w:trPr>
        <w:tc>
          <w:tcPr>
            <w:tcW w:type="dxa" w:w="2050"/>
            <w:shd w:fill="FAFBFC"/>
            <w:tcMar>
              <w:top w:w="95" w:type="dxa"/>
              <w:start w:w="130" w:type="dxa"/>
              <w:bottom w:w="95" w:type="dxa"/>
              <w:end w:w="130" w:type="dxa"/>
            </w:tcMar>
            <w:vAlign w:val="center"/>
          </w:tcPr>
          <w:p>
            <w:pPr>
              <w:spacing w:after="0" w:line="252" w:lineRule="auto"/>
            </w:pPr>
            <w:r>
              <w:rPr>
                <w:sz w:val="17"/>
              </w:rPr>
              <w:t>Report controllati</w:t>
            </w:r>
          </w:p>
        </w:tc>
        <w:tc>
          <w:tcPr>
            <w:tcW w:type="dxa" w:w="2150"/>
            <w:shd w:fill="FAFBFC"/>
            <w:tcMar>
              <w:top w:w="95" w:type="dxa"/>
              <w:start w:w="130" w:type="dxa"/>
              <w:bottom w:w="95" w:type="dxa"/>
              <w:end w:w="130" w:type="dxa"/>
            </w:tcMar>
            <w:vAlign w:val="center"/>
          </w:tcPr>
          <w:p>
            <w:pPr>
              <w:spacing w:after="0" w:line="252" w:lineRule="auto"/>
            </w:pPr>
            <w:r>
              <w:rPr>
                <w:sz w:val="17"/>
              </w:rPr>
              <w:t>Secondo policy qualità SIFO</w:t>
            </w:r>
          </w:p>
        </w:tc>
        <w:tc>
          <w:tcPr>
            <w:tcW w:type="dxa" w:w="5210"/>
            <w:shd w:fill="FAFBFC"/>
            <w:tcMar>
              <w:top w:w="95" w:type="dxa"/>
              <w:start w:w="130" w:type="dxa"/>
              <w:bottom w:w="95" w:type="dxa"/>
              <w:end w:w="130" w:type="dxa"/>
            </w:tcMar>
            <w:vAlign w:val="center"/>
          </w:tcPr>
          <w:p>
            <w:pPr>
              <w:spacing w:after="0" w:line="252" w:lineRule="auto"/>
            </w:pPr>
            <w:r>
              <w:rPr>
                <w:sz w:val="17"/>
              </w:rPr>
              <w:t>Da definire prima di attribuire valore ufficiale di audit</w:t>
            </w:r>
          </w:p>
        </w:tc>
      </w:tr>
    </w:tbl>
    <w:p>
      <w:pPr>
        <w:spacing w:after="0"/>
      </w:pPr>
    </w:p>
    <w:p>
      <w:r>
        <w:t>Il termine di un mese riguarda il riscontro alla richiesta dell'interessato e può essere prorogato nei casi complessi secondo il Regolamento. L'effettiva cancellazione deve avvenire senza ingiustificato ritardo quando ne ricorrono i presupposti. Le copie tecniche di backup possono seguire il ciclo del fornitore, rimanendo non utilizzabili per finalità ordinarie; in caso di ripristino deve essere previsto il riapplicarsi delle cancellazioni già disposte.</w:t>
      </w:r>
    </w:p>
    <w:p>
      <w:pPr>
        <w:pStyle w:val="Heading2"/>
        <w:keepNext w:val="1"/>
      </w:pPr>
      <w:r>
        <w:t>8.1 Procedura proposta per cancellazione e oblio</w:t>
      </w:r>
    </w:p>
    <w:p>
      <w:pPr>
        <w:pStyle w:val="ListNumber"/>
        <w:numPr>
          <w:ilvl w:val="0"/>
          <w:numId w:val="11"/>
        </w:numPr>
      </w:pPr>
      <w:r>
        <w:t>Ricezione della richiesta dal canale indicato nell'app e registrazione della data.</w:t>
      </w:r>
    </w:p>
    <w:p>
      <w:pPr>
        <w:pStyle w:val="ListNumber"/>
        <w:numPr>
          <w:ilvl w:val="0"/>
          <w:numId w:val="11"/>
        </w:numPr>
      </w:pPr>
      <w:r>
        <w:t>Verifica ragionevole dell'identità mediante indirizzo e-mail associato all'account.</w:t>
      </w:r>
    </w:p>
    <w:p>
      <w:pPr>
        <w:pStyle w:val="ListNumber"/>
        <w:numPr>
          <w:ilvl w:val="0"/>
          <w:numId w:val="11"/>
        </w:numPr>
      </w:pPr>
      <w:r>
        <w:t>Offerta di esportazione preventiva dei dati, se richiesta dall'interessato.</w:t>
      </w:r>
    </w:p>
    <w:p>
      <w:pPr>
        <w:pStyle w:val="ListNumber"/>
        <w:numPr>
          <w:ilvl w:val="0"/>
          <w:numId w:val="11"/>
        </w:numPr>
      </w:pPr>
      <w:r>
        <w:t>Individuazione dei record FMEA, RCA, Gap e delle impostazioni associati all'identificativo utente.</w:t>
      </w:r>
    </w:p>
    <w:p>
      <w:pPr>
        <w:pStyle w:val="ListNumber"/>
        <w:numPr>
          <w:ilvl w:val="0"/>
          <w:numId w:val="11"/>
        </w:numPr>
      </w:pPr>
      <w:r>
        <w:t>Cancellazione dei dati applicativi e successiva eliminazione dell'account Auth da parte di un amministratore autorizzato.</w:t>
      </w:r>
    </w:p>
    <w:p>
      <w:pPr>
        <w:pStyle w:val="ListNumber"/>
        <w:numPr>
          <w:ilvl w:val="0"/>
          <w:numId w:val="11"/>
        </w:numPr>
      </w:pPr>
      <w:r>
        <w:t>Registrazione della sola evidenza minima dell'operazione e comunicazione dell'esito.</w:t>
      </w:r>
    </w:p>
    <w:p>
      <w:pPr>
        <w:pStyle w:val="ListNumber"/>
        <w:numPr>
          <w:ilvl w:val="0"/>
          <w:numId w:val="11"/>
        </w:numPr>
      </w:pPr>
      <w:r>
        <w:t>Gestione delle eventuali eccezioni legali o tecniche e informazione trasparente all'interessato.</w:t>
      </w:r>
    </w:p>
    <w:p>
      <w:pPr>
        <w:pStyle w:val="Heading1"/>
        <w:keepNext w:val="1"/>
      </w:pPr>
      <w:r>
        <w:t>9. Gestione essenziale di anomalie e violazioni</w:t>
      </w:r>
    </w:p>
    <w:p>
      <w:r>
        <w:t>Senza introdurre in questa fase una struttura organizzativa sovradimensionata, il progetto deve prevedere un canale unico di segnalazione e una procedura essenziale: registrazione dell'evento, contenimento tecnico, valutazione con il referente privacy, conservazione delle evidenze strettamente necessarie e decisione sugli obblighi di notifica. Il termine di 72 ore previsto dall'articolo 33 riguarda la notifica all'autorità quando una violazione presenta i presupposti previsti; non è un termine generale di conservazione o risoluzione.</w:t>
      </w:r>
    </w:p>
    <w:tbl>
      <w:tblPr>
        <w:tblW w:type="dxa" w:w="9410"/>
        <w:jc w:val="left"/>
        <w:tblLayout w:type="fixed"/>
        <w:tblLook w:firstColumn="1" w:firstRow="1" w:lastColumn="0" w:lastRow="0" w:noHBand="0" w:noVBand="1" w:val="04A0"/>
        <w:tblInd w:w="0" w:type="dxa"/>
        <w:tblBorders>
          <w:top w:val="single" w:sz="7" w:space="0" w:color="A16207"/>
          <w:left w:val="single" w:sz="7" w:space="0" w:color="A16207"/>
          <w:bottom w:val="single" w:sz="7" w:space="0" w:color="A16207"/>
          <w:right w:val="single" w:sz="7" w:space="0" w:color="A16207"/>
          <w:insideH w:val="single" w:sz="7" w:space="0" w:color="A16207"/>
          <w:insideV w:val="single" w:sz="7" w:space="0" w:color="A16207"/>
        </w:tblBorders>
      </w:tblPr>
      <w:tblGrid>
        <w:gridCol w:w="9410"/>
      </w:tblGrid>
      <w:tr>
        <w:tc>
          <w:tcPr>
            <w:tcW w:type="dxa" w:w="9410"/>
            <w:tcMar>
              <w:top w:w="95" w:type="dxa"/>
              <w:start w:w="130" w:type="dxa"/>
              <w:bottom w:w="95" w:type="dxa"/>
              <w:end w:w="130" w:type="dxa"/>
            </w:tcMar>
            <w:vAlign w:val="center"/>
            <w:shd w:fill="FFF4D6"/>
          </w:tcPr>
          <w:p>
            <w:pPr>
              <w:spacing w:after="60"/>
            </w:pPr>
            <w:r>
              <w:rPr>
                <w:b/>
                <w:color w:val="A16207"/>
                <w:sz w:val="19"/>
              </w:rPr>
              <w:t>DA DEFINIRE CON SIFO</w:t>
            </w:r>
          </w:p>
          <w:p>
            <w:pPr>
              <w:spacing w:after="0" w:line="259" w:lineRule="auto"/>
            </w:pPr>
            <w:r>
              <w:t>Referente reperibile, canale di escalation, responsabilità della valutazione del rischio, modalità di coinvolgimento del DPO e registrazione delle decisioni.</w:t>
            </w:r>
          </w:p>
        </w:tc>
      </w:tr>
    </w:tbl>
    <w:p>
      <w:pPr>
        <w:spacing w:after="0"/>
      </w:pPr>
    </w:p>
    <w:p>
      <w:pPr>
        <w:pStyle w:val="Heading1"/>
        <w:keepNext w:val="1"/>
      </w:pPr>
      <w:r>
        <w:t>10. Modello di adozione e fase transitoria</w:t>
      </w:r>
    </w:p>
    <w:p>
      <w:r>
        <w:t>Il passaggio a una governance SIFO è tecnicamente realizzabile anche dopo l'avvio: Supabase consente il trasferimento di un progetto tra organizzazioni, mantenendo il progetto nella regione corrente; Vercel consente il trasferimento tra team. Tuttavia, il trasferimento tecnico successivo non sana retroattivamente l'assenza di ruoli, accordi e procedure dal momento in cui iniziano trattamenti riferiti a utenti reali.</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2300"/>
        <w:gridCol w:w="3550"/>
        <w:gridCol w:w="1860"/>
      </w:tblGrid>
      <w:tr>
        <w:trPr>
          <w:tblHeader w:val="true"/>
          <w:cantSplit/>
        </w:trPr>
        <w:tc>
          <w:tcPr>
            <w:tcW w:type="dxa" w:w="1700"/>
            <w:tcMar>
              <w:top w:w="95" w:type="dxa"/>
              <w:start w:w="130" w:type="dxa"/>
              <w:bottom w:w="95" w:type="dxa"/>
              <w:end w:w="130" w:type="dxa"/>
            </w:tcMar>
            <w:vAlign w:val="center"/>
            <w:shd w:fill="17365D"/>
          </w:tcPr>
          <w:p>
            <w:pPr>
              <w:spacing w:after="0"/>
            </w:pPr>
            <w:r>
              <w:rPr>
                <w:b/>
                <w:color w:val="FFFFFF"/>
                <w:sz w:val="17"/>
              </w:rPr>
              <w:t>Fase</w:t>
            </w:r>
          </w:p>
        </w:tc>
        <w:tc>
          <w:tcPr>
            <w:tcW w:type="dxa" w:w="2300"/>
            <w:tcMar>
              <w:top w:w="95" w:type="dxa"/>
              <w:start w:w="130" w:type="dxa"/>
              <w:bottom w:w="95" w:type="dxa"/>
              <w:end w:w="130" w:type="dxa"/>
            </w:tcMar>
            <w:vAlign w:val="center"/>
            <w:shd w:fill="17365D"/>
          </w:tcPr>
          <w:p>
            <w:pPr>
              <w:spacing w:after="0"/>
            </w:pPr>
            <w:r>
              <w:rPr>
                <w:b/>
                <w:color w:val="FFFFFF"/>
                <w:sz w:val="17"/>
              </w:rPr>
              <w:t>Perimetro</w:t>
            </w:r>
          </w:p>
        </w:tc>
        <w:tc>
          <w:tcPr>
            <w:tcW w:type="dxa" w:w="3550"/>
            <w:tcMar>
              <w:top w:w="95" w:type="dxa"/>
              <w:start w:w="130" w:type="dxa"/>
              <w:bottom w:w="95" w:type="dxa"/>
              <w:end w:w="130" w:type="dxa"/>
            </w:tcMar>
            <w:vAlign w:val="center"/>
            <w:shd w:fill="17365D"/>
          </w:tcPr>
          <w:p>
            <w:pPr>
              <w:spacing w:after="0"/>
            </w:pPr>
            <w:r>
              <w:rPr>
                <w:b/>
                <w:color w:val="FFFFFF"/>
                <w:sz w:val="17"/>
              </w:rPr>
              <w:t>Condizioni</w:t>
            </w:r>
          </w:p>
        </w:tc>
        <w:tc>
          <w:tcPr>
            <w:tcW w:type="dxa" w:w="1860"/>
            <w:tcMar>
              <w:top w:w="95" w:type="dxa"/>
              <w:start w:w="130" w:type="dxa"/>
              <w:bottom w:w="95" w:type="dxa"/>
              <w:end w:w="130" w:type="dxa"/>
            </w:tcMar>
            <w:vAlign w:val="center"/>
            <w:shd w:fill="17365D"/>
          </w:tcPr>
          <w:p>
            <w:pPr>
              <w:spacing w:after="0"/>
            </w:pPr>
            <w:r>
              <w:rPr>
                <w:b/>
                <w:color w:val="FFFFFF"/>
                <w:sz w:val="17"/>
              </w:rPr>
              <w:t>Durata indicativa</w:t>
            </w:r>
          </w:p>
        </w:tc>
      </w:tr>
      <w:tr>
        <w:trPr>
          <w:cantSplit/>
        </w:trPr>
        <w:tc>
          <w:tcPr>
            <w:tcW w:type="dxa" w:w="1700"/>
            <w:tcMar>
              <w:top w:w="95" w:type="dxa"/>
              <w:start w:w="130" w:type="dxa"/>
              <w:bottom w:w="95" w:type="dxa"/>
              <w:end w:w="130" w:type="dxa"/>
            </w:tcMar>
            <w:vAlign w:val="center"/>
          </w:tcPr>
          <w:p>
            <w:pPr>
              <w:spacing w:after="0" w:line="252" w:lineRule="auto"/>
            </w:pPr>
            <w:r>
              <w:rPr>
                <w:sz w:val="17"/>
              </w:rPr>
              <w:t>0. Validazione tecnica pre-pilota</w:t>
            </w:r>
          </w:p>
        </w:tc>
        <w:tc>
          <w:tcPr>
            <w:tcW w:type="dxa" w:w="2300"/>
            <w:tcMar>
              <w:top w:w="95" w:type="dxa"/>
              <w:start w:w="130" w:type="dxa"/>
              <w:bottom w:w="95" w:type="dxa"/>
              <w:end w:w="130" w:type="dxa"/>
            </w:tcMar>
            <w:vAlign w:val="center"/>
          </w:tcPr>
          <w:p>
            <w:pPr>
              <w:spacing w:after="0" w:line="252" w:lineRule="auto"/>
            </w:pPr>
            <w:r>
              <w:rPr>
                <w:sz w:val="17"/>
              </w:rPr>
              <w:t>Sviluppatore e pochi tester</w:t>
            </w:r>
          </w:p>
        </w:tc>
        <w:tc>
          <w:tcPr>
            <w:tcW w:type="dxa" w:w="3550"/>
            <w:tcMar>
              <w:top w:w="95" w:type="dxa"/>
              <w:start w:w="130" w:type="dxa"/>
              <w:bottom w:w="95" w:type="dxa"/>
              <w:end w:w="130" w:type="dxa"/>
            </w:tcMar>
            <w:vAlign w:val="center"/>
          </w:tcPr>
          <w:p>
            <w:pPr>
              <w:spacing w:after="0" w:line="252" w:lineRule="auto"/>
            </w:pPr>
            <w:r>
              <w:rPr>
                <w:sz w:val="17"/>
              </w:rPr>
              <w:t>Dati sintetici; account personali Free; nessuna promozione come servizio istituzionale</w:t>
            </w:r>
          </w:p>
        </w:tc>
        <w:tc>
          <w:tcPr>
            <w:tcW w:type="dxa" w:w="1860"/>
            <w:tcMar>
              <w:top w:w="95" w:type="dxa"/>
              <w:start w:w="130" w:type="dxa"/>
              <w:bottom w:w="95" w:type="dxa"/>
              <w:end w:w="130" w:type="dxa"/>
            </w:tcMar>
            <w:vAlign w:val="center"/>
          </w:tcPr>
          <w:p>
            <w:pPr>
              <w:spacing w:after="0" w:line="252" w:lineRule="auto"/>
            </w:pPr>
            <w:r>
              <w:rPr>
                <w:sz w:val="17"/>
              </w:rPr>
              <w:t>Fino all'approvazione SIFO</w:t>
            </w:r>
          </w:p>
        </w:tc>
      </w:tr>
      <w:tr>
        <w:trPr>
          <w:cantSplit/>
        </w:trPr>
        <w:tc>
          <w:tcPr>
            <w:tcW w:type="dxa" w:w="1700"/>
            <w:shd w:fill="FAFBFC"/>
            <w:tcMar>
              <w:top w:w="95" w:type="dxa"/>
              <w:start w:w="130" w:type="dxa"/>
              <w:bottom w:w="95" w:type="dxa"/>
              <w:end w:w="130" w:type="dxa"/>
            </w:tcMar>
            <w:vAlign w:val="center"/>
          </w:tcPr>
          <w:p>
            <w:pPr>
              <w:spacing w:after="0" w:line="252" w:lineRule="auto"/>
            </w:pPr>
            <w:r>
              <w:rPr>
                <w:sz w:val="17"/>
              </w:rPr>
              <w:t>1. Transizione controllata</w:t>
            </w:r>
          </w:p>
        </w:tc>
        <w:tc>
          <w:tcPr>
            <w:tcW w:type="dxa" w:w="2300"/>
            <w:shd w:fill="FAFBFC"/>
            <w:tcMar>
              <w:top w:w="95" w:type="dxa"/>
              <w:start w:w="130" w:type="dxa"/>
              <w:bottom w:w="95" w:type="dxa"/>
              <w:end w:w="130" w:type="dxa"/>
            </w:tcMar>
            <w:vAlign w:val="center"/>
          </w:tcPr>
          <w:p>
            <w:pPr>
              <w:spacing w:after="0" w:line="252" w:lineRule="auto"/>
            </w:pPr>
            <w:r>
              <w:rPr>
                <w:sz w:val="17"/>
              </w:rPr>
              <w:t>Gruppo ristretto su invito</w:t>
            </w:r>
          </w:p>
        </w:tc>
        <w:tc>
          <w:tcPr>
            <w:tcW w:type="dxa" w:w="3550"/>
            <w:shd w:fill="FAFBFC"/>
            <w:tcMar>
              <w:top w:w="95" w:type="dxa"/>
              <w:start w:w="130" w:type="dxa"/>
              <w:bottom w:w="95" w:type="dxa"/>
              <w:end w:w="130" w:type="dxa"/>
            </w:tcMar>
            <w:vAlign w:val="center"/>
          </w:tcPr>
          <w:p>
            <w:pPr>
              <w:spacing w:after="0" w:line="252" w:lineRule="auto"/>
            </w:pPr>
            <w:r>
              <w:rPr>
                <w:sz w:val="17"/>
              </w:rPr>
              <w:t>Addendum approvato; ruoli provvisori; DPA Supabase; informativa; procedura diritti; decisione su Vercel</w:t>
            </w:r>
          </w:p>
        </w:tc>
        <w:tc>
          <w:tcPr>
            <w:tcW w:type="dxa" w:w="1860"/>
            <w:shd w:fill="FAFBFC"/>
            <w:tcMar>
              <w:top w:w="95" w:type="dxa"/>
              <w:start w:w="130" w:type="dxa"/>
              <w:bottom w:w="95" w:type="dxa"/>
              <w:end w:w="130" w:type="dxa"/>
            </w:tcMar>
            <w:vAlign w:val="center"/>
          </w:tcPr>
          <w:p>
            <w:pPr>
              <w:spacing w:after="0" w:line="252" w:lineRule="auto"/>
            </w:pPr>
            <w:r>
              <w:rPr>
                <w:sz w:val="17"/>
              </w:rPr>
              <w:t>60-90 giorni</w:t>
            </w:r>
          </w:p>
        </w:tc>
      </w:tr>
      <w:tr>
        <w:trPr>
          <w:cantSplit/>
        </w:trPr>
        <w:tc>
          <w:tcPr>
            <w:tcW w:type="dxa" w:w="1700"/>
            <w:tcMar>
              <w:top w:w="95" w:type="dxa"/>
              <w:start w:w="130" w:type="dxa"/>
              <w:bottom w:w="95" w:type="dxa"/>
              <w:end w:w="130" w:type="dxa"/>
            </w:tcMar>
            <w:vAlign w:val="center"/>
          </w:tcPr>
          <w:p>
            <w:pPr>
              <w:spacing w:after="0" w:line="252" w:lineRule="auto"/>
            </w:pPr>
            <w:r>
              <w:rPr>
                <w:sz w:val="17"/>
              </w:rPr>
              <w:t>2. Pilota istituzionale</w:t>
            </w:r>
          </w:p>
        </w:tc>
        <w:tc>
          <w:tcPr>
            <w:tcW w:type="dxa" w:w="2300"/>
            <w:tcMar>
              <w:top w:w="95" w:type="dxa"/>
              <w:start w:w="130" w:type="dxa"/>
              <w:bottom w:w="95" w:type="dxa"/>
              <w:end w:w="130" w:type="dxa"/>
            </w:tcMar>
            <w:vAlign w:val="center"/>
          </w:tcPr>
          <w:p>
            <w:pPr>
              <w:spacing w:after="0" w:line="252" w:lineRule="auto"/>
            </w:pPr>
            <w:r>
              <w:rPr>
                <w:sz w:val="17"/>
              </w:rPr>
              <w:t>Utenti SIFO autorizzati</w:t>
            </w:r>
          </w:p>
        </w:tc>
        <w:tc>
          <w:tcPr>
            <w:tcW w:type="dxa" w:w="3550"/>
            <w:tcMar>
              <w:top w:w="95" w:type="dxa"/>
              <w:start w:w="130" w:type="dxa"/>
              <w:bottom w:w="95" w:type="dxa"/>
              <w:end w:w="130" w:type="dxa"/>
            </w:tcMar>
            <w:vAlign w:val="center"/>
          </w:tcPr>
          <w:p>
            <w:pPr>
              <w:spacing w:after="0" w:line="252" w:lineRule="auto"/>
            </w:pPr>
            <w:r>
              <w:rPr>
                <w:sz w:val="17"/>
              </w:rPr>
              <w:t>Account/organizzazioni SIFO; owner tecnici; Vercel Pro o hosting SIFO; monitoraggio KPI</w:t>
            </w:r>
          </w:p>
        </w:tc>
        <w:tc>
          <w:tcPr>
            <w:tcW w:type="dxa" w:w="1860"/>
            <w:tcMar>
              <w:top w:w="95" w:type="dxa"/>
              <w:start w:w="130" w:type="dxa"/>
              <w:bottom w:w="95" w:type="dxa"/>
              <w:end w:w="130" w:type="dxa"/>
            </w:tcMar>
            <w:vAlign w:val="center"/>
          </w:tcPr>
          <w:p>
            <w:pPr>
              <w:spacing w:after="0" w:line="252" w:lineRule="auto"/>
            </w:pPr>
            <w:r>
              <w:rPr>
                <w:sz w:val="17"/>
              </w:rPr>
              <w:t>6-9 mesi</w:t>
            </w:r>
          </w:p>
        </w:tc>
      </w:tr>
      <w:tr>
        <w:trPr>
          <w:cantSplit/>
        </w:trPr>
        <w:tc>
          <w:tcPr>
            <w:tcW w:type="dxa" w:w="1700"/>
            <w:shd w:fill="FAFBFC"/>
            <w:tcMar>
              <w:top w:w="95" w:type="dxa"/>
              <w:start w:w="130" w:type="dxa"/>
              <w:bottom w:w="95" w:type="dxa"/>
              <w:end w:w="130" w:type="dxa"/>
            </w:tcMar>
            <w:vAlign w:val="center"/>
          </w:tcPr>
          <w:p>
            <w:pPr>
              <w:spacing w:after="0" w:line="252" w:lineRule="auto"/>
            </w:pPr>
            <w:r>
              <w:rPr>
                <w:sz w:val="17"/>
              </w:rPr>
              <w:t>3. Consolidamento</w:t>
            </w:r>
          </w:p>
        </w:tc>
        <w:tc>
          <w:tcPr>
            <w:tcW w:type="dxa" w:w="2300"/>
            <w:shd w:fill="FAFBFC"/>
            <w:tcMar>
              <w:top w:w="95" w:type="dxa"/>
              <w:start w:w="130" w:type="dxa"/>
              <w:bottom w:w="95" w:type="dxa"/>
              <w:end w:w="130" w:type="dxa"/>
            </w:tcMar>
            <w:vAlign w:val="center"/>
          </w:tcPr>
          <w:p>
            <w:pPr>
              <w:spacing w:after="0" w:line="252" w:lineRule="auto"/>
            </w:pPr>
            <w:r>
              <w:rPr>
                <w:sz w:val="17"/>
              </w:rPr>
              <w:t>Eventuale diffusione societaria</w:t>
            </w:r>
          </w:p>
        </w:tc>
        <w:tc>
          <w:tcPr>
            <w:tcW w:type="dxa" w:w="3550"/>
            <w:shd w:fill="FAFBFC"/>
            <w:tcMar>
              <w:top w:w="95" w:type="dxa"/>
              <w:start w:w="130" w:type="dxa"/>
              <w:bottom w:w="95" w:type="dxa"/>
              <w:end w:w="130" w:type="dxa"/>
            </w:tcMar>
            <w:vAlign w:val="center"/>
          </w:tcPr>
          <w:p>
            <w:pPr>
              <w:spacing w:after="0" w:line="252" w:lineRule="auto"/>
            </w:pPr>
            <w:r>
              <w:rPr>
                <w:sz w:val="17"/>
              </w:rPr>
              <w:t>Esiti positivi; sostenibilità; report e manuale validati; piano manutenzione</w:t>
            </w:r>
          </w:p>
        </w:tc>
        <w:tc>
          <w:tcPr>
            <w:tcW w:type="dxa" w:w="1860"/>
            <w:shd w:fill="FAFBFC"/>
            <w:tcMar>
              <w:top w:w="95" w:type="dxa"/>
              <w:start w:w="130" w:type="dxa"/>
              <w:bottom w:w="95" w:type="dxa"/>
              <w:end w:w="130" w:type="dxa"/>
            </w:tcMar>
            <w:vAlign w:val="center"/>
          </w:tcPr>
          <w:p>
            <w:pPr>
              <w:spacing w:after="0" w:line="252" w:lineRule="auto"/>
            </w:pPr>
            <w:r>
              <w:rPr>
                <w:sz w:val="17"/>
              </w:rPr>
              <w:t>Fino al 2028</w:t>
            </w:r>
          </w:p>
        </w:tc>
      </w:tr>
    </w:tbl>
    <w:p>
      <w:pPr>
        <w:spacing w:after="0"/>
      </w:pPr>
    </w:p>
    <w:p>
      <w:r>
        <w:t>Qualora SIFO intenda coinvolgere utenti reali sin dall'avvio, la soluzione preferibile è trasferire prima il progetto a organizzazioni controllate da SIFO. Una fase transitoria sugli account attuali può essere ammessa solo come eccezione formalizzata, limitata nel tempo e nel numero di utenti e senza contenuti identificativi.</w:t>
      </w:r>
    </w:p>
    <w:p>
      <w:pPr>
        <w:pStyle w:val="Heading1"/>
        <w:keepNext w:val="1"/>
      </w:pPr>
      <w:r>
        <w:t>11. Report, versionamento e utilizzo in audit</w:t>
      </w:r>
    </w:p>
    <w:p>
      <w:pPr>
        <w:pStyle w:val="Heading2"/>
        <w:keepNext w:val="1"/>
      </w:pPr>
      <w:r>
        <w:t>11.1 Stato attuale</w:t>
      </w:r>
    </w:p>
    <w:p>
      <w:r>
        <w:t>I report FMEA, RCA e Gap Analysis sono generati lato client sulla base dello stato corrente dell'assessment. Contengono dati metodologici, grafici e sezioni di firma, ma non dispongono ancora di uno storico persistente e immutabile delle emissioni. Devono pertanto essere qualificati, nello stato attuale, come documenti informativi di supporto e non come documenti controllati di audit.</w:t>
      </w:r>
    </w:p>
    <w:p>
      <w:pPr>
        <w:pStyle w:val="Heading2"/>
        <w:keepNext w:val="1"/>
      </w:pPr>
      <w:r>
        <w:t>11.2 Adeguamento minimo per il pilota</w:t>
      </w:r>
    </w:p>
    <w:p>
      <w:pPr>
        <w:pStyle w:val="ListBullet"/>
      </w:pPr>
      <w:r>
        <w:t>Dicitura Documento informativo non controllato fino alla validazione SIFO.</w:t>
      </w:r>
    </w:p>
    <w:p>
      <w:pPr>
        <w:pStyle w:val="ListBullet"/>
      </w:pPr>
      <w:r>
        <w:t>Identificativo univoco dell'assessment e modulo di appartenenza.</w:t>
      </w:r>
    </w:p>
    <w:p>
      <w:pPr>
        <w:pStyle w:val="ListBullet"/>
      </w:pPr>
      <w:r>
        <w:t>Data e ora di generazione, autore dell'esportazione e stato dell'assessment.</w:t>
      </w:r>
    </w:p>
    <w:p>
      <w:pPr>
        <w:pStyle w:val="ListBullet"/>
      </w:pPr>
      <w:r>
        <w:t>Versione dell'applicazione e versione del modello di report.</w:t>
      </w:r>
    </w:p>
    <w:p>
      <w:pPr>
        <w:pStyle w:val="ListBullet"/>
      </w:pPr>
      <w:r>
        <w:t>Numerazione delle pagine, responsabile della verifica e campo firma.</w:t>
      </w:r>
    </w:p>
    <w:p>
      <w:pPr>
        <w:pStyle w:val="ListBullet"/>
      </w:pPr>
      <w:r>
        <w:t>Watermark Bozza per assessment non completati.</w:t>
      </w:r>
    </w:p>
    <w:p>
      <w:pPr>
        <w:pStyle w:val="Heading2"/>
        <w:keepNext w:val="1"/>
      </w:pPr>
      <w:r>
        <w:t>11.3 Opzione audit-grade</w:t>
      </w:r>
    </w:p>
    <w:p>
      <w:r>
        <w:t>Se SIFO stabilirà che i report debbano costituire evidenza ufficiale di audit, si propone un'implementazione incrementale basata su versioni immutabili. Ogni emissione finale genera uno snapshot strutturato dei dati, un numero di versione e un'impronta crittografica. Le modifiche successive non sovrascrivono il report precedente, ma determinano una nuova versione.</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0"/>
        <w:gridCol w:w="5200"/>
        <w:gridCol w:w="2560"/>
      </w:tblGrid>
      <w:tr>
        <w:trPr>
          <w:tblHeader w:val="true"/>
          <w:cantSplit/>
        </w:trPr>
        <w:tc>
          <w:tcPr>
            <w:tcW w:type="dxa" w:w="1650"/>
            <w:tcMar>
              <w:top w:w="95" w:type="dxa"/>
              <w:start w:w="130" w:type="dxa"/>
              <w:bottom w:w="95" w:type="dxa"/>
              <w:end w:w="130" w:type="dxa"/>
            </w:tcMar>
            <w:vAlign w:val="center"/>
            <w:shd w:fill="17365D"/>
          </w:tcPr>
          <w:p>
            <w:pPr>
              <w:spacing w:after="0"/>
            </w:pPr>
            <w:r>
              <w:rPr>
                <w:b/>
                <w:color w:val="FFFFFF"/>
                <w:sz w:val="17"/>
              </w:rPr>
              <w:t>Componente</w:t>
            </w:r>
          </w:p>
        </w:tc>
        <w:tc>
          <w:tcPr>
            <w:tcW w:type="dxa" w:w="5200"/>
            <w:tcMar>
              <w:top w:w="95" w:type="dxa"/>
              <w:start w:w="130" w:type="dxa"/>
              <w:bottom w:w="95" w:type="dxa"/>
              <w:end w:w="130" w:type="dxa"/>
            </w:tcMar>
            <w:vAlign w:val="center"/>
            <w:shd w:fill="17365D"/>
          </w:tcPr>
          <w:p>
            <w:pPr>
              <w:spacing w:after="0"/>
            </w:pPr>
            <w:r>
              <w:rPr>
                <w:b/>
                <w:color w:val="FFFFFF"/>
                <w:sz w:val="17"/>
              </w:rPr>
              <w:t>Implementazione proposta</w:t>
            </w:r>
          </w:p>
        </w:tc>
        <w:tc>
          <w:tcPr>
            <w:tcW w:type="dxa" w:w="2560"/>
            <w:tcMar>
              <w:top w:w="95" w:type="dxa"/>
              <w:start w:w="130" w:type="dxa"/>
              <w:bottom w:w="95" w:type="dxa"/>
              <w:end w:w="130" w:type="dxa"/>
            </w:tcMar>
            <w:vAlign w:val="center"/>
            <w:shd w:fill="17365D"/>
          </w:tcPr>
          <w:p>
            <w:pPr>
              <w:spacing w:after="0"/>
            </w:pPr>
            <w:r>
              <w:rPr>
                <w:b/>
                <w:color w:val="FFFFFF"/>
                <w:sz w:val="17"/>
              </w:rPr>
              <w:t>Impatto</w:t>
            </w:r>
          </w:p>
        </w:tc>
      </w:tr>
      <w:tr>
        <w:trPr>
          <w:cantSplit/>
        </w:trPr>
        <w:tc>
          <w:tcPr>
            <w:tcW w:type="dxa" w:w="1650"/>
            <w:tcMar>
              <w:top w:w="95" w:type="dxa"/>
              <w:start w:w="130" w:type="dxa"/>
              <w:bottom w:w="95" w:type="dxa"/>
              <w:end w:w="130" w:type="dxa"/>
            </w:tcMar>
            <w:vAlign w:val="center"/>
          </w:tcPr>
          <w:p>
            <w:pPr>
              <w:spacing w:after="0" w:line="252" w:lineRule="auto"/>
            </w:pPr>
            <w:r>
              <w:rPr>
                <w:sz w:val="17"/>
              </w:rPr>
              <w:t>Database</w:t>
            </w:r>
          </w:p>
        </w:tc>
        <w:tc>
          <w:tcPr>
            <w:tcW w:type="dxa" w:w="5200"/>
            <w:tcMar>
              <w:top w:w="95" w:type="dxa"/>
              <w:start w:w="130" w:type="dxa"/>
              <w:bottom w:w="95" w:type="dxa"/>
              <w:end w:w="130" w:type="dxa"/>
            </w:tcMar>
            <w:vAlign w:val="center"/>
          </w:tcPr>
          <w:p>
            <w:pPr>
              <w:spacing w:after="0" w:line="252" w:lineRule="auto"/>
            </w:pPr>
            <w:r>
              <w:rPr>
                <w:sz w:val="17"/>
              </w:rPr>
              <w:t>Nuova tabella report_versions con modulo, assessment, versione, stato, autore, data, motivo revisione, snapshot JSON e hash</w:t>
            </w:r>
          </w:p>
        </w:tc>
        <w:tc>
          <w:tcPr>
            <w:tcW w:type="dxa" w:w="2560"/>
            <w:tcMar>
              <w:top w:w="95" w:type="dxa"/>
              <w:start w:w="130" w:type="dxa"/>
              <w:bottom w:w="95" w:type="dxa"/>
              <w:end w:w="130" w:type="dxa"/>
            </w:tcMar>
            <w:vAlign w:val="center"/>
          </w:tcPr>
          <w:p>
            <w:pPr>
              <w:spacing w:after="0" w:line="252" w:lineRule="auto"/>
            </w:pPr>
            <w:r>
              <w:rPr>
                <w:sz w:val="17"/>
              </w:rPr>
              <w:t>Migration Supabase e nuove policy RLS</w:t>
            </w:r>
          </w:p>
        </w:tc>
      </w:tr>
      <w:tr>
        <w:trPr>
          <w:cantSplit/>
        </w:trPr>
        <w:tc>
          <w:tcPr>
            <w:tcW w:type="dxa" w:w="1650"/>
            <w:shd w:fill="FAFBFC"/>
            <w:tcMar>
              <w:top w:w="95" w:type="dxa"/>
              <w:start w:w="130" w:type="dxa"/>
              <w:bottom w:w="95" w:type="dxa"/>
              <w:end w:w="130" w:type="dxa"/>
            </w:tcMar>
            <w:vAlign w:val="center"/>
          </w:tcPr>
          <w:p>
            <w:pPr>
              <w:spacing w:after="0" w:line="252" w:lineRule="auto"/>
            </w:pPr>
            <w:r>
              <w:rPr>
                <w:sz w:val="17"/>
              </w:rPr>
              <w:t>Servizio</w:t>
            </w:r>
          </w:p>
        </w:tc>
        <w:tc>
          <w:tcPr>
            <w:tcW w:type="dxa" w:w="5200"/>
            <w:shd w:fill="FAFBFC"/>
            <w:tcMar>
              <w:top w:w="95" w:type="dxa"/>
              <w:start w:w="130" w:type="dxa"/>
              <w:bottom w:w="95" w:type="dxa"/>
              <w:end w:w="130" w:type="dxa"/>
            </w:tcMar>
            <w:vAlign w:val="center"/>
          </w:tcPr>
          <w:p>
            <w:pPr>
              <w:spacing w:after="0" w:line="252" w:lineRule="auto"/>
            </w:pPr>
            <w:r>
              <w:rPr>
                <w:sz w:val="17"/>
              </w:rPr>
              <w:t>Servizio condiviso per creare, elencare e recuperare versioni; versioni finali non modificabili</w:t>
            </w:r>
          </w:p>
        </w:tc>
        <w:tc>
          <w:tcPr>
            <w:tcW w:type="dxa" w:w="2560"/>
            <w:shd w:fill="FAFBFC"/>
            <w:tcMar>
              <w:top w:w="95" w:type="dxa"/>
              <w:start w:w="130" w:type="dxa"/>
              <w:bottom w:w="95" w:type="dxa"/>
              <w:end w:w="130" w:type="dxa"/>
            </w:tcMar>
            <w:vAlign w:val="center"/>
          </w:tcPr>
          <w:p>
            <w:pPr>
              <w:spacing w:after="0" w:line="252" w:lineRule="auto"/>
            </w:pPr>
            <w:r>
              <w:rPr>
                <w:sz w:val="17"/>
              </w:rPr>
              <w:t>Nuovo service TypeScript</w:t>
            </w:r>
          </w:p>
        </w:tc>
      </w:tr>
      <w:tr>
        <w:trPr>
          <w:cantSplit/>
        </w:trPr>
        <w:tc>
          <w:tcPr>
            <w:tcW w:type="dxa" w:w="1650"/>
            <w:tcMar>
              <w:top w:w="95" w:type="dxa"/>
              <w:start w:w="130" w:type="dxa"/>
              <w:bottom w:w="95" w:type="dxa"/>
              <w:end w:w="130" w:type="dxa"/>
            </w:tcMar>
            <w:vAlign w:val="center"/>
          </w:tcPr>
          <w:p>
            <w:pPr>
              <w:spacing w:after="0" w:line="252" w:lineRule="auto"/>
            </w:pPr>
            <w:r>
              <w:rPr>
                <w:sz w:val="17"/>
              </w:rPr>
              <w:t>Interfaccia</w:t>
            </w:r>
          </w:p>
        </w:tc>
        <w:tc>
          <w:tcPr>
            <w:tcW w:type="dxa" w:w="5200"/>
            <w:tcMar>
              <w:top w:w="95" w:type="dxa"/>
              <w:start w:w="130" w:type="dxa"/>
              <w:bottom w:w="95" w:type="dxa"/>
              <w:end w:w="130" w:type="dxa"/>
            </w:tcMar>
            <w:vAlign w:val="center"/>
          </w:tcPr>
          <w:p>
            <w:pPr>
              <w:spacing w:after="0" w:line="252" w:lineRule="auto"/>
            </w:pPr>
            <w:r>
              <w:rPr>
                <w:sz w:val="17"/>
              </w:rPr>
              <w:t>Sezione Storico report nei dettagli FMEA/RCA/Gap con versione, data, autore e stato</w:t>
            </w:r>
          </w:p>
        </w:tc>
        <w:tc>
          <w:tcPr>
            <w:tcW w:type="dxa" w:w="2560"/>
            <w:tcMar>
              <w:top w:w="95" w:type="dxa"/>
              <w:start w:w="130" w:type="dxa"/>
              <w:bottom w:w="95" w:type="dxa"/>
              <w:end w:w="130" w:type="dxa"/>
            </w:tcMar>
            <w:vAlign w:val="center"/>
          </w:tcPr>
          <w:p>
            <w:pPr>
              <w:spacing w:after="0" w:line="252" w:lineRule="auto"/>
            </w:pPr>
            <w:r>
              <w:rPr>
                <w:sz w:val="17"/>
              </w:rPr>
              <w:t>Modifiche mirate alle tre pagine detail</w:t>
            </w:r>
          </w:p>
        </w:tc>
      </w:tr>
      <w:tr>
        <w:trPr>
          <w:cantSplit/>
        </w:trPr>
        <w:tc>
          <w:tcPr>
            <w:tcW w:type="dxa" w:w="1650"/>
            <w:shd w:fill="FAFBFC"/>
            <w:tcMar>
              <w:top w:w="95" w:type="dxa"/>
              <w:start w:w="130" w:type="dxa"/>
              <w:bottom w:w="95" w:type="dxa"/>
              <w:end w:w="130" w:type="dxa"/>
            </w:tcMar>
            <w:vAlign w:val="center"/>
          </w:tcPr>
          <w:p>
            <w:pPr>
              <w:spacing w:after="0" w:line="252" w:lineRule="auto"/>
            </w:pPr>
            <w:r>
              <w:rPr>
                <w:sz w:val="17"/>
              </w:rPr>
              <w:t>Export</w:t>
            </w:r>
          </w:p>
        </w:tc>
        <w:tc>
          <w:tcPr>
            <w:tcW w:type="dxa" w:w="5200"/>
            <w:shd w:fill="FAFBFC"/>
            <w:tcMar>
              <w:top w:w="95" w:type="dxa"/>
              <w:start w:w="130" w:type="dxa"/>
              <w:bottom w:w="95" w:type="dxa"/>
              <w:end w:w="130" w:type="dxa"/>
            </w:tcMar>
            <w:vAlign w:val="center"/>
          </w:tcPr>
          <w:p>
            <w:pPr>
              <w:spacing w:after="0" w:line="252" w:lineRule="auto"/>
            </w:pPr>
            <w:r>
              <w:rPr>
                <w:sz w:val="17"/>
              </w:rPr>
              <w:t>PDF/Excel generati dallo snapshot selezionato e non dallo stato corrente quando si riapre una versione</w:t>
            </w:r>
          </w:p>
        </w:tc>
        <w:tc>
          <w:tcPr>
            <w:tcW w:type="dxa" w:w="2560"/>
            <w:shd w:fill="FAFBFC"/>
            <w:tcMar>
              <w:top w:w="95" w:type="dxa"/>
              <w:start w:w="130" w:type="dxa"/>
              <w:bottom w:w="95" w:type="dxa"/>
              <w:end w:w="130" w:type="dxa"/>
            </w:tcMar>
            <w:vAlign w:val="center"/>
          </w:tcPr>
          <w:p>
            <w:pPr>
              <w:spacing w:after="0" w:line="252" w:lineRule="auto"/>
            </w:pPr>
            <w:r>
              <w:rPr>
                <w:sz w:val="17"/>
              </w:rPr>
              <w:t>Adeguamento dei tre servizi export</w:t>
            </w:r>
          </w:p>
        </w:tc>
      </w:tr>
      <w:tr>
        <w:trPr>
          <w:cantSplit/>
        </w:trPr>
        <w:tc>
          <w:tcPr>
            <w:tcW w:type="dxa" w:w="1650"/>
            <w:tcMar>
              <w:top w:w="95" w:type="dxa"/>
              <w:start w:w="130" w:type="dxa"/>
              <w:bottom w:w="95" w:type="dxa"/>
              <w:end w:w="130" w:type="dxa"/>
            </w:tcMar>
            <w:vAlign w:val="center"/>
          </w:tcPr>
          <w:p>
            <w:pPr>
              <w:spacing w:after="0" w:line="252" w:lineRule="auto"/>
            </w:pPr>
            <w:r>
              <w:rPr>
                <w:sz w:val="17"/>
              </w:rPr>
              <w:t>Conservazione</w:t>
            </w:r>
          </w:p>
        </w:tc>
        <w:tc>
          <w:tcPr>
            <w:tcW w:type="dxa" w:w="5200"/>
            <w:tcMar>
              <w:top w:w="95" w:type="dxa"/>
              <w:start w:w="130" w:type="dxa"/>
              <w:bottom w:w="95" w:type="dxa"/>
              <w:end w:w="130" w:type="dxa"/>
            </w:tcMar>
            <w:vAlign w:val="center"/>
          </w:tcPr>
          <w:p>
            <w:pPr>
              <w:spacing w:after="0" w:line="252" w:lineRule="auto"/>
            </w:pPr>
            <w:r>
              <w:rPr>
                <w:sz w:val="17"/>
              </w:rPr>
              <w:t>Periodo, firma, approvazione e criteri di superamento definiti dalla policy qualità SIFO</w:t>
            </w:r>
          </w:p>
        </w:tc>
        <w:tc>
          <w:tcPr>
            <w:tcW w:type="dxa" w:w="2560"/>
            <w:tcMar>
              <w:top w:w="95" w:type="dxa"/>
              <w:start w:w="130" w:type="dxa"/>
              <w:bottom w:w="95" w:type="dxa"/>
              <w:end w:w="130" w:type="dxa"/>
            </w:tcMar>
            <w:vAlign w:val="center"/>
          </w:tcPr>
          <w:p>
            <w:pPr>
              <w:spacing w:after="0" w:line="252" w:lineRule="auto"/>
            </w:pPr>
            <w:r>
              <w:rPr>
                <w:sz w:val="17"/>
              </w:rPr>
              <w:t>Decisione organizzativa preliminare</w:t>
            </w:r>
          </w:p>
        </w:tc>
      </w:tr>
    </w:tbl>
    <w:p>
      <w:pPr>
        <w:spacing w:after="0"/>
      </w:pPr>
    </w:p>
    <w:tbl>
      <w:tblPr>
        <w:tblW w:type="dxa" w:w="9410"/>
        <w:jc w:val="left"/>
        <w:tblLayout w:type="fixed"/>
        <w:tblLook w:firstColumn="1" w:firstRow="1" w:lastColumn="0" w:lastRow="0" w:noHBand="0" w:noVBand="1" w:val="04A0"/>
        <w:tblInd w:w="0" w:type="dxa"/>
        <w:tblBorders>
          <w:top w:val="single" w:sz="7" w:space="0" w:color="1F4E78"/>
          <w:left w:val="single" w:sz="7" w:space="0" w:color="1F4E78"/>
          <w:bottom w:val="single" w:sz="7" w:space="0" w:color="1F4E78"/>
          <w:right w:val="single" w:sz="7" w:space="0" w:color="1F4E78"/>
          <w:insideH w:val="single" w:sz="7" w:space="0" w:color="1F4E78"/>
          <w:insideV w:val="single" w:sz="7" w:space="0" w:color="1F4E78"/>
        </w:tblBorders>
      </w:tblPr>
      <w:tblGrid>
        <w:gridCol w:w="9410"/>
      </w:tblGrid>
      <w:tr>
        <w:tc>
          <w:tcPr>
            <w:tcW w:type="dxa" w:w="9410"/>
            <w:tcMar>
              <w:top w:w="95" w:type="dxa"/>
              <w:start w:w="130" w:type="dxa"/>
              <w:bottom w:w="95" w:type="dxa"/>
              <w:end w:w="130" w:type="dxa"/>
            </w:tcMar>
            <w:vAlign w:val="center"/>
            <w:shd w:fill="DDEBF7"/>
          </w:tcPr>
          <w:p>
            <w:pPr>
              <w:spacing w:after="60"/>
            </w:pPr>
            <w:r>
              <w:rPr>
                <w:b/>
                <w:color w:val="1F4E78"/>
                <w:sz w:val="19"/>
              </w:rPr>
              <w:t>DECISIONE NECESSARIA</w:t>
            </w:r>
          </w:p>
          <w:p>
            <w:pPr>
              <w:spacing w:after="0" w:line="259" w:lineRule="auto"/>
            </w:pPr>
            <w:r>
              <w:t>Prima dello sviluppo audit-grade, SIFO deve stabilire se il report è un output informativo o un documento controllato ufficiale. La seconda opzione richiede regole di approvazione, firma, conservazione, revisione e responsabilità documentale.</w:t>
            </w:r>
          </w:p>
        </w:tc>
      </w:tr>
    </w:tbl>
    <w:p>
      <w:pPr>
        <w:spacing w:after="0"/>
      </w:pPr>
    </w:p>
    <w:p>
      <w:pPr>
        <w:pStyle w:val="Heading1"/>
        <w:keepNext w:val="1"/>
      </w:pPr>
      <w:r>
        <w:t>12. Sostenibilità dei piani gratuiti</w:t>
      </w:r>
    </w:p>
    <w:p>
      <w:r>
        <w:t>Supabase Free e Vercel Hobby consentono la validazione tecnica a costo infrastrutturale nullo. Non devono però essere descritti come soluzione istituzionale definitiva, perché presentano limiti di backup, log, supporto, governance contrattuale e continuità. Il costo zero riguarda la fase tecnica, non le attività umane di manutenzione, aggiornamento, assistenza, formazione, validazione dei contenuti e presidio privacy.</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50"/>
        <w:gridCol w:w="2450"/>
        <w:gridCol w:w="2450"/>
        <w:gridCol w:w="2460"/>
      </w:tblGrid>
      <w:tr>
        <w:trPr>
          <w:tblHeader w:val="true"/>
          <w:cantSplit/>
        </w:trPr>
        <w:tc>
          <w:tcPr>
            <w:tcW w:type="dxa" w:w="2050"/>
            <w:tcMar>
              <w:top w:w="95" w:type="dxa"/>
              <w:start w:w="130" w:type="dxa"/>
              <w:bottom w:w="95" w:type="dxa"/>
              <w:end w:w="130" w:type="dxa"/>
            </w:tcMar>
            <w:vAlign w:val="center"/>
            <w:shd w:fill="17365D"/>
          </w:tcPr>
          <w:p>
            <w:pPr>
              <w:spacing w:after="0"/>
            </w:pPr>
            <w:r>
              <w:rPr>
                <w:b/>
                <w:color w:val="FFFFFF"/>
                <w:sz w:val="17"/>
              </w:rPr>
              <w:t>Scenario</w:t>
            </w:r>
          </w:p>
        </w:tc>
        <w:tc>
          <w:tcPr>
            <w:tcW w:type="dxa" w:w="2450"/>
            <w:tcMar>
              <w:top w:w="95" w:type="dxa"/>
              <w:start w:w="130" w:type="dxa"/>
              <w:bottom w:w="95" w:type="dxa"/>
              <w:end w:w="130" w:type="dxa"/>
            </w:tcMar>
            <w:vAlign w:val="center"/>
            <w:shd w:fill="17365D"/>
          </w:tcPr>
          <w:p>
            <w:pPr>
              <w:spacing w:after="0"/>
            </w:pPr>
            <w:r>
              <w:rPr>
                <w:b/>
                <w:color w:val="FFFFFF"/>
                <w:sz w:val="17"/>
              </w:rPr>
              <w:t>Supabase</w:t>
            </w:r>
          </w:p>
        </w:tc>
        <w:tc>
          <w:tcPr>
            <w:tcW w:type="dxa" w:w="2450"/>
            <w:tcMar>
              <w:top w:w="95" w:type="dxa"/>
              <w:start w:w="130" w:type="dxa"/>
              <w:bottom w:w="95" w:type="dxa"/>
              <w:end w:w="130" w:type="dxa"/>
            </w:tcMar>
            <w:vAlign w:val="center"/>
            <w:shd w:fill="17365D"/>
          </w:tcPr>
          <w:p>
            <w:pPr>
              <w:spacing w:after="0"/>
            </w:pPr>
            <w:r>
              <w:rPr>
                <w:b/>
                <w:color w:val="FFFFFF"/>
                <w:sz w:val="17"/>
              </w:rPr>
              <w:t>Vercel</w:t>
            </w:r>
          </w:p>
        </w:tc>
        <w:tc>
          <w:tcPr>
            <w:tcW w:type="dxa" w:w="2460"/>
            <w:tcMar>
              <w:top w:w="95" w:type="dxa"/>
              <w:start w:w="130" w:type="dxa"/>
              <w:bottom w:w="95" w:type="dxa"/>
              <w:end w:w="130" w:type="dxa"/>
            </w:tcMar>
            <w:vAlign w:val="center"/>
            <w:shd w:fill="17365D"/>
          </w:tcPr>
          <w:p>
            <w:pPr>
              <w:spacing w:after="0"/>
            </w:pPr>
            <w:r>
              <w:rPr>
                <w:b/>
                <w:color w:val="FFFFFF"/>
                <w:sz w:val="17"/>
              </w:rPr>
              <w:t>Valutazione</w:t>
            </w:r>
          </w:p>
        </w:tc>
      </w:tr>
      <w:tr>
        <w:trPr>
          <w:cantSplit/>
        </w:trPr>
        <w:tc>
          <w:tcPr>
            <w:tcW w:type="dxa" w:w="2050"/>
            <w:tcMar>
              <w:top w:w="95" w:type="dxa"/>
              <w:start w:w="130" w:type="dxa"/>
              <w:bottom w:w="95" w:type="dxa"/>
              <w:end w:w="130" w:type="dxa"/>
            </w:tcMar>
            <w:vAlign w:val="center"/>
          </w:tcPr>
          <w:p>
            <w:pPr>
              <w:spacing w:after="0" w:line="252" w:lineRule="auto"/>
            </w:pPr>
            <w:r>
              <w:rPr>
                <w:sz w:val="17"/>
              </w:rPr>
              <w:t>Validazione tecnica</w:t>
            </w:r>
          </w:p>
        </w:tc>
        <w:tc>
          <w:tcPr>
            <w:tcW w:type="dxa" w:w="2450"/>
            <w:tcMar>
              <w:top w:w="95" w:type="dxa"/>
              <w:start w:w="130" w:type="dxa"/>
              <w:bottom w:w="95" w:type="dxa"/>
              <w:end w:w="130" w:type="dxa"/>
            </w:tcMar>
            <w:vAlign w:val="center"/>
          </w:tcPr>
          <w:p>
            <w:pPr>
              <w:spacing w:after="0" w:line="252" w:lineRule="auto"/>
            </w:pPr>
            <w:r>
              <w:rPr>
                <w:sz w:val="17"/>
              </w:rPr>
              <w:t>Free</w:t>
            </w:r>
          </w:p>
        </w:tc>
        <w:tc>
          <w:tcPr>
            <w:tcW w:type="dxa" w:w="2450"/>
            <w:tcMar>
              <w:top w:w="95" w:type="dxa"/>
              <w:start w:w="130" w:type="dxa"/>
              <w:bottom w:w="95" w:type="dxa"/>
              <w:end w:w="130" w:type="dxa"/>
            </w:tcMar>
            <w:vAlign w:val="center"/>
          </w:tcPr>
          <w:p>
            <w:pPr>
              <w:spacing w:after="0" w:line="252" w:lineRule="auto"/>
            </w:pPr>
            <w:r>
              <w:rPr>
                <w:sz w:val="17"/>
              </w:rPr>
              <w:t>Hobby/Free</w:t>
            </w:r>
          </w:p>
        </w:tc>
        <w:tc>
          <w:tcPr>
            <w:tcW w:type="dxa" w:w="2460"/>
            <w:tcMar>
              <w:top w:w="95" w:type="dxa"/>
              <w:start w:w="130" w:type="dxa"/>
              <w:bottom w:w="95" w:type="dxa"/>
              <w:end w:w="130" w:type="dxa"/>
            </w:tcMar>
            <w:vAlign w:val="center"/>
          </w:tcPr>
          <w:p>
            <w:pPr>
              <w:spacing w:after="0" w:line="252" w:lineRule="auto"/>
            </w:pPr>
            <w:r>
              <w:rPr>
                <w:sz w:val="17"/>
              </w:rPr>
              <w:t>Adeguato con dati sintetici e pochi tester</w:t>
            </w:r>
          </w:p>
        </w:tc>
      </w:tr>
      <w:tr>
        <w:trPr>
          <w:cantSplit/>
        </w:trPr>
        <w:tc>
          <w:tcPr>
            <w:tcW w:type="dxa" w:w="2050"/>
            <w:shd w:fill="FAFBFC"/>
            <w:tcMar>
              <w:top w:w="95" w:type="dxa"/>
              <w:start w:w="130" w:type="dxa"/>
              <w:bottom w:w="95" w:type="dxa"/>
              <w:end w:w="130" w:type="dxa"/>
            </w:tcMar>
            <w:vAlign w:val="center"/>
          </w:tcPr>
          <w:p>
            <w:pPr>
              <w:spacing w:after="0" w:line="252" w:lineRule="auto"/>
            </w:pPr>
            <w:r>
              <w:rPr>
                <w:sz w:val="17"/>
              </w:rPr>
              <w:t>Transizione controllata</w:t>
            </w:r>
          </w:p>
        </w:tc>
        <w:tc>
          <w:tcPr>
            <w:tcW w:type="dxa" w:w="2450"/>
            <w:shd w:fill="FAFBFC"/>
            <w:tcMar>
              <w:top w:w="95" w:type="dxa"/>
              <w:start w:w="130" w:type="dxa"/>
              <w:bottom w:w="95" w:type="dxa"/>
              <w:end w:w="130" w:type="dxa"/>
            </w:tcMar>
            <w:vAlign w:val="center"/>
          </w:tcPr>
          <w:p>
            <w:pPr>
              <w:spacing w:after="0" w:line="252" w:lineRule="auto"/>
            </w:pPr>
            <w:r>
              <w:rPr>
                <w:sz w:val="17"/>
              </w:rPr>
              <w:t>Free o Pro secondo volumi; DPA necessario</w:t>
            </w:r>
          </w:p>
        </w:tc>
        <w:tc>
          <w:tcPr>
            <w:tcW w:type="dxa" w:w="2450"/>
            <w:shd w:fill="FAFBFC"/>
            <w:tcMar>
              <w:top w:w="95" w:type="dxa"/>
              <w:start w:w="130" w:type="dxa"/>
              <w:bottom w:w="95" w:type="dxa"/>
              <w:end w:w="130" w:type="dxa"/>
            </w:tcMar>
            <w:vAlign w:val="center"/>
          </w:tcPr>
          <w:p>
            <w:pPr>
              <w:spacing w:after="0" w:line="252" w:lineRule="auto"/>
            </w:pPr>
            <w:r>
              <w:rPr>
                <w:sz w:val="17"/>
              </w:rPr>
              <w:t>Decisione contrattuale necessaria</w:t>
            </w:r>
          </w:p>
        </w:tc>
        <w:tc>
          <w:tcPr>
            <w:tcW w:type="dxa" w:w="2460"/>
            <w:shd w:fill="FAFBFC"/>
            <w:tcMar>
              <w:top w:w="95" w:type="dxa"/>
              <w:start w:w="130" w:type="dxa"/>
              <w:bottom w:w="95" w:type="dxa"/>
              <w:end w:w="130" w:type="dxa"/>
            </w:tcMar>
            <w:vAlign w:val="center"/>
          </w:tcPr>
          <w:p>
            <w:pPr>
              <w:spacing w:after="0" w:line="252" w:lineRule="auto"/>
            </w:pPr>
            <w:r>
              <w:rPr>
                <w:sz w:val="17"/>
              </w:rPr>
              <w:t>Ammissibile solo se formalizzata e limitata</w:t>
            </w:r>
          </w:p>
        </w:tc>
      </w:tr>
      <w:tr>
        <w:trPr>
          <w:cantSplit/>
        </w:trPr>
        <w:tc>
          <w:tcPr>
            <w:tcW w:type="dxa" w:w="2050"/>
            <w:tcMar>
              <w:top w:w="95" w:type="dxa"/>
              <w:start w:w="130" w:type="dxa"/>
              <w:bottom w:w="95" w:type="dxa"/>
              <w:end w:w="130" w:type="dxa"/>
            </w:tcMar>
            <w:vAlign w:val="center"/>
          </w:tcPr>
          <w:p>
            <w:pPr>
              <w:spacing w:after="0" w:line="252" w:lineRule="auto"/>
            </w:pPr>
            <w:r>
              <w:rPr>
                <w:sz w:val="17"/>
              </w:rPr>
              <w:t>Pilota istituzionale</w:t>
            </w:r>
          </w:p>
        </w:tc>
        <w:tc>
          <w:tcPr>
            <w:tcW w:type="dxa" w:w="2450"/>
            <w:tcMar>
              <w:top w:w="95" w:type="dxa"/>
              <w:start w:w="130" w:type="dxa"/>
              <w:bottom w:w="95" w:type="dxa"/>
              <w:end w:w="130" w:type="dxa"/>
            </w:tcMar>
            <w:vAlign w:val="center"/>
          </w:tcPr>
          <w:p>
            <w:pPr>
              <w:spacing w:after="0" w:line="252" w:lineRule="auto"/>
            </w:pPr>
            <w:r>
              <w:rPr>
                <w:sz w:val="17"/>
              </w:rPr>
              <w:t>Pro raccomandato per backup, log e supporto</w:t>
            </w:r>
          </w:p>
        </w:tc>
        <w:tc>
          <w:tcPr>
            <w:tcW w:type="dxa" w:w="2450"/>
            <w:tcMar>
              <w:top w:w="95" w:type="dxa"/>
              <w:start w:w="130" w:type="dxa"/>
              <w:bottom w:w="95" w:type="dxa"/>
              <w:end w:w="130" w:type="dxa"/>
            </w:tcMar>
            <w:vAlign w:val="center"/>
          </w:tcPr>
          <w:p>
            <w:pPr>
              <w:spacing w:after="0" w:line="252" w:lineRule="auto"/>
            </w:pPr>
            <w:r>
              <w:rPr>
                <w:sz w:val="17"/>
              </w:rPr>
              <w:t>Pro o hosting SIFO raccomandato</w:t>
            </w:r>
          </w:p>
        </w:tc>
        <w:tc>
          <w:tcPr>
            <w:tcW w:type="dxa" w:w="2460"/>
            <w:tcMar>
              <w:top w:w="95" w:type="dxa"/>
              <w:start w:w="130" w:type="dxa"/>
              <w:bottom w:w="95" w:type="dxa"/>
              <w:end w:w="130" w:type="dxa"/>
            </w:tcMar>
            <w:vAlign w:val="center"/>
          </w:tcPr>
          <w:p>
            <w:pPr>
              <w:spacing w:after="0" w:line="252" w:lineRule="auto"/>
            </w:pPr>
            <w:r>
              <w:rPr>
                <w:sz w:val="17"/>
              </w:rPr>
              <w:t>Assetto minimo prudenziale</w:t>
            </w:r>
          </w:p>
        </w:tc>
      </w:tr>
      <w:tr>
        <w:trPr>
          <w:cantSplit/>
        </w:trPr>
        <w:tc>
          <w:tcPr>
            <w:tcW w:type="dxa" w:w="2050"/>
            <w:shd w:fill="FAFBFC"/>
            <w:tcMar>
              <w:top w:w="95" w:type="dxa"/>
              <w:start w:w="130" w:type="dxa"/>
              <w:bottom w:w="95" w:type="dxa"/>
              <w:end w:w="130" w:type="dxa"/>
            </w:tcMar>
            <w:vAlign w:val="center"/>
          </w:tcPr>
          <w:p>
            <w:pPr>
              <w:spacing w:after="0" w:line="252" w:lineRule="auto"/>
            </w:pPr>
            <w:r>
              <w:rPr>
                <w:sz w:val="17"/>
              </w:rPr>
              <w:t>Diffusione societaria</w:t>
            </w:r>
          </w:p>
        </w:tc>
        <w:tc>
          <w:tcPr>
            <w:tcW w:type="dxa" w:w="2450"/>
            <w:shd w:fill="FAFBFC"/>
            <w:tcMar>
              <w:top w:w="95" w:type="dxa"/>
              <w:start w:w="130" w:type="dxa"/>
              <w:bottom w:w="95" w:type="dxa"/>
              <w:end w:w="130" w:type="dxa"/>
            </w:tcMar>
            <w:vAlign w:val="center"/>
          </w:tcPr>
          <w:p>
            <w:pPr>
              <w:spacing w:after="0" w:line="252" w:lineRule="auto"/>
            </w:pPr>
            <w:r>
              <w:rPr>
                <w:sz w:val="17"/>
              </w:rPr>
              <w:t>Da dimensionare su utenti, database e requisiti di servizio</w:t>
            </w:r>
          </w:p>
        </w:tc>
        <w:tc>
          <w:tcPr>
            <w:tcW w:type="dxa" w:w="2450"/>
            <w:shd w:fill="FAFBFC"/>
            <w:tcMar>
              <w:top w:w="95" w:type="dxa"/>
              <w:start w:w="130" w:type="dxa"/>
              <w:bottom w:w="95" w:type="dxa"/>
              <w:end w:w="130" w:type="dxa"/>
            </w:tcMar>
            <w:vAlign w:val="center"/>
          </w:tcPr>
          <w:p>
            <w:pPr>
              <w:spacing w:after="0" w:line="252" w:lineRule="auto"/>
            </w:pPr>
            <w:r>
              <w:rPr>
                <w:sz w:val="17"/>
              </w:rPr>
              <w:t>Da dimensionare su traffico, team e dominio</w:t>
            </w:r>
          </w:p>
        </w:tc>
        <w:tc>
          <w:tcPr>
            <w:tcW w:type="dxa" w:w="2460"/>
            <w:shd w:fill="FAFBFC"/>
            <w:tcMar>
              <w:top w:w="95" w:type="dxa"/>
              <w:start w:w="130" w:type="dxa"/>
              <w:bottom w:w="95" w:type="dxa"/>
              <w:end w:w="130" w:type="dxa"/>
            </w:tcMar>
            <w:vAlign w:val="center"/>
          </w:tcPr>
          <w:p>
            <w:pPr>
              <w:spacing w:after="0" w:line="252" w:lineRule="auto"/>
            </w:pPr>
            <w:r>
              <w:rPr>
                <w:sz w:val="17"/>
              </w:rPr>
              <w:t>Revisione periodica e budget approvato</w:t>
            </w:r>
          </w:p>
        </w:tc>
      </w:tr>
    </w:tbl>
    <w:p>
      <w:pPr>
        <w:spacing w:after="0"/>
      </w:pPr>
    </w:p>
    <w:p>
      <w:pPr>
        <w:pStyle w:val="Heading1"/>
        <w:keepNext w:val="1"/>
      </w:pPr>
      <w:r>
        <w:t>13. Condizioni preliminari all'apertura del pilota</w:t>
      </w:r>
    </w:p>
    <w:p>
      <w:pPr>
        <w:pStyle w:val="ListNumber"/>
        <w:numPr>
          <w:ilvl w:val="0"/>
          <w:numId w:val="12"/>
        </w:numPr>
      </w:pPr>
      <w:r>
        <w:t>Approvazione del presente addendum o di una versione concordata.</w:t>
      </w:r>
    </w:p>
    <w:p>
      <w:pPr>
        <w:pStyle w:val="ListNumber"/>
        <w:numPr>
          <w:ilvl w:val="0"/>
          <w:numId w:val="12"/>
        </w:numPr>
      </w:pPr>
      <w:r>
        <w:t>Individuazione di sponsor, owner scientifico, owner tecnico, titolare del trattamento e referenti privacy/ICT.</w:t>
      </w:r>
    </w:p>
    <w:p>
      <w:pPr>
        <w:pStyle w:val="ListNumber"/>
        <w:numPr>
          <w:ilvl w:val="0"/>
          <w:numId w:val="12"/>
        </w:numPr>
      </w:pPr>
      <w:r>
        <w:t>Sottoscrizione del DPA Supabase da parte del soggetto corretto.</w:t>
      </w:r>
    </w:p>
    <w:p>
      <w:pPr>
        <w:pStyle w:val="ListNumber"/>
        <w:numPr>
          <w:ilvl w:val="0"/>
          <w:numId w:val="12"/>
        </w:numPr>
      </w:pPr>
      <w:r>
        <w:t>Decisione sull'uso di Vercel Pro, sul trasferimento a team SIFO o su hosting alternativo.</w:t>
      </w:r>
    </w:p>
    <w:p>
      <w:pPr>
        <w:pStyle w:val="ListNumber"/>
        <w:numPr>
          <w:ilvl w:val="0"/>
          <w:numId w:val="12"/>
        </w:numPr>
      </w:pPr>
      <w:r>
        <w:t>Adozione di informativa, termini, regole di compilazione, conservazione e procedura di cancellazione.</w:t>
      </w:r>
    </w:p>
    <w:p>
      <w:pPr>
        <w:pStyle w:val="ListNumber"/>
        <w:numPr>
          <w:ilvl w:val="0"/>
          <w:numId w:val="12"/>
        </w:numPr>
      </w:pPr>
      <w:r>
        <w:t>Completamento dei banner contestuali e del manuale utente versionato.</w:t>
      </w:r>
    </w:p>
    <w:p>
      <w:pPr>
        <w:pStyle w:val="ListNumber"/>
        <w:numPr>
          <w:ilvl w:val="0"/>
          <w:numId w:val="12"/>
        </w:numPr>
      </w:pPr>
      <w:r>
        <w:t>Definizione del valore documentale dei report e applicazione dell'adeguamento minimo.</w:t>
      </w:r>
    </w:p>
    <w:p>
      <w:pPr>
        <w:pStyle w:val="ListNumber"/>
        <w:numPr>
          <w:ilvl w:val="0"/>
          <w:numId w:val="12"/>
        </w:numPr>
      </w:pPr>
      <w:r>
        <w:t>Definizione del gruppo pilota, delle soglie KPI e dei criteri di sospensione o revisione.</w:t>
      </w:r>
    </w:p>
    <w:p>
      <w:pPr>
        <w:pStyle w:val="ListNumber"/>
        <w:numPr>
          <w:ilvl w:val="0"/>
          <w:numId w:val="12"/>
        </w:numPr>
      </w:pPr>
      <w:r>
        <w:t>Test tecnico, test RLS, test di cancellazione e verifica degli export prima dell'apertura.</w:t>
      </w:r>
    </w:p>
    <w:p>
      <w:pPr>
        <w:pStyle w:val="Heading1"/>
        <w:keepNext w:val="1"/>
      </w:pPr>
      <w:r>
        <w:t>14. Decisioni richieste a SIFO</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00"/>
        <w:gridCol w:w="4550"/>
        <w:gridCol w:w="2760"/>
      </w:tblGrid>
      <w:tr>
        <w:trPr>
          <w:tblHeader w:val="true"/>
          <w:cantSplit/>
        </w:trPr>
        <w:tc>
          <w:tcPr>
            <w:tcW w:type="dxa" w:w="2100"/>
            <w:tcMar>
              <w:top w:w="95" w:type="dxa"/>
              <w:start w:w="130" w:type="dxa"/>
              <w:bottom w:w="95" w:type="dxa"/>
              <w:end w:w="130" w:type="dxa"/>
            </w:tcMar>
            <w:vAlign w:val="center"/>
            <w:shd w:fill="17365D"/>
          </w:tcPr>
          <w:p>
            <w:pPr>
              <w:spacing w:after="0"/>
            </w:pPr>
            <w:r>
              <w:rPr>
                <w:b/>
                <w:color w:val="FFFFFF"/>
                <w:sz w:val="17"/>
              </w:rPr>
              <w:t>Decisione</w:t>
            </w:r>
          </w:p>
        </w:tc>
        <w:tc>
          <w:tcPr>
            <w:tcW w:type="dxa" w:w="4550"/>
            <w:tcMar>
              <w:top w:w="95" w:type="dxa"/>
              <w:start w:w="130" w:type="dxa"/>
              <w:bottom w:w="95" w:type="dxa"/>
              <w:end w:w="130" w:type="dxa"/>
            </w:tcMar>
            <w:vAlign w:val="center"/>
            <w:shd w:fill="17365D"/>
          </w:tcPr>
          <w:p>
            <w:pPr>
              <w:spacing w:after="0"/>
            </w:pPr>
            <w:r>
              <w:rPr>
                <w:b/>
                <w:color w:val="FFFFFF"/>
                <w:sz w:val="17"/>
              </w:rPr>
              <w:t>Opzioni da valutare</w:t>
            </w:r>
          </w:p>
        </w:tc>
        <w:tc>
          <w:tcPr>
            <w:tcW w:type="dxa" w:w="2760"/>
            <w:tcMar>
              <w:top w:w="95" w:type="dxa"/>
              <w:start w:w="130" w:type="dxa"/>
              <w:bottom w:w="95" w:type="dxa"/>
              <w:end w:w="130" w:type="dxa"/>
            </w:tcMar>
            <w:vAlign w:val="center"/>
            <w:shd w:fill="17365D"/>
          </w:tcPr>
          <w:p>
            <w:pPr>
              <w:spacing w:after="0"/>
            </w:pPr>
            <w:r>
              <w:rPr>
                <w:b/>
                <w:color w:val="FFFFFF"/>
                <w:sz w:val="17"/>
              </w:rPr>
              <w:t>Referenti suggeriti</w:t>
            </w:r>
          </w:p>
        </w:tc>
      </w:tr>
      <w:tr>
        <w:trPr>
          <w:cantSplit/>
        </w:trPr>
        <w:tc>
          <w:tcPr>
            <w:tcW w:type="dxa" w:w="2100"/>
            <w:tcMar>
              <w:top w:w="95" w:type="dxa"/>
              <w:start w:w="130" w:type="dxa"/>
              <w:bottom w:w="95" w:type="dxa"/>
              <w:end w:w="130" w:type="dxa"/>
            </w:tcMar>
            <w:vAlign w:val="center"/>
          </w:tcPr>
          <w:p>
            <w:pPr>
              <w:spacing w:after="0" w:line="252" w:lineRule="auto"/>
            </w:pPr>
            <w:r>
              <w:rPr>
                <w:sz w:val="17"/>
              </w:rPr>
              <w:t>Governance</w:t>
            </w:r>
          </w:p>
        </w:tc>
        <w:tc>
          <w:tcPr>
            <w:tcW w:type="dxa" w:w="4550"/>
            <w:tcMar>
              <w:top w:w="95" w:type="dxa"/>
              <w:start w:w="130" w:type="dxa"/>
              <w:bottom w:w="95" w:type="dxa"/>
              <w:end w:w="130" w:type="dxa"/>
            </w:tcMar>
            <w:vAlign w:val="center"/>
          </w:tcPr>
          <w:p>
            <w:pPr>
              <w:spacing w:after="0" w:line="252" w:lineRule="auto"/>
            </w:pPr>
            <w:r>
              <w:rPr>
                <w:sz w:val="17"/>
              </w:rPr>
              <w:t>SIFO titolare e owner degli account; contitolarità; diverso assetto motivato</w:t>
            </w:r>
          </w:p>
        </w:tc>
        <w:tc>
          <w:tcPr>
            <w:tcW w:type="dxa" w:w="2760"/>
            <w:tcMar>
              <w:top w:w="95" w:type="dxa"/>
              <w:start w:w="130" w:type="dxa"/>
              <w:bottom w:w="95" w:type="dxa"/>
              <w:end w:w="130" w:type="dxa"/>
            </w:tcMar>
            <w:vAlign w:val="center"/>
          </w:tcPr>
          <w:p>
            <w:pPr>
              <w:spacing w:after="0" w:line="252" w:lineRule="auto"/>
            </w:pPr>
            <w:r>
              <w:rPr>
                <w:sz w:val="17"/>
              </w:rPr>
              <w:t>Direzione, legale, DPO/privacy</w:t>
            </w:r>
          </w:p>
        </w:tc>
      </w:tr>
      <w:tr>
        <w:trPr>
          <w:cantSplit/>
        </w:trPr>
        <w:tc>
          <w:tcPr>
            <w:tcW w:type="dxa" w:w="2100"/>
            <w:shd w:fill="FAFBFC"/>
            <w:tcMar>
              <w:top w:w="95" w:type="dxa"/>
              <w:start w:w="130" w:type="dxa"/>
              <w:bottom w:w="95" w:type="dxa"/>
              <w:end w:w="130" w:type="dxa"/>
            </w:tcMar>
            <w:vAlign w:val="center"/>
          </w:tcPr>
          <w:p>
            <w:pPr>
              <w:spacing w:after="0" w:line="252" w:lineRule="auto"/>
            </w:pPr>
            <w:r>
              <w:rPr>
                <w:sz w:val="17"/>
              </w:rPr>
              <w:t>Infrastruttura</w:t>
            </w:r>
          </w:p>
        </w:tc>
        <w:tc>
          <w:tcPr>
            <w:tcW w:type="dxa" w:w="4550"/>
            <w:shd w:fill="FAFBFC"/>
            <w:tcMar>
              <w:top w:w="95" w:type="dxa"/>
              <w:start w:w="130" w:type="dxa"/>
              <w:bottom w:w="95" w:type="dxa"/>
              <w:end w:w="130" w:type="dxa"/>
            </w:tcMar>
            <w:vAlign w:val="center"/>
          </w:tcPr>
          <w:p>
            <w:pPr>
              <w:spacing w:after="0" w:line="252" w:lineRule="auto"/>
            </w:pPr>
            <w:r>
              <w:rPr>
                <w:sz w:val="17"/>
              </w:rPr>
              <w:t>Trasferimento progetto; replica su nuovi account; hosting alternativo</w:t>
            </w:r>
          </w:p>
        </w:tc>
        <w:tc>
          <w:tcPr>
            <w:tcW w:type="dxa" w:w="2760"/>
            <w:shd w:fill="FAFBFC"/>
            <w:tcMar>
              <w:top w:w="95" w:type="dxa"/>
              <w:start w:w="130" w:type="dxa"/>
              <w:bottom w:w="95" w:type="dxa"/>
              <w:end w:w="130" w:type="dxa"/>
            </w:tcMar>
            <w:vAlign w:val="center"/>
          </w:tcPr>
          <w:p>
            <w:pPr>
              <w:spacing w:after="0" w:line="252" w:lineRule="auto"/>
            </w:pPr>
            <w:r>
              <w:rPr>
                <w:sz w:val="17"/>
              </w:rPr>
              <w:t>ICT, owner tecnico, privacy</w:t>
            </w:r>
          </w:p>
        </w:tc>
      </w:tr>
      <w:tr>
        <w:trPr>
          <w:cantSplit/>
        </w:trPr>
        <w:tc>
          <w:tcPr>
            <w:tcW w:type="dxa" w:w="2100"/>
            <w:tcMar>
              <w:top w:w="95" w:type="dxa"/>
              <w:start w:w="130" w:type="dxa"/>
              <w:bottom w:w="95" w:type="dxa"/>
              <w:end w:w="130" w:type="dxa"/>
            </w:tcMar>
            <w:vAlign w:val="center"/>
          </w:tcPr>
          <w:p>
            <w:pPr>
              <w:spacing w:after="0" w:line="252" w:lineRule="auto"/>
            </w:pPr>
            <w:r>
              <w:rPr>
                <w:sz w:val="17"/>
              </w:rPr>
              <w:t>Piani cloud</w:t>
            </w:r>
          </w:p>
        </w:tc>
        <w:tc>
          <w:tcPr>
            <w:tcW w:type="dxa" w:w="4550"/>
            <w:tcMar>
              <w:top w:w="95" w:type="dxa"/>
              <w:start w:w="130" w:type="dxa"/>
              <w:bottom w:w="95" w:type="dxa"/>
              <w:end w:w="130" w:type="dxa"/>
            </w:tcMar>
            <w:vAlign w:val="center"/>
          </w:tcPr>
          <w:p>
            <w:pPr>
              <w:spacing w:after="0" w:line="252" w:lineRule="auto"/>
            </w:pPr>
            <w:r>
              <w:rPr>
                <w:sz w:val="17"/>
              </w:rPr>
              <w:t>Free solo pre-pilota; Pro per pilota; ulteriore upgrade su necessità</w:t>
            </w:r>
          </w:p>
        </w:tc>
        <w:tc>
          <w:tcPr>
            <w:tcW w:type="dxa" w:w="2760"/>
            <w:tcMar>
              <w:top w:w="95" w:type="dxa"/>
              <w:start w:w="130" w:type="dxa"/>
              <w:bottom w:w="95" w:type="dxa"/>
              <w:end w:w="130" w:type="dxa"/>
            </w:tcMar>
            <w:vAlign w:val="center"/>
          </w:tcPr>
          <w:p>
            <w:pPr>
              <w:spacing w:after="0" w:line="252" w:lineRule="auto"/>
            </w:pPr>
            <w:r>
              <w:rPr>
                <w:sz w:val="17"/>
              </w:rPr>
              <w:t>Governance, ICT, amministrazione</w:t>
            </w:r>
          </w:p>
        </w:tc>
      </w:tr>
      <w:tr>
        <w:trPr>
          <w:cantSplit/>
        </w:trPr>
        <w:tc>
          <w:tcPr>
            <w:tcW w:type="dxa" w:w="2100"/>
            <w:shd w:fill="FAFBFC"/>
            <w:tcMar>
              <w:top w:w="95" w:type="dxa"/>
              <w:start w:w="130" w:type="dxa"/>
              <w:bottom w:w="95" w:type="dxa"/>
              <w:end w:w="130" w:type="dxa"/>
            </w:tcMar>
            <w:vAlign w:val="center"/>
          </w:tcPr>
          <w:p>
            <w:pPr>
              <w:spacing w:after="0" w:line="252" w:lineRule="auto"/>
            </w:pPr>
            <w:r>
              <w:rPr>
                <w:sz w:val="17"/>
              </w:rPr>
              <w:t>Report</w:t>
            </w:r>
          </w:p>
        </w:tc>
        <w:tc>
          <w:tcPr>
            <w:tcW w:type="dxa" w:w="4550"/>
            <w:shd w:fill="FAFBFC"/>
            <w:tcMar>
              <w:top w:w="95" w:type="dxa"/>
              <w:start w:w="130" w:type="dxa"/>
              <w:bottom w:w="95" w:type="dxa"/>
              <w:end w:w="130" w:type="dxa"/>
            </w:tcMar>
            <w:vAlign w:val="center"/>
          </w:tcPr>
          <w:p>
            <w:pPr>
              <w:spacing w:after="0" w:line="252" w:lineRule="auto"/>
            </w:pPr>
            <w:r>
              <w:rPr>
                <w:sz w:val="17"/>
              </w:rPr>
              <w:t>Informativi oppure documenti controllati di audit</w:t>
            </w:r>
          </w:p>
        </w:tc>
        <w:tc>
          <w:tcPr>
            <w:tcW w:type="dxa" w:w="2760"/>
            <w:shd w:fill="FAFBFC"/>
            <w:tcMar>
              <w:top w:w="95" w:type="dxa"/>
              <w:start w:w="130" w:type="dxa"/>
              <w:bottom w:w="95" w:type="dxa"/>
              <w:end w:w="130" w:type="dxa"/>
            </w:tcMar>
            <w:vAlign w:val="center"/>
          </w:tcPr>
          <w:p>
            <w:pPr>
              <w:spacing w:after="0" w:line="252" w:lineRule="auto"/>
            </w:pPr>
            <w:r>
              <w:rPr>
                <w:sz w:val="17"/>
              </w:rPr>
              <w:t>Owner scientifico, qualità, ICT</w:t>
            </w:r>
          </w:p>
        </w:tc>
      </w:tr>
      <w:tr>
        <w:trPr>
          <w:cantSplit/>
        </w:trPr>
        <w:tc>
          <w:tcPr>
            <w:tcW w:type="dxa" w:w="2100"/>
            <w:tcMar>
              <w:top w:w="95" w:type="dxa"/>
              <w:start w:w="130" w:type="dxa"/>
              <w:bottom w:w="95" w:type="dxa"/>
              <w:end w:w="130" w:type="dxa"/>
            </w:tcMar>
            <w:vAlign w:val="center"/>
          </w:tcPr>
          <w:p>
            <w:pPr>
              <w:spacing w:after="0" w:line="252" w:lineRule="auto"/>
            </w:pPr>
            <w:r>
              <w:rPr>
                <w:sz w:val="17"/>
              </w:rPr>
              <w:t>Conservazione</w:t>
            </w:r>
          </w:p>
        </w:tc>
        <w:tc>
          <w:tcPr>
            <w:tcW w:type="dxa" w:w="4550"/>
            <w:tcMar>
              <w:top w:w="95" w:type="dxa"/>
              <w:start w:w="130" w:type="dxa"/>
              <w:bottom w:w="95" w:type="dxa"/>
              <w:end w:w="130" w:type="dxa"/>
            </w:tcMar>
            <w:vAlign w:val="center"/>
          </w:tcPr>
          <w:p>
            <w:pPr>
              <w:spacing w:after="0" w:line="252" w:lineRule="auto"/>
            </w:pPr>
            <w:r>
              <w:rPr>
                <w:sz w:val="17"/>
              </w:rPr>
              <w:t>Approvazione o revisione dei periodi proposti</w:t>
            </w:r>
          </w:p>
        </w:tc>
        <w:tc>
          <w:tcPr>
            <w:tcW w:type="dxa" w:w="2760"/>
            <w:tcMar>
              <w:top w:w="95" w:type="dxa"/>
              <w:start w:w="130" w:type="dxa"/>
              <w:bottom w:w="95" w:type="dxa"/>
              <w:end w:w="130" w:type="dxa"/>
            </w:tcMar>
            <w:vAlign w:val="center"/>
          </w:tcPr>
          <w:p>
            <w:pPr>
              <w:spacing w:after="0" w:line="252" w:lineRule="auto"/>
            </w:pPr>
            <w:r>
              <w:rPr>
                <w:sz w:val="17"/>
              </w:rPr>
              <w:t>Titolare, DPO/privacy, qualità</w:t>
            </w:r>
          </w:p>
        </w:tc>
      </w:tr>
      <w:tr>
        <w:trPr>
          <w:cantSplit/>
        </w:trPr>
        <w:tc>
          <w:tcPr>
            <w:tcW w:type="dxa" w:w="2100"/>
            <w:shd w:fill="FAFBFC"/>
            <w:tcMar>
              <w:top w:w="95" w:type="dxa"/>
              <w:start w:w="130" w:type="dxa"/>
              <w:bottom w:w="95" w:type="dxa"/>
              <w:end w:w="130" w:type="dxa"/>
            </w:tcMar>
            <w:vAlign w:val="center"/>
          </w:tcPr>
          <w:p>
            <w:pPr>
              <w:spacing w:after="0" w:line="252" w:lineRule="auto"/>
            </w:pPr>
            <w:r>
              <w:rPr>
                <w:sz w:val="17"/>
              </w:rPr>
              <w:t>Supporto</w:t>
            </w:r>
          </w:p>
        </w:tc>
        <w:tc>
          <w:tcPr>
            <w:tcW w:type="dxa" w:w="4550"/>
            <w:shd w:fill="FAFBFC"/>
            <w:tcMar>
              <w:top w:w="95" w:type="dxa"/>
              <w:start w:w="130" w:type="dxa"/>
              <w:bottom w:w="95" w:type="dxa"/>
              <w:end w:w="130" w:type="dxa"/>
            </w:tcMar>
            <w:vAlign w:val="center"/>
          </w:tcPr>
          <w:p>
            <w:pPr>
              <w:spacing w:after="0" w:line="252" w:lineRule="auto"/>
            </w:pPr>
            <w:r>
              <w:rPr>
                <w:sz w:val="17"/>
              </w:rPr>
              <w:t>Responsabile, canale, tempi di risposta, aggiornamenti e formazione</w:t>
            </w:r>
          </w:p>
        </w:tc>
        <w:tc>
          <w:tcPr>
            <w:tcW w:type="dxa" w:w="2760"/>
            <w:shd w:fill="FAFBFC"/>
            <w:tcMar>
              <w:top w:w="95" w:type="dxa"/>
              <w:start w:w="130" w:type="dxa"/>
              <w:bottom w:w="95" w:type="dxa"/>
              <w:end w:w="130" w:type="dxa"/>
            </w:tcMar>
            <w:vAlign w:val="center"/>
          </w:tcPr>
          <w:p>
            <w:pPr>
              <w:spacing w:after="0" w:line="252" w:lineRule="auto"/>
            </w:pPr>
            <w:r>
              <w:rPr>
                <w:sz w:val="17"/>
              </w:rPr>
              <w:t>Governance, owner tecnico/scientifico</w:t>
            </w:r>
          </w:p>
        </w:tc>
      </w:tr>
      <w:tr>
        <w:trPr>
          <w:cantSplit/>
        </w:trPr>
        <w:tc>
          <w:tcPr>
            <w:tcW w:type="dxa" w:w="2100"/>
            <w:tcMar>
              <w:top w:w="95" w:type="dxa"/>
              <w:start w:w="130" w:type="dxa"/>
              <w:bottom w:w="95" w:type="dxa"/>
              <w:end w:w="130" w:type="dxa"/>
            </w:tcMar>
            <w:vAlign w:val="center"/>
          </w:tcPr>
          <w:p>
            <w:pPr>
              <w:spacing w:after="0" w:line="252" w:lineRule="auto"/>
            </w:pPr>
            <w:r>
              <w:rPr>
                <w:sz w:val="17"/>
              </w:rPr>
              <w:t>Durata</w:t>
            </w:r>
          </w:p>
        </w:tc>
        <w:tc>
          <w:tcPr>
            <w:tcW w:type="dxa" w:w="4550"/>
            <w:tcMar>
              <w:top w:w="95" w:type="dxa"/>
              <w:start w:w="130" w:type="dxa"/>
              <w:bottom w:w="95" w:type="dxa"/>
              <w:end w:w="130" w:type="dxa"/>
            </w:tcMar>
            <w:vAlign w:val="center"/>
          </w:tcPr>
          <w:p>
            <w:pPr>
              <w:spacing w:after="0" w:line="252" w:lineRule="auto"/>
            </w:pPr>
            <w:r>
              <w:rPr>
                <w:sz w:val="17"/>
              </w:rPr>
              <w:t>Pilota e consolidamento sino al 2028; eventuale proroga</w:t>
            </w:r>
          </w:p>
        </w:tc>
        <w:tc>
          <w:tcPr>
            <w:tcW w:type="dxa" w:w="2760"/>
            <w:tcMar>
              <w:top w:w="95" w:type="dxa"/>
              <w:start w:w="130" w:type="dxa"/>
              <w:bottom w:w="95" w:type="dxa"/>
              <w:end w:w="130" w:type="dxa"/>
            </w:tcMar>
            <w:vAlign w:val="center"/>
          </w:tcPr>
          <w:p>
            <w:pPr>
              <w:spacing w:after="0" w:line="252" w:lineRule="auto"/>
            </w:pPr>
            <w:r>
              <w:rPr>
                <w:sz w:val="17"/>
              </w:rPr>
              <w:t>Organi SIFO competenti</w:t>
            </w:r>
          </w:p>
        </w:tc>
      </w:tr>
    </w:tbl>
    <w:p>
      <w:pPr>
        <w:spacing w:after="0"/>
      </w:pPr>
    </w:p>
    <w:p>
      <w:pPr>
        <w:pStyle w:val="Heading1"/>
        <w:keepNext w:val="1"/>
      </w:pPr>
      <w:r>
        <w:t>15. Conclusione</w:t>
      </w:r>
    </w:p>
    <w:p>
      <w:r>
        <w:t>PhaRMA T dispone già di un insieme significativo di misure tecniche: autenticazione con verifica e-mail, password rafforzate, segregazione mediante Row Level Security, export dei dati, procedura di cancellazione e perimetro d'uso non clinico. La criticità principale non è l'assenza di controlli software, ma il passaggio da progetto individuale a servizio societario: occorre trasformare l'assetto tecnico esistente in un sistema governato, contrattualizzato e documentato.</w:t>
      </w:r>
    </w:p>
    <w:p>
      <w:r>
        <w:t>La raccomandazione è procedere con condizioni: validazione tecnica immediata con dati sintetici; confronto con SIFO su ruoli e fornitori; fase transitoria limitata solo dopo le condizioni minime; trasferimento su account istituzionali prima della diffusione societaria; qualificazione dei report in funzione del loro effettivo uso.</w:t>
      </w:r>
    </w:p>
    <w:tbl>
      <w:tblPr>
        <w:tblW w:type="dxa" w:w="9410"/>
        <w:jc w:val="left"/>
        <w:tblLayout w:type="fixed"/>
        <w:tblLook w:firstColumn="1" w:firstRow="1" w:lastColumn="0" w:lastRow="0" w:noHBand="0" w:noVBand="1" w:val="04A0"/>
        <w:tblInd w:w="0" w:type="dxa"/>
        <w:tblBorders>
          <w:top w:val="single" w:sz="7" w:space="0" w:color="A61B1B"/>
          <w:left w:val="single" w:sz="7" w:space="0" w:color="A61B1B"/>
          <w:bottom w:val="single" w:sz="7" w:space="0" w:color="A61B1B"/>
          <w:right w:val="single" w:sz="7" w:space="0" w:color="A61B1B"/>
          <w:insideH w:val="single" w:sz="7" w:space="0" w:color="A61B1B"/>
          <w:insideV w:val="single" w:sz="7" w:space="0" w:color="A61B1B"/>
        </w:tblBorders>
      </w:tblPr>
      <w:tblGrid>
        <w:gridCol w:w="9410"/>
      </w:tblGrid>
      <w:tr>
        <w:tc>
          <w:tcPr>
            <w:tcW w:type="dxa" w:w="9410"/>
            <w:tcMar>
              <w:top w:w="95" w:type="dxa"/>
              <w:start w:w="130" w:type="dxa"/>
              <w:bottom w:w="95" w:type="dxa"/>
              <w:end w:w="130" w:type="dxa"/>
            </w:tcMar>
            <w:vAlign w:val="center"/>
            <w:shd w:fill="FDECEC"/>
          </w:tcPr>
          <w:p>
            <w:pPr>
              <w:spacing w:after="60"/>
            </w:pPr>
            <w:r>
              <w:rPr>
                <w:b/>
                <w:color w:val="A61B1B"/>
                <w:sz w:val="19"/>
              </w:rPr>
              <w:t>NOTA DI VALIDAZIONE</w:t>
            </w:r>
          </w:p>
          <w:p>
            <w:pPr>
              <w:spacing w:after="0" w:line="259" w:lineRule="auto"/>
            </w:pPr>
            <w:r>
              <w:t>Il presente documento non costituisce parere legale o regolatorio. Le qualificazioni privacy, contrattuali e documentali devono essere validate dai referenti SIFO competenti, dal DPO o referente privacy, dall'ICT e, ove necessario, dall'ufficio legale e qualità.</w:t>
            </w:r>
          </w:p>
        </w:tc>
      </w:tr>
    </w:tbl>
    <w:p>
      <w:pPr>
        <w:spacing w:after="0"/>
      </w:pPr>
    </w:p>
    <w:p>
      <w:pPr>
        <w:pStyle w:val="Heading1"/>
        <w:keepNext w:val="1"/>
      </w:pPr>
      <w:r>
        <w:t>Appendice A. Evidenze applicative considerate</w:t>
      </w:r>
    </w:p>
    <w:p>
      <w:pPr>
        <w:pStyle w:val="ListBullet"/>
      </w:pPr>
      <w:r>
        <w:t>Client Supabase inizializzato nel frontend tramite URL e chiave anonima da variabili d'ambiente.</w:t>
      </w:r>
    </w:p>
    <w:p>
      <w:pPr>
        <w:pStyle w:val="ListBullet"/>
      </w:pPr>
      <w:r>
        <w:t>Autenticazione e sessione gestite da Supabase Auth.</w:t>
      </w:r>
    </w:p>
    <w:p>
      <w:pPr>
        <w:pStyle w:val="ListBullet"/>
      </w:pPr>
      <w:r>
        <w:t>Policy password locale di almeno 12 caratteri con quattro categorie di caratteri.</w:t>
      </w:r>
    </w:p>
    <w:p>
      <w:pPr>
        <w:pStyle w:val="ListBullet"/>
      </w:pPr>
      <w:r>
        <w:t>Migration di hardening RLS dedicata a FMEA, RCA e tabelle applicative; schema Gap con RLS esplicita.</w:t>
      </w:r>
    </w:p>
    <w:p>
      <w:pPr>
        <w:pStyle w:val="ListBullet"/>
      </w:pPr>
      <w:r>
        <w:t>Privacy Policy e Terms pubblici, avvisi su dati non identificativi e disclaimer di non uso clinico.</w:t>
      </w:r>
    </w:p>
    <w:p>
      <w:pPr>
        <w:pStyle w:val="ListBullet"/>
      </w:pPr>
      <w:r>
        <w:t>Export GDPR in JSON e procedura di richiesta di cancellazione dalla pagina Impostazioni.</w:t>
      </w:r>
    </w:p>
    <w:p>
      <w:pPr>
        <w:pStyle w:val="ListBullet"/>
      </w:pPr>
      <w:r>
        <w:t>Generazione client-side dei report FMEA/RCA/Gap e assenza di storico persistente delle emissioni.</w:t>
      </w:r>
    </w:p>
    <w:p>
      <w:pPr>
        <w:pStyle w:val="Heading1"/>
        <w:keepNext w:val="1"/>
      </w:pPr>
      <w:r>
        <w:t>Appendice B. Riferimenti normativi e tecnici</w:t>
      </w:r>
    </w:p>
    <w:p>
      <w:pPr>
        <w:spacing w:after="100"/>
        <w:ind w:left="170" w:hanging="170"/>
      </w:pPr>
      <w:r>
        <w:rPr>
          <w:b/>
        </w:rPr>
        <w:t xml:space="preserve">[1] Regolamento (UE) 2016/679. </w:t>
      </w:r>
      <w:hyperlink r:id="rId12">
        <w:r>
          <w:rPr>
            <w:color w:val="0563C1"/>
            <w:u w:val="single"/>
          </w:rPr>
          <w:t>https://eur-lex.europa.eu/eli/reg/2016/679/oj</w:t>
        </w:r>
      </w:hyperlink>
      <w:r>
        <w:t>. In particolare considerando 26 e articoli 5, 12, 13, 17, 25, 28, 30, 32 e 33.</w:t>
      </w:r>
    </w:p>
    <w:p>
      <w:pPr>
        <w:spacing w:after="100"/>
        <w:ind w:left="170" w:hanging="170"/>
      </w:pPr>
      <w:r>
        <w:rPr>
          <w:b/>
        </w:rPr>
        <w:t xml:space="preserve">[2] EDPB, Guidelines 01/2025 on Pseudonymisation. </w:t>
      </w:r>
      <w:hyperlink r:id="rId13">
        <w:r>
          <w:rPr>
            <w:color w:val="0563C1"/>
            <w:u w:val="single"/>
          </w:rPr>
          <w:t>https://www.edpb.europa.eu/our-work-tools/documents/public-consultations/2025/guidelines-012025-pseudonymisation_en</w:t>
        </w:r>
      </w:hyperlink>
      <w:r>
        <w:t>. La pseudonimizzazione riduce il rischio ma, se il dato è ricollegabile, non elimina la natura personale del dato.</w:t>
      </w:r>
    </w:p>
    <w:p>
      <w:pPr>
        <w:spacing w:after="100"/>
        <w:ind w:left="170" w:hanging="170"/>
      </w:pPr>
      <w:r>
        <w:rPr>
          <w:b/>
        </w:rPr>
        <w:t xml:space="preserve">[3] Garante per la protezione dei dati personali, Registro delle attività di trattamento. </w:t>
      </w:r>
      <w:hyperlink r:id="rId14">
        <w:r>
          <w:rPr>
            <w:color w:val="0563C1"/>
            <w:u w:val="single"/>
          </w:rPr>
          <w:t>https://www.garanteprivacy.it/registro-delle-attivita-di-trattamento</w:t>
        </w:r>
      </w:hyperlink>
      <w:r>
        <w:t>. Indicazioni su contenuto, aggiornamento e criteri di conservazione.</w:t>
      </w:r>
    </w:p>
    <w:p>
      <w:pPr>
        <w:spacing w:after="100"/>
        <w:ind w:left="170" w:hanging="170"/>
      </w:pPr>
      <w:r>
        <w:rPr>
          <w:b/>
        </w:rPr>
        <w:t xml:space="preserve">[4] Supabase Data Processing Addendum. </w:t>
      </w:r>
      <w:hyperlink r:id="rId15">
        <w:r>
          <w:rPr>
            <w:color w:val="0563C1"/>
            <w:u w:val="single"/>
          </w:rPr>
          <w:t>https://supabase.com/legal/dpa</w:t>
        </w:r>
      </w:hyperlink>
      <w:r>
        <w:t>. Ruoli, istruzioni, subfornitori, sicurezza e clausole contrattuali standard.</w:t>
      </w:r>
    </w:p>
    <w:p>
      <w:pPr>
        <w:spacing w:after="100"/>
        <w:ind w:left="170" w:hanging="170"/>
      </w:pPr>
      <w:r>
        <w:rPr>
          <w:b/>
        </w:rPr>
        <w:t xml:space="preserve">[5] Supabase, Available Regions. </w:t>
      </w:r>
      <w:hyperlink r:id="rId16">
        <w:r>
          <w:rPr>
            <w:color w:val="0563C1"/>
            <w:u w:val="single"/>
          </w:rPr>
          <w:t>https://supabase.com/docs/guides/platform/regions</w:t>
        </w:r>
      </w:hyperlink>
      <w:r>
        <w:t>. West EU (Paris), eu-west-3; la regione è un controllo di localizzazione e non prova da sola la conformità.</w:t>
      </w:r>
    </w:p>
    <w:p>
      <w:pPr>
        <w:spacing w:after="100"/>
        <w:ind w:left="170" w:hanging="170"/>
      </w:pPr>
      <w:r>
        <w:rPr>
          <w:b/>
        </w:rPr>
        <w:t xml:space="preserve">[6] Supabase, Project Transfers. </w:t>
      </w:r>
      <w:hyperlink r:id="rId17">
        <w:r>
          <w:rPr>
            <w:color w:val="0563C1"/>
            <w:u w:val="single"/>
          </w:rPr>
          <w:t>https://supabase.com/docs/guides/platform/project-transfer</w:t>
        </w:r>
      </w:hyperlink>
      <w:r>
        <w:t>. Trasferimento del progetto tra organizzazioni e mantenimento della regione.</w:t>
      </w:r>
    </w:p>
    <w:p>
      <w:pPr>
        <w:spacing w:after="100"/>
        <w:ind w:left="170" w:hanging="170"/>
      </w:pPr>
      <w:r>
        <w:rPr>
          <w:b/>
        </w:rPr>
        <w:t xml:space="preserve">[7] Vercel Data Processing Addendum. </w:t>
      </w:r>
      <w:hyperlink r:id="rId18">
        <w:r>
          <w:rPr>
            <w:color w:val="0563C1"/>
            <w:u w:val="single"/>
          </w:rPr>
          <w:t>https://vercel.com/legal/dpa</w:t>
        </w:r>
      </w:hyperlink>
      <w:r>
        <w:t>. Il DPA pubblico si applica al trattamento come responsabile per clienti Pro ed Enterprise.</w:t>
      </w:r>
    </w:p>
    <w:p>
      <w:pPr>
        <w:spacing w:after="100"/>
        <w:ind w:left="170" w:hanging="170"/>
      </w:pPr>
      <w:r>
        <w:rPr>
          <w:b/>
        </w:rPr>
        <w:t xml:space="preserve">[8] Vercel, Transferring a Project. </w:t>
      </w:r>
      <w:hyperlink r:id="rId19">
        <w:r>
          <w:rPr>
            <w:color w:val="0563C1"/>
            <w:u w:val="single"/>
          </w:rPr>
          <w:t>https://vercel.com/docs/projects/transferring-projects</w:t>
        </w:r>
      </w:hyperlink>
      <w:r>
        <w:t>. Trasferimento tra team; log e dati di monitoraggio non sono trasferiti.</w:t>
      </w:r>
    </w:p>
    <w:p>
      <w:pPr>
        <w:spacing w:after="100"/>
        <w:ind w:left="170" w:hanging="170"/>
      </w:pPr>
      <w:r>
        <w:rPr>
          <w:b/>
        </w:rPr>
        <w:t xml:space="preserve">[9] Supabase Pricing. </w:t>
      </w:r>
      <w:hyperlink r:id="rId20">
        <w:r>
          <w:rPr>
            <w:color w:val="0563C1"/>
            <w:u w:val="single"/>
          </w:rPr>
          <w:t>https://supabase.com/pricing</w:t>
        </w:r>
      </w:hyperlink>
      <w:r>
        <w:t>. Limiti e caratteristiche correnti dei piani Free, Pro e superiori.</w:t>
      </w:r>
    </w:p>
    <w:p>
      <w:pPr>
        <w:pStyle w:val="Heading1"/>
        <w:keepNext w:val="1"/>
      </w:pPr>
      <w:r>
        <w:t>Appendice C. Registro delle revisioni del presente addendum</w:t>
      </w:r>
    </w:p>
    <w:tbl>
      <w:tblPr>
        <w:tblW w:type="dxa" w:w="941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50"/>
        <w:gridCol w:w="1700"/>
        <w:gridCol w:w="2950"/>
        <w:gridCol w:w="3310"/>
      </w:tblGrid>
      <w:tr>
        <w:trPr>
          <w:tblHeader w:val="true"/>
          <w:cantSplit/>
        </w:trPr>
        <w:tc>
          <w:tcPr>
            <w:tcW w:type="dxa" w:w="1450"/>
            <w:tcMar>
              <w:top w:w="95" w:type="dxa"/>
              <w:start w:w="130" w:type="dxa"/>
              <w:bottom w:w="95" w:type="dxa"/>
              <w:end w:w="130" w:type="dxa"/>
            </w:tcMar>
            <w:vAlign w:val="center"/>
            <w:shd w:fill="17365D"/>
          </w:tcPr>
          <w:p>
            <w:pPr>
              <w:spacing w:after="0"/>
            </w:pPr>
            <w:r>
              <w:rPr>
                <w:b/>
                <w:color w:val="FFFFFF"/>
                <w:sz w:val="17"/>
              </w:rPr>
              <w:t>Versione</w:t>
            </w:r>
          </w:p>
        </w:tc>
        <w:tc>
          <w:tcPr>
            <w:tcW w:type="dxa" w:w="1700"/>
            <w:tcMar>
              <w:top w:w="95" w:type="dxa"/>
              <w:start w:w="130" w:type="dxa"/>
              <w:bottom w:w="95" w:type="dxa"/>
              <w:end w:w="130" w:type="dxa"/>
            </w:tcMar>
            <w:vAlign w:val="center"/>
            <w:shd w:fill="17365D"/>
          </w:tcPr>
          <w:p>
            <w:pPr>
              <w:spacing w:after="0"/>
            </w:pPr>
            <w:r>
              <w:rPr>
                <w:b/>
                <w:color w:val="FFFFFF"/>
                <w:sz w:val="17"/>
              </w:rPr>
              <w:t>Data</w:t>
            </w:r>
          </w:p>
        </w:tc>
        <w:tc>
          <w:tcPr>
            <w:tcW w:type="dxa" w:w="2950"/>
            <w:tcMar>
              <w:top w:w="95" w:type="dxa"/>
              <w:start w:w="130" w:type="dxa"/>
              <w:bottom w:w="95" w:type="dxa"/>
              <w:end w:w="130" w:type="dxa"/>
            </w:tcMar>
            <w:vAlign w:val="center"/>
            <w:shd w:fill="17365D"/>
          </w:tcPr>
          <w:p>
            <w:pPr>
              <w:spacing w:after="0"/>
            </w:pPr>
            <w:r>
              <w:rPr>
                <w:b/>
                <w:color w:val="FFFFFF"/>
                <w:sz w:val="17"/>
              </w:rPr>
              <w:t>Autore</w:t>
            </w:r>
          </w:p>
        </w:tc>
        <w:tc>
          <w:tcPr>
            <w:tcW w:type="dxa" w:w="3310"/>
            <w:tcMar>
              <w:top w:w="95" w:type="dxa"/>
              <w:start w:w="130" w:type="dxa"/>
              <w:bottom w:w="95" w:type="dxa"/>
              <w:end w:w="130" w:type="dxa"/>
            </w:tcMar>
            <w:vAlign w:val="center"/>
            <w:shd w:fill="17365D"/>
          </w:tcPr>
          <w:p>
            <w:pPr>
              <w:spacing w:after="0"/>
            </w:pPr>
            <w:r>
              <w:rPr>
                <w:b/>
                <w:color w:val="FFFFFF"/>
                <w:sz w:val="17"/>
              </w:rPr>
              <w:t>Descrizione</w:t>
            </w:r>
          </w:p>
        </w:tc>
      </w:tr>
      <w:tr>
        <w:trPr>
          <w:cantSplit/>
        </w:trPr>
        <w:tc>
          <w:tcPr>
            <w:tcW w:type="dxa" w:w="1450"/>
            <w:tcMar>
              <w:top w:w="95" w:type="dxa"/>
              <w:start w:w="130" w:type="dxa"/>
              <w:bottom w:w="95" w:type="dxa"/>
              <w:end w:w="130" w:type="dxa"/>
            </w:tcMar>
            <w:vAlign w:val="center"/>
          </w:tcPr>
          <w:p>
            <w:pPr>
              <w:spacing w:after="0" w:line="252" w:lineRule="auto"/>
            </w:pPr>
            <w:r>
              <w:rPr>
                <w:sz w:val="17"/>
              </w:rPr>
              <w:t>0.9</w:t>
            </w:r>
          </w:p>
        </w:tc>
        <w:tc>
          <w:tcPr>
            <w:tcW w:type="dxa" w:w="1700"/>
            <w:tcMar>
              <w:top w:w="95" w:type="dxa"/>
              <w:start w:w="130" w:type="dxa"/>
              <w:bottom w:w="95" w:type="dxa"/>
              <w:end w:w="130" w:type="dxa"/>
            </w:tcMar>
            <w:vAlign w:val="center"/>
          </w:tcPr>
          <w:p>
            <w:pPr>
              <w:spacing w:after="0" w:line="252" w:lineRule="auto"/>
            </w:pPr>
            <w:r>
              <w:rPr>
                <w:sz w:val="17"/>
              </w:rPr>
              <w:t>06/08/2026</w:t>
            </w:r>
          </w:p>
        </w:tc>
        <w:tc>
          <w:tcPr>
            <w:tcW w:type="dxa" w:w="2950"/>
            <w:tcMar>
              <w:top w:w="95" w:type="dxa"/>
              <w:start w:w="130" w:type="dxa"/>
              <w:bottom w:w="95" w:type="dxa"/>
              <w:end w:w="130" w:type="dxa"/>
            </w:tcMar>
            <w:vAlign w:val="center"/>
          </w:tcPr>
          <w:p>
            <w:pPr>
              <w:spacing w:after="0" w:line="252" w:lineRule="auto"/>
            </w:pPr>
            <w:r>
              <w:rPr>
                <w:sz w:val="17"/>
              </w:rPr>
              <w:t>Dott. Daniele Leonardi Vinci / supporto tecnico alla redazione</w:t>
            </w:r>
          </w:p>
        </w:tc>
        <w:tc>
          <w:tcPr>
            <w:tcW w:type="dxa" w:w="3310"/>
            <w:tcMar>
              <w:top w:w="95" w:type="dxa"/>
              <w:start w:w="130" w:type="dxa"/>
              <w:bottom w:w="95" w:type="dxa"/>
              <w:end w:w="130" w:type="dxa"/>
            </w:tcMar>
            <w:vAlign w:val="center"/>
          </w:tcPr>
          <w:p>
            <w:pPr>
              <w:spacing w:after="0" w:line="252" w:lineRule="auto"/>
            </w:pPr>
            <w:r>
              <w:rPr>
                <w:sz w:val="17"/>
              </w:rPr>
              <w:t>Prima bozza completa per confronto con SIFO</w:t>
            </w:r>
          </w:p>
        </w:tc>
      </w:tr>
    </w:tbl>
    <w:p>
      <w:pPr>
        <w:spacing w:after="0"/>
      </w:pPr>
    </w:p>
    <w:sectPr w:rsidR="00FC693F" w:rsidRPr="0006063C" w:rsidSect="00034616">
      <w:headerReference w:type="default" r:id="rId9"/>
      <w:footerReference w:type="default" r:id="rId10"/>
      <w:pgSz w:w="11906" w:h="16838"/>
      <w:pgMar w:top="1219"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4748B"/>
        <w:sz w:val="16"/>
      </w:rPr>
      <w:t xml:space="preserve">Bozza per confronto SIFO  |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64748B"/>
        <w:sz w:val="17"/>
      </w:rPr>
      <w:t>PhaRMA T | Addendum tecnico-organizzativo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Aptos" w:hAnsi="Aptos"/>
      <w:color w:val="11182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Aptos" w:hAnsi="Aptos"/>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Aptos" w:hAnsi="Aptos"/>
      <w:color w:val="1118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ur-lex.europa.eu/eli/reg/2016/679/oj" TargetMode="External"/><Relationship Id="rId13" Type="http://schemas.openxmlformats.org/officeDocument/2006/relationships/hyperlink" Target="https://www.edpb.europa.eu/our-work-tools/documents/public-consultations/2025/guidelines-012025-pseudonymisation_en" TargetMode="External"/><Relationship Id="rId14" Type="http://schemas.openxmlformats.org/officeDocument/2006/relationships/hyperlink" Target="https://www.garanteprivacy.it/registro-delle-attivita-di-trattamento" TargetMode="External"/><Relationship Id="rId15" Type="http://schemas.openxmlformats.org/officeDocument/2006/relationships/hyperlink" Target="https://supabase.com/legal/dpa" TargetMode="External"/><Relationship Id="rId16" Type="http://schemas.openxmlformats.org/officeDocument/2006/relationships/hyperlink" Target="https://supabase.com/docs/guides/platform/regions" TargetMode="External"/><Relationship Id="rId17" Type="http://schemas.openxmlformats.org/officeDocument/2006/relationships/hyperlink" Target="https://supabase.com/docs/guides/platform/project-transfer" TargetMode="External"/><Relationship Id="rId18" Type="http://schemas.openxmlformats.org/officeDocument/2006/relationships/hyperlink" Target="https://vercel.com/legal/dpa" TargetMode="External"/><Relationship Id="rId19" Type="http://schemas.openxmlformats.org/officeDocument/2006/relationships/hyperlink" Target="https://vercel.com/docs/projects/transferring-projects" TargetMode="External"/><Relationship Id="rId20" Type="http://schemas.openxmlformats.org/officeDocument/2006/relationships/hyperlink" Target="https://supabase.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tecnico-organizzativo al progetto PhaRMA T</dc:title>
  <dc:subject>Perimetro dati, infrastruttura cloud, sicurezza, governance e report</dc:subject>
  <dc:creator>Dott. Daniele Leonardi Vinci</dc:creator>
  <cp:keywords>PhaRMA T, SIFO, rischio clinico, privacy, sicurezza, Supabase, Vercel</cp:keywords>
  <dc:description>Bozza per confronto e approvazione SIFO</dc:description>
  <cp:lastModifiedBy/>
  <cp:revision>1</cp:revision>
  <dcterms:created xsi:type="dcterms:W3CDTF">2013-12-23T23:15:00Z</dcterms:created>
  <dcterms:modified xsi:type="dcterms:W3CDTF">2013-12-23T23:15:00Z</dcterms:modified>
  <cp:category/>
</cp:coreProperties>
</file>