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Calibri" w:hAnsi="Calibri"/>
          <w:b/>
          <w:color w:val="2E74B5"/>
          <w:sz w:val="26"/>
        </w:rPr>
        <w:t>PhaRMA T</w:t>
      </w:r>
    </w:p>
    <w:p>
      <w:pPr>
        <w:spacing w:after="160"/>
      </w:pPr>
      <w:r>
        <w:rPr>
          <w:rFonts w:ascii="Calibri" w:hAnsi="Calibri"/>
          <w:b/>
          <w:color w:val="1F4E78"/>
          <w:sz w:val="48"/>
        </w:rPr>
        <w:t>Inventario dei campi con potenziale rischio privacy</w:t>
      </w:r>
    </w:p>
    <w:p>
      <w:pPr>
        <w:spacing w:after="360"/>
      </w:pPr>
      <w:r>
        <w:rPr>
          <w:color w:val="44546A"/>
          <w:sz w:val="24"/>
        </w:rPr>
        <w:t>Revisione tecnica statica dei moduli FMEA, RCA, Gap Analysis e delle funzioni trasversali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E78"/>
              </w:rPr>
              <w:t>Repository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PhaRMA T - branch main, commit 26e21d0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E78"/>
              </w:rPr>
              <w:t>Data revisione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 agosto 2026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E78"/>
              </w:rPr>
              <w:t>Metodo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Analisi statica di pagine React, componenti, tipi TypeScript, servizi, export e migration SQL disponibili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E78"/>
              </w:rPr>
              <w:t>Scopo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Individuare i campi che possono contenere o concorrere a rendere identificabili persone fisiche</w:t>
            </w:r>
          </w:p>
        </w:tc>
      </w:tr>
    </w:tbl>
    <w:p>
      <w:pPr>
        <w:spacing w:before="280" w:after="0"/>
        <w:shd w:fill="FFF3D6"/>
        <w:ind w:left="180" w:right="180"/>
        <w:spacing w:before="120" w:after="120"/>
      </w:pPr>
      <w:r>
        <w:rPr>
          <w:color w:val="7A4E00"/>
          <w:sz w:val="21"/>
        </w:rPr>
        <w:t>Nota: l'inventario descrive un rischio potenziale, non prova che tali campi contengano oggi dati personali. La qualificazione giuridica e le misure definitive devono essere validate con i referenti privacy/DPO e con la governance del progetto.</w:t>
      </w:r>
    </w:p>
    <w:p>
      <w:r>
        <w:br w:type="page"/>
      </w:r>
    </w:p>
    <w:p>
      <w:pPr>
        <w:pStyle w:val="Heading1"/>
      </w:pPr>
      <w:r>
        <w:t>1. Sintesi esecutiva</w:t>
      </w:r>
    </w:p>
    <w:p>
      <w:r>
        <w:t>L'applicazione non prevede campi dedicati a nome del paziente, codice fiscale o numero di cartella clinica. Tuttavia numerosi campi liberi consentono l'inserimento di narrazioni, nomi di operatori, reparti, luoghi, date e circostanze che, singolarmente o soprattutto in combinazione, possono rendere identificabile una persona.</w:t>
      </w:r>
    </w:p>
    <w:p>
      <w:r>
        <w:t>La concentrazione di rischio più elevata è nel modulo RCA, perché descrizione dell'evento, data/ora, luogo, reparto, cause e risposte ai 5 Whys possono ricostruire un caso reale. Seguono Gap Analysis (stato osservato, gap, evidenze e verifica delle azioni) e i campi responsabile/firma/assessor presenti nei diversi moduli.</w:t>
      </w:r>
    </w:p>
    <w:p>
      <w:pPr>
        <w:pStyle w:val="ListBullet"/>
      </w:pPr>
      <w:r>
        <w:t>Presidiare prima i campi narrativi RCA e le combinazioni data-ora-luogo-reparto.</w:t>
      </w:r>
    </w:p>
    <w:p>
      <w:pPr>
        <w:pStyle w:val="ListBullet"/>
      </w:pPr>
      <w:r>
        <w:t>Preferire funzione/ruolo o codice interno non riconducibile alla persona nei campi responsabile, assessor, operatore, verificato da e firma.</w:t>
      </w:r>
    </w:p>
    <w:p>
      <w:pPr>
        <w:pStyle w:val="ListBullet"/>
      </w:pPr>
      <w:r>
        <w:t>Applicare avvisi contestuali, esempi anonimi, regole di conservazione e procedure di rimozione ai testi liberi.</w:t>
      </w:r>
    </w:p>
    <w:p>
      <w:pPr>
        <w:pStyle w:val="ListBullet"/>
      </w:pPr>
      <w:r>
        <w:t>Trattare PDF, Excel, PNG e JSON come copie esterne potenzialmente contenenti gli stessi dati del database.</w:t>
      </w:r>
    </w:p>
    <w:p>
      <w:pPr>
        <w:pStyle w:val="ListBullet"/>
      </w:pPr>
      <w:r>
        <w:t>Non considerare filtri automatici su email, telefoni o codici fiscali come misura sufficiente: l'identificazione indiretta può avvenire senza tali indicatori.</w:t>
      </w:r>
    </w:p>
    <w:p>
      <w:pPr>
        <w:pStyle w:val="Heading1"/>
      </w:pPr>
      <w:r>
        <w:t>2. Criterio di classificazione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 w:val="true"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E78"/>
              </w:rPr>
              <w:t>Livello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E78"/>
              </w:rPr>
              <w:t>Quando si applica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E78"/>
              </w:rPr>
              <w:t>Esempi</w:t>
            </w:r>
          </w:p>
        </w:tc>
      </w:tr>
      <w:tr>
        <w:trPr>
          <w:cantSplit w:val="true"/>
        </w:trPr>
        <w:tc>
          <w:tcPr>
            <w:tcW w:type="dxa" w:w="3120"/>
            <w:shd w:fill="FDE9E7"/>
          </w:tcPr>
          <w:p>
            <w:r>
              <w:rPr>
                <w:b/>
                <w:sz w:val="18"/>
              </w:rPr>
              <w:t>Alto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Testo libero o identificatore diretto; alta capacità di descrivere persone o casi.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Email; responsabile nominativo; descrizione evento; 5 Whys; note di verifica.</w:t>
            </w:r>
          </w:p>
        </w:tc>
      </w:tr>
      <w:tr>
        <w:trPr>
          <w:cantSplit w:val="true"/>
        </w:trPr>
        <w:tc>
          <w:tcPr>
            <w:tcW w:type="dxa" w:w="3120"/>
            <w:shd w:fill="FFF3D6"/>
          </w:tcPr>
          <w:p>
            <w:r>
              <w:rPr>
                <w:b/>
                <w:sz w:val="18"/>
              </w:rPr>
              <w:t>Medio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Dato organizzativo o quasi-identificatore che diventa significativo se combinato con altri dati.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Reparto; luogo; data/ora; struttura; ruolo; URL interno; titoli e descrizioni di processo.</w:t>
            </w:r>
          </w:p>
        </w:tc>
      </w:tr>
      <w:tr>
        <w:trPr>
          <w:cantSplit w:val="true"/>
        </w:trPr>
        <w:tc>
          <w:tcPr>
            <w:tcW w:type="dxa" w:w="3120"/>
            <w:shd w:fill="E8F5ED"/>
          </w:tcPr>
          <w:p>
            <w:r>
              <w:rPr>
                <w:b/>
                <w:sz w:val="18"/>
              </w:rPr>
              <w:t>Basso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Metadato tecnico o valore strutturato con limitata capacità identificativa autonoma.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Stato; priorità; punteggi; conteggi; UUID; timestamp tecnici. Il rischio cresce se associato a contenuti narrativi.</w:t>
            </w:r>
          </w:p>
        </w:tc>
      </w:tr>
    </w:tbl>
    <w:p>
      <w:pPr>
        <w:pStyle w:val="Heading1"/>
      </w:pPr>
      <w:r>
        <w:t>3. Funzioni trasversali, autenticazione e impostazioni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  <w:cantSplit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b/>
                <w:color w:val="1F4E78"/>
                <w:sz w:val="18"/>
              </w:rPr>
              <w:t>Campo / insieme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b/>
                <w:color w:val="1F4E78"/>
                <w:sz w:val="18"/>
              </w:rPr>
              <w:t>Contesto tecnico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b/>
                <w:color w:val="1F4E78"/>
                <w:sz w:val="18"/>
              </w:rPr>
              <w:t>Rischio potenziale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b/>
                <w:color w:val="1F4E78"/>
                <w:sz w:val="18"/>
              </w:rPr>
              <w:t>Livello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Email account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Supabase Auth; registrazione, accesso, recupero password, impostazioni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Identificatore diretto e canale per comunicazioni, verifica e recupero. Può rivelare struttura o ruolo professionale.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Password e conferma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Supabase Auth; non salvata in chiaro nel database applicativo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Credenziale di accesso. Compromissione o riuso può esporre tutti i dati dell'utente.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user_id / UUID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Tutte le tabelle utente e RLS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Identificatore pseudonimo stabile. Non identifica da solo, ma collega integralmente le attività dello stesso account.</w:t>
            </w:r>
          </w:p>
        </w:tc>
        <w:tc>
          <w:tcPr>
            <w:tcW w:type="dxa" w:w="2340"/>
            <w:shd w:fill="F4F6F8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Basso-Medio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Nome della struttura / facility_name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Impostazioni e report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Può identificare l'organizzazione e restringere fortemente il contesto di casi, processi e operatori.</w:t>
            </w:r>
          </w:p>
        </w:tc>
        <w:tc>
          <w:tcPr>
            <w:tcW w:type="dxa" w:w="2340"/>
            <w:shd w:fill="FFF3D6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Medio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Mittente e descrizione segnalazione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Contatti; messaggio aperto nel client email, non memorizzato dall'app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Può contenere nome, email, dettagli di incidenti o screenshot. Il trattamento prosegue nei sistemi email coinvolti.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Richiesta cancellazione: email, user ID, note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Impostazioni; mailto verso il referente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Contiene identificatori dell'account e testo libero sulla richiesta; passa tramite provider email esterni.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Termini di ricerca e filtri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Stato locale delle pagine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Normalmente non persistono nel database. Possono comunque essere visibili sul dispositivo o in strumenti di diagnostica del browser.</w:t>
            </w:r>
          </w:p>
        </w:tc>
        <w:tc>
          <w:tcPr>
            <w:tcW w:type="dxa" w:w="2340"/>
            <w:shd w:fill="E8F5ED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Basso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IP, user-agent, browser/dispositivo, eventi di accesso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Log tecnici Supabase Auth/Vercel; non sono campi dei form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Metadati personali o online generati automaticamente. Richiedono finalità, accesso, conservazione e informativa coerenti.</w:t>
            </w:r>
          </w:p>
        </w:tc>
        <w:tc>
          <w:tcPr>
            <w:tcW w:type="dxa" w:w="2340"/>
            <w:shd w:fill="F4F6F8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Medio-Alto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Timestamp di creazione/aggiornamento/accesso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Database e log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Permettono di ricostruire attività e abitudini operative; il rischio aumenta con identificatori e contenuti.</w:t>
            </w:r>
          </w:p>
        </w:tc>
        <w:tc>
          <w:tcPr>
            <w:tcW w:type="dxa" w:w="2340"/>
            <w:shd w:fill="FFF3D6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Medio</w:t>
            </w:r>
          </w:p>
        </w:tc>
      </w:tr>
    </w:tbl>
    <w:p>
      <w:pPr>
        <w:spacing w:after="40"/>
      </w:pPr>
    </w:p>
    <w:p>
      <w:pPr>
        <w:spacing w:before="20" w:after="120"/>
      </w:pPr>
      <w:r>
        <w:rPr>
          <w:i/>
          <w:color w:val="44546A"/>
          <w:sz w:val="17"/>
        </w:rPr>
        <w:t>Evidenze principali nel repository: src/pages/Register.tsx, Login.tsx, ForgotPassword.tsx, ResetPassword.tsx, Settings.tsx, Contacts.tsx; src/context/AuthContext.tsx; src/services/gdprExport.ts</w:t>
      </w:r>
    </w:p>
    <w:p>
      <w:pPr>
        <w:pStyle w:val="Heading1"/>
      </w:pPr>
      <w:r>
        <w:t>4. Modulo FMEA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  <w:cantSplit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b/>
                <w:color w:val="1F4E78"/>
                <w:sz w:val="18"/>
              </w:rPr>
              <w:t>Campo / insieme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b/>
                <w:color w:val="1F4E78"/>
                <w:sz w:val="18"/>
              </w:rPr>
              <w:t>Contesto tecnico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b/>
                <w:color w:val="1F4E78"/>
                <w:sz w:val="18"/>
              </w:rPr>
              <w:t>Rischio potenziale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b/>
                <w:color w:val="1F4E78"/>
                <w:sz w:val="18"/>
              </w:rPr>
              <w:t>Livello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Titolo assessment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risk_assessments.title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Titolo libero: può includere reparto, caso, data o nominativi non necessari.</w:t>
            </w:r>
          </w:p>
        </w:tc>
        <w:tc>
          <w:tcPr>
            <w:tcW w:type="dxa" w:w="2340"/>
            <w:shd w:fill="F4F6F8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Medio-Alto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Descrizione assessment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risk_assessments.description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Testo libero potenzialmente idoneo a ricostruire il contesto di un evento o di una criticità reale.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Area: nome e descrizione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areas.name / description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Informazioni organizzative; possono identificare una struttura piccola o un'unità altamente specifica.</w:t>
            </w:r>
          </w:p>
        </w:tc>
        <w:tc>
          <w:tcPr>
            <w:tcW w:type="dxa" w:w="2340"/>
            <w:shd w:fill="FFF3D6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Medio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Processo: nome e descrizione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processes.name / description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Può descrivere workflow, unità, personale o dettagli organizzativi riservati.</w:t>
            </w:r>
          </w:p>
        </w:tc>
        <w:tc>
          <w:tcPr>
            <w:tcW w:type="dxa" w:w="2340"/>
            <w:shd w:fill="FFF3D6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Medio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Fase di processo: nome e descrizione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process_steps.name / description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Può includere dettagli operativi e riferimenti a ruoli o casi reali.</w:t>
            </w:r>
          </w:p>
        </w:tc>
        <w:tc>
          <w:tcPr>
            <w:tcW w:type="dxa" w:w="2340"/>
            <w:shd w:fill="FFF3D6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Medio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Nome rischio personalizzato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custom_risk_name / user_custom_risks.name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Campo libero che può essere formulato come evento riferibile a un caso o a un operatore.</w:t>
            </w:r>
          </w:p>
        </w:tc>
        <w:tc>
          <w:tcPr>
            <w:tcW w:type="dxa" w:w="2340"/>
            <w:shd w:fill="F4F6F8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Medio-Alto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Categoria, area e sotto-area del rischio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category e campi di classificazione UI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Quasi-identificatori organizzativi; rischio maggiore se combinati con date, azioni o descrizioni.</w:t>
            </w:r>
          </w:p>
        </w:tc>
        <w:tc>
          <w:tcPr>
            <w:tcW w:type="dxa" w:w="2340"/>
            <w:shd w:fill="FFF3D6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Medio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Descrizione rischio personalizzato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custom_risk_description / user_custom_risks.description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Testo libero ad alto potenziale narrativo; può contenere dettagli clinici, nomi o circostanze uniche.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Note sul rischio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risk_items.notes; campo presente nel modello/esportazione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Testo libero non sempre esposto nella UI corrente, ma idoneo a conservare informazioni personali o sanitarie.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Descrizione misura di controllo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control_measures.description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Può citare operatori, procedure interne, eventi o audit specifici.</w:t>
            </w:r>
          </w:p>
        </w:tc>
        <w:tc>
          <w:tcPr>
            <w:tcW w:type="dxa" w:w="2340"/>
            <w:shd w:fill="F4F6F8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Medio-Alto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Descrizione azione correttiva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action_plans.description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Può includere persone, responsabilità, errori e dettagli del caso o del processo.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Responsabile azione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action_plans.responsible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Può contenere nome e cognome, email o altra informazione identificativa dell'operatore.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Scadenza e data completamento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due_date / completion_date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Quasi-identificatori temporali; diventano rilevanti insieme a responsabile, rischio e attività.</w:t>
            </w:r>
          </w:p>
        </w:tc>
        <w:tc>
          <w:tcPr>
            <w:tcW w:type="dxa" w:w="2340"/>
            <w:shd w:fill="FFF3D6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Medio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Note azione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action_plans.notes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Testo libero con potenziale inserimento di dettagli personali, organizzativi o clinici.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Severità, probabilità, rilevabilità, RPN, classe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risk_items e grafici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Non sono personali di per sé; possono contribuire a profilare eventi o performance quando associati a reparti o operatori.</w:t>
            </w:r>
          </w:p>
        </w:tc>
        <w:tc>
          <w:tcPr>
            <w:tcW w:type="dxa" w:w="2340"/>
            <w:shd w:fill="E8F5ED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Basso</w:t>
            </w:r>
          </w:p>
        </w:tc>
      </w:tr>
    </w:tbl>
    <w:p>
      <w:pPr>
        <w:spacing w:after="40"/>
      </w:pPr>
    </w:p>
    <w:p>
      <w:pPr>
        <w:spacing w:before="20" w:after="120"/>
      </w:pPr>
      <w:r>
        <w:rPr>
          <w:i/>
          <w:color w:val="44546A"/>
          <w:sz w:val="17"/>
        </w:rPr>
        <w:t>Evidenze principali nel repository: src/pages/NewAssessment.tsx, AssessmentDetail.tsx, RiskCatalog.tsx, Actions.tsx; src/types/index.ts; src/services/exportService.ts e gdprExport.ts</w:t>
      </w:r>
    </w:p>
    <w:p>
      <w:pPr>
        <w:pStyle w:val="Heading1"/>
      </w:pPr>
      <w:r>
        <w:t>5. Modulo RCA</w:t>
      </w:r>
    </w:p>
    <w:p>
      <w:pPr>
        <w:shd w:fill="FDE9E7"/>
        <w:ind w:left="180" w:right="180"/>
        <w:spacing w:before="120" w:after="120"/>
      </w:pPr>
      <w:r>
        <w:rPr>
          <w:b/>
          <w:color w:val="8A1C1C"/>
        </w:rPr>
        <w:t>Area a maggiore attenzione: anche senza nome e cognome, la combinazione di evento, data, ora, luogo, reparto, severità, cause e azioni può rendere riconoscibili pazienti o operatori.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  <w:cantSplit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b/>
                <w:color w:val="1F4E78"/>
                <w:sz w:val="18"/>
              </w:rPr>
              <w:t>Campo / insieme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b/>
                <w:color w:val="1F4E78"/>
                <w:sz w:val="18"/>
              </w:rPr>
              <w:t>Contesto tecnico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b/>
                <w:color w:val="1F4E78"/>
                <w:sz w:val="18"/>
              </w:rPr>
              <w:t>Rischio potenziale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b/>
                <w:color w:val="1F4E78"/>
                <w:sz w:val="18"/>
              </w:rPr>
              <w:t>Livello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Titolo assessment e titolo evento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rca_assessments.title / event_title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Campi liberi che possono contenere diagnosi, evento specifico, reparto, data o riferimenti a persone.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Descrizione/perimetro assessment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rca_assessments.description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Può riportare informazioni narrative su casi, operatori e processi reali.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Descrizione evento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event_description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Campo narrativo centrale e ad alta capacità identificativa diretta o indiretta.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Tipo evento e severità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event_type / severity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Dati strutturati non identificativi da soli; possono rivelare informazioni sensibili quando associati a un caso riconoscibile.</w:t>
            </w:r>
          </w:p>
        </w:tc>
        <w:tc>
          <w:tcPr>
            <w:tcW w:type="dxa" w:w="2340"/>
            <w:shd w:fill="FFF3D6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Medio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Data, ora e reported_at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event_date / event_time / reported_at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Quasi-identificatori forti: consentono di risalire a turni, registri, segnalazioni o accessi clinici.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Luogo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location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Può identificare reparto, stanza, farmacia o sede specifica e restringere i soggetti coinvolti.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Reparto / Servizio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department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Quasi-identificatore organizzativo, particolarmente critico in unità piccole o eventi rari.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Contenimento immediato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immediate_containment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Testo libero che può descrivere interventi, pazienti, farmaci, professionisti o sequenze temporali.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Sintesi e conclusione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summary / conclusion; modello dati/esportazione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Campi narrativi idonei a ricapitolare integralmente il caso e le responsabilità.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Titolo/effect statement Ishikawa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rca_fishbone_diagrams.title / effect_statement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Replica o sintetizza l'evento, propagandone l'eventuale contenuto identificativo.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Categoria Ishikawa personalizzata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rca_fishbone_branches.name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Può contenere nomi di unità, ruoli o riferimenti impropri a persone.</w:t>
            </w:r>
          </w:p>
        </w:tc>
        <w:tc>
          <w:tcPr>
            <w:tcW w:type="dxa" w:w="2340"/>
            <w:shd w:fill="FFF3D6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Medio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Descrizione causa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rca_causes.description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Può attribuire condotte o errori a persone identificabili e contenere dettagli del caso.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Evidenze e note della causa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rca_causes.evidence / notes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Testi liberi ad alto rischio, anche se non tutti sono attualmente esposti nei form principali.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Nota di conferma root cause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root_cause_confirmation_notes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Motivazione metodologica libera che può includere riferimenti a operatori, documenti o pazienti.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Titolo e problema 5 Whys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rca_five_why_chains.title / problem_statement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Derivano dalla causa e possono duplicare dati identificativi in più record ed export.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Domanda e risposta 5 Whys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why_question / answer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La risposta libera ricostruisce sequenze causali e può identificare persone, turni, ruoli e fatti specifici.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Descrizione azione RCA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rca_action_plans.description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Può contenere dettagli dell'evento, nominativi, responsabilità e misure riferite a persone.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Responsabile azione RCA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responsible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Possibile identificatore diretto dell'operatore o del referente.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Scadenza e completamento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due_date / completion_date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Quasi-identificatori temporali, rilevanti se associati a responsabile e causa.</w:t>
            </w:r>
          </w:p>
        </w:tc>
        <w:tc>
          <w:tcPr>
            <w:tcW w:type="dxa" w:w="2340"/>
            <w:shd w:fill="FFF3D6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Medio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Effectiveness check e note azione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effectiveness_check / notes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Campi liberi potenzialmente contenenti risultati, evidenze e riferimenti personali.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Responsabile/Firma monitoraggio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campo UI/report monitoringResponsibleSignature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Nome, email o firma del responsabile; identificatore diretto che viene riportato nel documento esportato.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</w:tbl>
    <w:p>
      <w:pPr>
        <w:spacing w:after="40"/>
      </w:pPr>
    </w:p>
    <w:p>
      <w:pPr>
        <w:spacing w:before="20" w:after="120"/>
      </w:pPr>
      <w:r>
        <w:rPr>
          <w:i/>
          <w:color w:val="44546A"/>
          <w:sz w:val="17"/>
        </w:rPr>
        <w:t>Evidenze principali nel repository: src/pages/rca/NewRCAAssessment.tsx, RCAAssessmentDetail.tsx, RCAActions.tsx; src/types/index.ts; src/services/rcaExportService.ts e gdprExport.ts</w:t>
      </w:r>
    </w:p>
    <w:p>
      <w:pPr>
        <w:pStyle w:val="Heading1"/>
      </w:pPr>
      <w:r>
        <w:t>6. Modulo Gap Analysis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  <w:cantSplit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b/>
                <w:color w:val="1F4E78"/>
                <w:sz w:val="18"/>
              </w:rPr>
              <w:t>Campo / insieme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b/>
                <w:color w:val="1F4E78"/>
                <w:sz w:val="18"/>
              </w:rPr>
              <w:t>Contesto tecnico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b/>
                <w:color w:val="1F4E78"/>
                <w:sz w:val="18"/>
              </w:rPr>
              <w:t>Rischio potenziale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b/>
                <w:color w:val="1F4E78"/>
                <w:sz w:val="18"/>
              </w:rPr>
              <w:t>Livello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Codice, nome e descrizione macro-processo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gap_processes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Informazioni organizzative; la descrizione libera può includere sedi, persone, procedure o criticità interne.</w:t>
            </w:r>
          </w:p>
        </w:tc>
        <w:tc>
          <w:tcPr>
            <w:tcW w:type="dxa" w:w="2340"/>
            <w:shd w:fill="FFF3D6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Medio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Codice e nome Dominio/Sezione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gap_areas.code / name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Quasi-identificatori organizzativi, soprattutto in processi o strutture di piccole dimensioni.</w:t>
            </w:r>
          </w:p>
        </w:tc>
        <w:tc>
          <w:tcPr>
            <w:tcW w:type="dxa" w:w="2340"/>
            <w:shd w:fill="FFF3D6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Medio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Contesto operativo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integrato in gap_areas.description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Può identificare UFA, reparto, laboratorio, sede o altro contesto specifico.</w:t>
            </w:r>
          </w:p>
        </w:tc>
        <w:tc>
          <w:tcPr>
            <w:tcW w:type="dxa" w:w="2340"/>
            <w:shd w:fill="F4F6F8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Medio-Alto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Descrizione Dominio/Sezione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gap_areas.description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Testo libero su ambito, confini e note operative, con possibile inserimento di persone o eventi.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Nome e descrizione Attività/Requisito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gap_activities.name / description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Può contenere dettagli di procedure, ruoli, incidenti o controlli interni.</w:t>
            </w:r>
          </w:p>
        </w:tc>
        <w:tc>
          <w:tcPr>
            <w:tcW w:type="dxa" w:w="2340"/>
            <w:shd w:fill="F4F6F8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Medio-Alto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Operatore/Funzione coinvolta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gap_activities.operator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La UI suggerisce una funzione, ma il campo libero consente nomi, email o altri identificatori.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Target atteso di riferimento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gap_activities.target_state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Testo libero generalmente organizzativo; può contenere dati personali se formulato con riferimenti a persone o casi.</w:t>
            </w:r>
          </w:p>
        </w:tc>
        <w:tc>
          <w:tcPr>
            <w:tcW w:type="dxa" w:w="2340"/>
            <w:shd w:fill="FFF3D6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Medio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Norma: nome, descrizione, ente, ambito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gap_standards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In genere dati pubblici/organizzativi; descrizioni e ambiti possono includere procedure o informazioni interne.</w:t>
            </w:r>
          </w:p>
        </w:tc>
        <w:tc>
          <w:tcPr>
            <w:tcW w:type="dxa" w:w="2340"/>
            <w:shd w:fill="F4F6F8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Basso-Medio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URL norma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gap_standards.url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Può esporre link interni, token o percorsi riservati se inseriti impropriamente.</w:t>
            </w:r>
          </w:p>
        </w:tc>
        <w:tc>
          <w:tcPr>
            <w:tcW w:type="dxa" w:w="2340"/>
            <w:shd w:fill="FFF3D6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Medio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Riferimento specifico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gap_activity_standards.specific_reference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Testo libero che può citare audit, documenti, registri o casi specifici.</w:t>
            </w:r>
          </w:p>
        </w:tc>
        <w:tc>
          <w:tcPr>
            <w:tcW w:type="dxa" w:w="2340"/>
            <w:shd w:fill="F4F6F8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Medio-Alto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Titolo e descrizione assessment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gap_assessments.title / description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Possono identificare progetto, reparto, caso, audit o persone coinvolte.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Struttura e reparto/unità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facility_name / department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Quasi-identificatori organizzativi forti, soprattutto se combinati con data e contenuti della valutazione.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Assessor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gap_assessments.assessor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Può contenere nome, cognome, funzione o email del valutatore.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Data assessment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assessment_date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Quasi-identificatore temporale utile a collegare audit, turni o presenze.</w:t>
            </w:r>
          </w:p>
        </w:tc>
        <w:tc>
          <w:tcPr>
            <w:tcW w:type="dxa" w:w="2340"/>
            <w:shd w:fill="FFF3D6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Medio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Stato attuale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gap_activity_evaluations.current_state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Descrizione libera di quanto osservato; può includere persone, episodi, documenti o dati operativi specifici.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Gap rispetto al target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gap_description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Testo libero su non conformità o criticità, con possibile attribuzione a soggetti identificabili.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Note/evidenze valutazione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gap_activity_evaluations.notes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Campo libero ad alto rischio per riferimenti a persone, casi, registri, farmaci o allegati esterni.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Valutato da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evaluated_by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Possibile nome, funzione o email del valutatore; nel modello è un campo testuale.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Snapshot di processo, dominio e attività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process_name_snapshot, area_name_snapshot, activity_name_snapshot, activity_code_snapshot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Duplicano nel singolo assessment dati di libreria e ne mantengono versioni storiche anche dopo modifiche.</w:t>
            </w:r>
          </w:p>
        </w:tc>
        <w:tc>
          <w:tcPr>
            <w:tcW w:type="dxa" w:w="2340"/>
            <w:shd w:fill="FFF3D6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Medio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Target override legacy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target_state_override; non esposto nella UI corrente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Campo libero assessment-specifico ancora presente nel database. Può contenere dati legacy e viene escluso dagli export correnti.</w:t>
            </w:r>
          </w:p>
        </w:tc>
        <w:tc>
          <w:tcPr>
            <w:tcW w:type="dxa" w:w="2340"/>
            <w:shd w:fill="F4F6F8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Medio-Alto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Descrizione azione Gap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gap_actions.description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Può riportare non conformità, dettagli organizzativi e riferimenti a persone.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Responsabile/i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gap_actions.responsible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Possibile identificatore diretto; la UI consente persona, team o funzione.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Date pianificate, effettive e di verifica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planned_*, actual_*, verification_due_date, verified_at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Consentono di ricostruire cronologia, attività e responsabilità; rischio maggiore in combinazione con nominativi.</w:t>
            </w:r>
          </w:p>
        </w:tc>
        <w:tc>
          <w:tcPr>
            <w:tcW w:type="dxa" w:w="2340"/>
            <w:shd w:fill="FFF3D6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Medio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Metodo di verifica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verification_method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Può citare audit, registri, controlli o persone coinvolte.</w:t>
            </w:r>
          </w:p>
        </w:tc>
        <w:tc>
          <w:tcPr>
            <w:tcW w:type="dxa" w:w="2340"/>
            <w:shd w:fill="F4F6F8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Medio-Alto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Note verifica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verification_notes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Testo libero su evidenze, risultati e limiti; può includere dati personali o sanitari indiretti.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Verificato da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verified_by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La UI ammette nome, funzione o email: identificatore diretto o professionale.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Note azione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gap_actions.notes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Testo libero su vincoli, dipendenze o evidenze, con possibile contenuto personale.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Descrizione evento azione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gap_action_events.description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Traccia narrativa dello storico dell'azione; può replicare dettagli identificativi.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Creato da e data evento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created_by / event_date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UUID e timestamp permettono di attribuire e ricostruire l'attività dell'utente.</w:t>
            </w:r>
          </w:p>
        </w:tc>
        <w:tc>
          <w:tcPr>
            <w:tcW w:type="dxa" w:w="2340"/>
            <w:shd w:fill="FFF3D6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Medio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Note collegamenti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gap_links.notes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Campo libero per riferimenti trasversali; può propagare dati personali fra assessment o documenti.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Stati, priorità, percentuali, conteggi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campi strutturati e KPI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Rischio autonomo limitato; possono diventare informazioni su performance o condotte se associati a persone o reparti.</w:t>
            </w:r>
          </w:p>
        </w:tc>
        <w:tc>
          <w:tcPr>
            <w:tcW w:type="dxa" w:w="2340"/>
            <w:shd w:fill="E8F5ED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Basso</w:t>
            </w:r>
          </w:p>
        </w:tc>
      </w:tr>
    </w:tbl>
    <w:p>
      <w:pPr>
        <w:spacing w:after="40"/>
      </w:pPr>
    </w:p>
    <w:p>
      <w:pPr>
        <w:spacing w:before="20" w:after="120"/>
      </w:pPr>
      <w:r>
        <w:rPr>
          <w:i/>
          <w:color w:val="44546A"/>
          <w:sz w:val="17"/>
        </w:rPr>
        <w:t>Evidenze principali nel repository: src/pages/gap/*; src/components/gap/GapAssessmentCreatePanel.tsx, GapInlineDomainForm.tsx, GapInlineActivityForm.tsx, GapEvaluationRow.tsx, GapActionPlanTab.tsx, GapActionVerificationModal.tsx; src/types/gap.ts; supabase/migrations/*</w:t>
      </w:r>
    </w:p>
    <w:p>
      <w:pPr>
        <w:pStyle w:val="Heading1"/>
      </w:pPr>
      <w:r>
        <w:t>7. Export, report e copie esterne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  <w:cantSplit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b/>
                <w:color w:val="1F4E78"/>
                <w:sz w:val="18"/>
              </w:rPr>
              <w:t>Campo / insieme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b/>
                <w:color w:val="1F4E78"/>
                <w:sz w:val="18"/>
              </w:rPr>
              <w:t>Contesto tecnico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b/>
                <w:color w:val="1F4E78"/>
                <w:sz w:val="18"/>
              </w:rPr>
              <w:t>Rischio potenziale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b/>
                <w:color w:val="1F4E78"/>
                <w:sz w:val="18"/>
              </w:rPr>
              <w:t>Livello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PDF FMEA/RCA/Gap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Generazione client-side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Riproduce campi narrativi, responsabili, date, cause, valutazioni e azioni. Il file esce dal perimetro RLS ed è controllato da chi lo scarica.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Excel FMEA/RCA/Gap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Generazione client-side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Dataset strutturato facilmente copiabile, aggregabile e inoltrabile; può contenere più record e metadati del PDF.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PNG di grafici e diagrammi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Matrice, Pareto, Ishikawa, grafici Gap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Può contenere titoli, descrizioni, etichette o categorie riconducibili a casi e strutture.</w:t>
            </w:r>
          </w:p>
        </w:tc>
        <w:tc>
          <w:tcPr>
            <w:tcW w:type="dxa" w:w="2340"/>
            <w:shd w:fill="F4F6F8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Medio-Alto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JSON export GDPR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src/services/gdprExport.ts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Esporta l'intero insieme di dati utente, inclusi campi liberi, identificatori e record legacy. È la copia a maggiore concentrazione informativa.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Nome file e metadati documento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Servizi export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Titolo assessment e data possono essere visibili nel filesystem, nelle email o nei sistemi documentali anche senza aprire il file.</w:t>
            </w:r>
          </w:p>
        </w:tc>
        <w:tc>
          <w:tcPr>
            <w:tcW w:type="dxa" w:w="2340"/>
            <w:shd w:fill="FFF3D6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Medio</w:t>
            </w:r>
          </w:p>
        </w:tc>
      </w:tr>
      <w:tr>
        <w:trPr>
          <w:cantSplit w:val="true"/>
        </w:trP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Firma/responsabile nei report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RCA monitoring e report Gap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Identificatore diretto o professionale riportato in copie stampate o condivise.</w:t>
            </w:r>
          </w:p>
        </w:tc>
        <w:tc>
          <w:tcPr>
            <w:tcW w:type="dxa" w:w="2340"/>
            <w:shd w:fill="FDE9E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7"/>
              </w:rPr>
              <w:t>Alto</w:t>
            </w:r>
          </w:p>
        </w:tc>
      </w:tr>
    </w:tbl>
    <w:p>
      <w:pPr>
        <w:spacing w:after="40"/>
      </w:pPr>
    </w:p>
    <w:p>
      <w:pPr>
        <w:spacing w:before="20" w:after="120"/>
      </w:pPr>
      <w:r>
        <w:rPr>
          <w:i/>
          <w:color w:val="44546A"/>
          <w:sz w:val="17"/>
        </w:rPr>
        <w:t>Evidenze principali nel repository: src/services/exportService.ts, rcaExportService.ts, gapExportService.ts, gdprExport.ts; componenti grafici FMEA/RCA/Gap</w:t>
      </w:r>
    </w:p>
    <w:p>
      <w:pPr>
        <w:pStyle w:val="Heading1"/>
      </w:pPr>
      <w:r>
        <w:t>8. Campi a priorità immediata</w:t>
      </w:r>
    </w:p>
    <w:p>
      <w:pPr>
        <w:pStyle w:val="ListNumber"/>
      </w:pPr>
      <w:r>
        <w:t>RCA: descrizione evento, data/ora, luogo, reparto, contenimento, cause, risposte 5 Whys, note root cause.</w:t>
      </w:r>
    </w:p>
    <w:p>
      <w:pPr>
        <w:pStyle w:val="ListNumber"/>
      </w:pPr>
      <w:r>
        <w:t>Identificatori professionali: responsabile/i, assessor, operatore/funzione, valutato da, verificato da, responsabile/firma.</w:t>
      </w:r>
    </w:p>
    <w:p>
      <w:pPr>
        <w:pStyle w:val="ListNumber"/>
      </w:pPr>
      <w:r>
        <w:t>Gap: stato attuale, gap rispetto al target, note/evidenze, descrizioni e verifiche delle azioni.</w:t>
      </w:r>
    </w:p>
    <w:p>
      <w:pPr>
        <w:pStyle w:val="ListNumber"/>
      </w:pPr>
      <w:r>
        <w:t>FMEA: descrizioni assessment/rischio/azione e note, soprattutto quando riferite a episodi reali.</w:t>
      </w:r>
    </w:p>
    <w:p>
      <w:pPr>
        <w:pStyle w:val="ListNumber"/>
      </w:pPr>
      <w:r>
        <w:t>Export: PDF, Excel, PNG e soprattutto JSON GDPR, perché non sono più protetti dalla RLS dopo il download.</w:t>
      </w:r>
    </w:p>
    <w:p>
      <w:pPr>
        <w:pStyle w:val="Heading1"/>
      </w:pPr>
      <w:r>
        <w:t>9. Misure raccomandate</w:t>
      </w:r>
    </w:p>
    <w:p>
      <w:pPr>
        <w:spacing w:after="100"/>
      </w:pPr>
      <w:r>
        <w:rPr>
          <w:b/>
          <w:color w:val="1F4E78"/>
        </w:rPr>
        <w:t xml:space="preserve">Avviso persistente: </w:t>
      </w:r>
      <w:r>
        <w:t>Visualizzare nei form ad alto rischio: non inserire nomi, iniziali, numeri di cartella, recapiti o combinazioni che rendano riconoscibili pazienti e operatori.</w:t>
      </w:r>
    </w:p>
    <w:p>
      <w:pPr>
        <w:spacing w:after="100"/>
      </w:pPr>
      <w:r>
        <w:rPr>
          <w:b/>
          <w:color w:val="1F4E78"/>
        </w:rPr>
        <w:t xml:space="preserve">Microcopy contestuale: </w:t>
      </w:r>
      <w:r>
        <w:t>Usare esempi anonimi e indicare espressamente, vicino a evento, cause, 5 Whys, stato attuale, gap, note e azioni, quali dettagli evitare.</w:t>
      </w:r>
    </w:p>
    <w:p>
      <w:pPr>
        <w:spacing w:after="100"/>
      </w:pPr>
      <w:r>
        <w:rPr>
          <w:b/>
          <w:color w:val="1F4E78"/>
        </w:rPr>
        <w:t xml:space="preserve">Ruoli invece di nomi: </w:t>
      </w:r>
      <w:r>
        <w:t>Dove possibile, raccogliere funzione/team/codice di ruolo invece del nominativo; rendere il nome facoltativo e motivato.</w:t>
      </w:r>
    </w:p>
    <w:p>
      <w:pPr>
        <w:spacing w:after="100"/>
      </w:pPr>
      <w:r>
        <w:rPr>
          <w:b/>
          <w:color w:val="1F4E78"/>
        </w:rPr>
        <w:t xml:space="preserve">Minimizzazione temporale: </w:t>
      </w:r>
      <w:r>
        <w:t>Valutare se data e ora esatte siano sempre necessarie; quando compatibile con la metodologia, usare intervalli o date meno granulari.</w:t>
      </w:r>
    </w:p>
    <w:p>
      <w:pPr>
        <w:spacing w:after="100"/>
      </w:pPr>
      <w:r>
        <w:rPr>
          <w:b/>
          <w:color w:val="1F4E78"/>
        </w:rPr>
        <w:t xml:space="preserve">Conservazione e revisione: </w:t>
      </w:r>
      <w:r>
        <w:t>Definire tempi per bozza, completato e archiviato; prevedere revisione periodica e rimozione dei record non più necessari.</w:t>
      </w:r>
    </w:p>
    <w:p>
      <w:pPr>
        <w:spacing w:after="100"/>
      </w:pPr>
      <w:r>
        <w:rPr>
          <w:b/>
          <w:color w:val="1F4E78"/>
        </w:rPr>
        <w:t xml:space="preserve">Rimozione selettiva: </w:t>
      </w:r>
      <w:r>
        <w:t>Consentire la cancellazione o rettifica dei record e documentare la procedura di oblio, inclusi account, dati applicativi e copie tecniche.</w:t>
      </w:r>
    </w:p>
    <w:p>
      <w:pPr>
        <w:spacing w:after="100"/>
      </w:pPr>
      <w:r>
        <w:rPr>
          <w:b/>
          <w:color w:val="1F4E78"/>
        </w:rPr>
        <w:t xml:space="preserve">Export protetti: </w:t>
      </w:r>
      <w:r>
        <w:t>Aggiungere classificazione documentale, versione/data, avviso di riservatezza e istruzioni di conservazione; ricordare che il download crea una copia esterna.</w:t>
      </w:r>
    </w:p>
    <w:p>
      <w:pPr>
        <w:spacing w:after="100"/>
      </w:pPr>
      <w:r>
        <w:rPr>
          <w:b/>
          <w:color w:val="1F4E78"/>
        </w:rPr>
        <w:t xml:space="preserve">Controlli automatici come supporto: </w:t>
      </w:r>
      <w:r>
        <w:t>Eventuali rilevatori di email, telefoni o codici fiscali devono essere solo un ausilio: non intercettano identificazione indiretta, nomi, turni o descrizioni uniche.</w:t>
      </w:r>
    </w:p>
    <w:p>
      <w:pPr>
        <w:spacing w:after="100"/>
      </w:pPr>
      <w:r>
        <w:rPr>
          <w:b/>
          <w:color w:val="1F4E78"/>
        </w:rPr>
        <w:t xml:space="preserve">Governance: </w:t>
      </w:r>
      <w:r>
        <w:t>Definire ruoli, accessi amministrativi, log, conservazione, fornitori e gestione delle richieste con SIFO e referenti privacy/ICT prima del pilota con dati reali.</w:t>
      </w:r>
    </w:p>
    <w:p>
      <w:pPr>
        <w:pStyle w:val="Heading1"/>
      </w:pPr>
      <w:r>
        <w:t>10. Limiti della revisione</w:t>
      </w:r>
    </w:p>
    <w:p>
      <w:r>
        <w:t>La revisione è basata sul codice e sulle migration presenti nel repository alla data indicata. Non verifica il contenuto reale del database remoto, le configurazioni complete dei provider, i log effettivamente conservati, i file già esportati dagli utenti o eventuali modifiche applicate direttamente in Supabase.</w:t>
      </w:r>
    </w:p>
    <w:p>
      <w:r>
        <w:t>Non sono stati classificati come rischi autonomi i soli valori di stato, priorità, punteggio e conteggio, salvo quando concorrono alla profilazione di una persona o di una piccola unità. La presenza di un campo ad alto rischio non implica che debba essere eliminato: richiede finalità chiara, minimizzazione, istruzioni, accessi, conservazione e possibilità di rettifica/rimozione coerenti.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4546A"/>
        <w:sz w:val="17"/>
      </w:rPr>
      <w:t>PhaRMA T | Inventario campi a rischio privacy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