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0D7C" w:rsidRDefault="000176A3">
      <w:pPr>
        <w:spacing w:beforeLines="20" w:before="62" w:afterLines="20" w:after="62"/>
        <w:jc w:val="center"/>
        <w:rPr>
          <w:rFonts w:ascii="华文新魏" w:eastAsia="华文新魏" w:hAnsi="宋体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华文新魏" w:eastAsia="华文新魏" w:hAnsi="宋体" w:hint="eastAsia"/>
          <w:b/>
          <w:noProof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8240" behindDoc="0" locked="0" layoutInCell="1" allowOverlap="1" wp14:anchorId="600D4B24" wp14:editId="79088123">
            <wp:simplePos x="0" y="0"/>
            <wp:positionH relativeFrom="page">
              <wp:posOffset>12090400</wp:posOffset>
            </wp:positionH>
            <wp:positionV relativeFrom="topMargin">
              <wp:posOffset>11290300</wp:posOffset>
            </wp:positionV>
            <wp:extent cx="254000" cy="266700"/>
            <wp:effectExtent l="0" t="0" r="0" b="0"/>
            <wp:wrapNone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59528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新魏" w:eastAsia="华文新魏" w:hAnsi="宋体" w:hint="eastAsia"/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新人教版生物学必修1《分子与细胞》知识梳理</w:t>
      </w:r>
    </w:p>
    <w:p w:rsidR="00A40D7C" w:rsidRDefault="000176A3">
      <w:pPr>
        <w:numPr>
          <w:ilvl w:val="0"/>
          <w:numId w:val="1"/>
        </w:num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细胞的物质输入和输出</w:t>
      </w:r>
    </w:p>
    <w:p w:rsidR="00A40D7C" w:rsidRDefault="000176A3">
      <w:pPr>
        <w:spacing w:beforeLines="20" w:before="62" w:afterLines="20" w:after="62" w:line="340" w:lineRule="exact"/>
        <w:jc w:val="center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方正姚体" w:eastAsia="方正姚体" w:hAnsi="宋体" w:hint="eastAsia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物质跨膜运输的方式</w:t>
      </w:r>
    </w:p>
    <w:p w:rsidR="00A40D7C" w:rsidRDefault="000176A3" w:rsidP="000176A3">
      <w:pPr>
        <w:spacing w:line="340" w:lineRule="exact"/>
        <w:ind w:left="392" w:hangingChars="186" w:hanging="392"/>
        <w:rPr>
          <w:color w:val="000000"/>
        </w:rPr>
      </w:pPr>
      <w:r>
        <w:rPr>
          <w:rFonts w:hint="eastAsia"/>
          <w:b/>
          <w:color w:val="000000"/>
        </w:rPr>
        <w:t xml:space="preserve">1. </w:t>
      </w:r>
      <w:r>
        <w:rPr>
          <w:rFonts w:hint="eastAsia"/>
          <w:b/>
          <w:color w:val="000000"/>
        </w:rPr>
        <w:t>小分子、离子的跨膜运输方式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体现了膜的</w:t>
      </w:r>
      <w:r>
        <w:rPr>
          <w:rFonts w:hint="eastAsia"/>
          <w:color w:val="000000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选择透过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性</w:t>
      </w:r>
      <w:r>
        <w:rPr>
          <w:rFonts w:hint="eastAsia"/>
          <w:color w:val="000000"/>
        </w:rPr>
        <w:t>)</w:t>
      </w:r>
    </w:p>
    <w:tbl>
      <w:tblPr>
        <w:tblW w:w="0" w:type="auto"/>
        <w:tblInd w:w="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8"/>
        <w:gridCol w:w="966"/>
        <w:gridCol w:w="1918"/>
        <w:gridCol w:w="1392"/>
        <w:gridCol w:w="1393"/>
        <w:gridCol w:w="3081"/>
      </w:tblGrid>
      <w:tr w:rsidR="00EB5CD4">
        <w:tc>
          <w:tcPr>
            <w:tcW w:w="1544" w:type="dxa"/>
            <w:gridSpan w:val="2"/>
            <w:shd w:val="clear" w:color="auto" w:fill="auto"/>
            <w:vAlign w:val="center"/>
          </w:tcPr>
          <w:p w:rsidR="00A40D7C" w:rsidRDefault="000176A3" w:rsidP="000176A3">
            <w:pPr>
              <w:snapToGrid w:val="0"/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方式</w:t>
            </w:r>
          </w:p>
        </w:tc>
        <w:tc>
          <w:tcPr>
            <w:tcW w:w="1918" w:type="dxa"/>
            <w:shd w:val="clear" w:color="auto" w:fill="auto"/>
            <w:vAlign w:val="center"/>
          </w:tcPr>
          <w:p w:rsidR="00A40D7C" w:rsidRDefault="000176A3" w:rsidP="000176A3">
            <w:pPr>
              <w:snapToGrid w:val="0"/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方向</w:t>
            </w:r>
          </w:p>
          <w:p w:rsidR="00A40D7C" w:rsidRDefault="000176A3" w:rsidP="000176A3">
            <w:pPr>
              <w:snapToGrid w:val="0"/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ascii="宋体" w:hAnsi="宋体" w:hint="eastAsia"/>
                <w:color w:val="000000"/>
                <w:sz w:val="19"/>
              </w:rPr>
              <w:t>(</w:t>
            </w:r>
            <w:r>
              <w:rPr>
                <w:rFonts w:eastAsia="楷体_GB2312"/>
                <w:color w:val="000000"/>
                <w:sz w:val="19"/>
              </w:rPr>
              <w:t>?</w:t>
            </w:r>
            <w:r>
              <w:rPr>
                <w:rFonts w:ascii="宋体" w:hAnsi="宋体" w:hint="eastAsia"/>
                <w:color w:val="000000"/>
                <w:sz w:val="19"/>
              </w:rPr>
              <w:t>浓度→</w:t>
            </w:r>
            <w:r>
              <w:rPr>
                <w:rFonts w:hAnsi="宋体" w:hint="eastAsia"/>
                <w:color w:val="000000"/>
                <w:sz w:val="19"/>
              </w:rPr>
              <w:t>?</w:t>
            </w:r>
            <w:r>
              <w:rPr>
                <w:rFonts w:ascii="宋体" w:hAnsi="宋体" w:hint="eastAsia"/>
                <w:color w:val="000000"/>
                <w:sz w:val="19"/>
              </w:rPr>
              <w:t>浓度)</w:t>
            </w:r>
          </w:p>
        </w:tc>
        <w:tc>
          <w:tcPr>
            <w:tcW w:w="1392" w:type="dxa"/>
            <w:shd w:val="clear" w:color="auto" w:fill="auto"/>
            <w:vAlign w:val="center"/>
          </w:tcPr>
          <w:p w:rsidR="00A40D7C" w:rsidRDefault="000176A3">
            <w:pPr>
              <w:snapToGrid w:val="0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载体</w:t>
            </w:r>
          </w:p>
          <w:p w:rsidR="00A40D7C" w:rsidRDefault="000176A3">
            <w:pPr>
              <w:snapToGrid w:val="0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ascii="宋体" w:hAnsi="宋体" w:hint="eastAsia"/>
                <w:color w:val="000000"/>
                <w:sz w:val="19"/>
              </w:rPr>
              <w:t>(需要/不需要)</w:t>
            </w:r>
          </w:p>
        </w:tc>
        <w:tc>
          <w:tcPr>
            <w:tcW w:w="1393" w:type="dxa"/>
            <w:shd w:val="clear" w:color="auto" w:fill="auto"/>
            <w:vAlign w:val="center"/>
          </w:tcPr>
          <w:p w:rsidR="00A40D7C" w:rsidRDefault="000176A3">
            <w:pPr>
              <w:snapToGrid w:val="0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能量</w:t>
            </w:r>
          </w:p>
          <w:p w:rsidR="00A40D7C" w:rsidRDefault="000176A3">
            <w:pPr>
              <w:snapToGrid w:val="0"/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ascii="宋体" w:hAnsi="宋体" w:hint="eastAsia"/>
                <w:color w:val="000000"/>
                <w:sz w:val="19"/>
              </w:rPr>
              <w:t>(消耗/不消耗)</w:t>
            </w:r>
          </w:p>
        </w:tc>
        <w:tc>
          <w:tcPr>
            <w:tcW w:w="3081" w:type="dxa"/>
            <w:shd w:val="clear" w:color="auto" w:fill="auto"/>
            <w:vAlign w:val="center"/>
          </w:tcPr>
          <w:p w:rsidR="00A40D7C" w:rsidRDefault="000176A3" w:rsidP="000176A3">
            <w:pPr>
              <w:snapToGrid w:val="0"/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举例</w:t>
            </w:r>
          </w:p>
        </w:tc>
      </w:tr>
      <w:tr w:rsidR="00EB5CD4">
        <w:trPr>
          <w:trHeight w:val="454"/>
        </w:trPr>
        <w:tc>
          <w:tcPr>
            <w:tcW w:w="578" w:type="dxa"/>
            <w:vMerge w:val="restart"/>
            <w:vAlign w:val="center"/>
          </w:tcPr>
          <w:p w:rsidR="00A40D7C" w:rsidRDefault="000176A3" w:rsidP="000176A3">
            <w:pPr>
              <w:snapToGrid w:val="0"/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被动运输</w:t>
            </w:r>
          </w:p>
        </w:tc>
        <w:tc>
          <w:tcPr>
            <w:tcW w:w="966" w:type="dxa"/>
            <w:vAlign w:val="center"/>
          </w:tcPr>
          <w:p w:rsidR="00A40D7C" w:rsidRDefault="000176A3">
            <w:pPr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自由扩散</w:t>
            </w:r>
          </w:p>
        </w:tc>
        <w:tc>
          <w:tcPr>
            <w:tcW w:w="1918" w:type="dxa"/>
            <w:vAlign w:val="center"/>
          </w:tcPr>
          <w:p w:rsidR="00A40D7C" w:rsidRDefault="000176A3" w:rsidP="000176A3">
            <w:pPr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  <w:szCs w:val="21"/>
              </w:rPr>
            </w:pPr>
            <w:r>
              <w:rPr>
                <w:rFonts w:ascii="楷体_GB2312" w:eastAsia="楷体_GB2312" w:hAnsi="宋体" w:hint="eastAsia"/>
                <w:color w:val="FF0000"/>
                <w:szCs w:val="21"/>
              </w:rPr>
              <w:t>高→低</w:t>
            </w:r>
          </w:p>
        </w:tc>
        <w:tc>
          <w:tcPr>
            <w:tcW w:w="1392" w:type="dxa"/>
            <w:vAlign w:val="center"/>
          </w:tcPr>
          <w:p w:rsidR="00A40D7C" w:rsidRDefault="000176A3" w:rsidP="000176A3">
            <w:pPr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  <w:szCs w:val="21"/>
              </w:rPr>
            </w:pPr>
            <w:r>
              <w:rPr>
                <w:rFonts w:ascii="楷体_GB2312" w:eastAsia="楷体_GB2312" w:hint="eastAsia"/>
                <w:color w:val="FF0000"/>
                <w:szCs w:val="21"/>
              </w:rPr>
              <w:t>不需要</w:t>
            </w:r>
          </w:p>
        </w:tc>
        <w:tc>
          <w:tcPr>
            <w:tcW w:w="1393" w:type="dxa"/>
            <w:vAlign w:val="center"/>
          </w:tcPr>
          <w:p w:rsidR="00A40D7C" w:rsidRDefault="000176A3" w:rsidP="000176A3">
            <w:pPr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  <w:szCs w:val="21"/>
              </w:rPr>
            </w:pPr>
            <w:r>
              <w:rPr>
                <w:rFonts w:ascii="楷体_GB2312" w:eastAsia="楷体_GB2312" w:hint="eastAsia"/>
                <w:color w:val="FF0000"/>
                <w:szCs w:val="21"/>
              </w:rPr>
              <w:t>不消耗</w:t>
            </w:r>
          </w:p>
        </w:tc>
        <w:tc>
          <w:tcPr>
            <w:tcW w:w="3081" w:type="dxa"/>
            <w:vAlign w:val="center"/>
          </w:tcPr>
          <w:p w:rsidR="00A40D7C" w:rsidRDefault="000176A3" w:rsidP="000176A3">
            <w:pPr>
              <w:ind w:leftChars="-25" w:left="-53" w:rightChars="-25" w:right="-53"/>
              <w:jc w:val="left"/>
              <w:rPr>
                <w:color w:val="000000"/>
              </w:rPr>
            </w:pPr>
            <w:r>
              <w:rPr>
                <w:rFonts w:eastAsia="楷体_GB2312"/>
                <w:color w:val="FF0000"/>
                <w:szCs w:val="21"/>
              </w:rPr>
              <w:t>H</w:t>
            </w:r>
            <w:r>
              <w:rPr>
                <w:rFonts w:eastAsia="楷体_GB2312"/>
                <w:color w:val="FF0000"/>
                <w:szCs w:val="21"/>
                <w:vertAlign w:val="subscript"/>
              </w:rPr>
              <w:t>2</w:t>
            </w:r>
            <w:r>
              <w:rPr>
                <w:rFonts w:eastAsia="楷体_GB2312"/>
                <w:color w:val="FF0000"/>
                <w:szCs w:val="21"/>
              </w:rPr>
              <w:t>O</w:t>
            </w:r>
            <w:r>
              <w:rPr>
                <w:rFonts w:eastAsia="楷体_GB2312"/>
                <w:color w:val="FF0000"/>
                <w:szCs w:val="21"/>
              </w:rPr>
              <w:t>、</w:t>
            </w:r>
            <w:r>
              <w:rPr>
                <w:rFonts w:eastAsia="楷体_GB2312"/>
                <w:color w:val="FF0000"/>
                <w:szCs w:val="21"/>
              </w:rPr>
              <w:t>O</w:t>
            </w:r>
            <w:r>
              <w:rPr>
                <w:rFonts w:eastAsia="楷体_GB2312"/>
                <w:color w:val="FF0000"/>
                <w:szCs w:val="21"/>
                <w:vertAlign w:val="subscript"/>
              </w:rPr>
              <w:t>2</w:t>
            </w:r>
            <w:r>
              <w:rPr>
                <w:rFonts w:eastAsia="楷体_GB2312"/>
                <w:color w:val="FF0000"/>
                <w:szCs w:val="21"/>
              </w:rPr>
              <w:t>、</w:t>
            </w:r>
            <w:r>
              <w:rPr>
                <w:rFonts w:eastAsia="楷体_GB2312"/>
                <w:color w:val="FF0000"/>
                <w:szCs w:val="21"/>
              </w:rPr>
              <w:t>CO</w:t>
            </w:r>
            <w:r>
              <w:rPr>
                <w:rFonts w:eastAsia="楷体_GB2312"/>
                <w:color w:val="FF0000"/>
                <w:szCs w:val="21"/>
                <w:vertAlign w:val="subscript"/>
              </w:rPr>
              <w:t>2</w:t>
            </w:r>
            <w:r>
              <w:rPr>
                <w:rFonts w:eastAsia="楷体_GB2312"/>
                <w:color w:val="FF0000"/>
                <w:szCs w:val="21"/>
              </w:rPr>
              <w:t>、甘油、脂肪酸、乙醇、苯、尿素</w:t>
            </w:r>
          </w:p>
        </w:tc>
      </w:tr>
      <w:tr w:rsidR="00EB5CD4">
        <w:trPr>
          <w:trHeight w:val="454"/>
        </w:trPr>
        <w:tc>
          <w:tcPr>
            <w:tcW w:w="578" w:type="dxa"/>
            <w:vMerge/>
            <w:vAlign w:val="center"/>
          </w:tcPr>
          <w:p w:rsidR="00A40D7C" w:rsidRDefault="00A40D7C" w:rsidP="000176A3">
            <w:pPr>
              <w:ind w:leftChars="-25" w:left="-53" w:rightChars="-25" w:right="-53"/>
              <w:jc w:val="center"/>
              <w:rPr>
                <w:color w:val="000000"/>
              </w:rPr>
            </w:pPr>
          </w:p>
        </w:tc>
        <w:tc>
          <w:tcPr>
            <w:tcW w:w="966" w:type="dxa"/>
            <w:vAlign w:val="center"/>
          </w:tcPr>
          <w:p w:rsidR="00A40D7C" w:rsidRDefault="000176A3">
            <w:pPr>
              <w:ind w:leftChars="-50" w:left="-105" w:rightChars="-50" w:right="-105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协助扩散</w:t>
            </w:r>
          </w:p>
        </w:tc>
        <w:tc>
          <w:tcPr>
            <w:tcW w:w="1918" w:type="dxa"/>
            <w:vAlign w:val="center"/>
          </w:tcPr>
          <w:p w:rsidR="00A40D7C" w:rsidRDefault="000176A3" w:rsidP="000176A3">
            <w:pPr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  <w:szCs w:val="21"/>
              </w:rPr>
            </w:pPr>
            <w:r>
              <w:rPr>
                <w:rFonts w:ascii="楷体_GB2312" w:eastAsia="楷体_GB2312" w:hAnsi="宋体" w:hint="eastAsia"/>
                <w:color w:val="FF0000"/>
                <w:szCs w:val="21"/>
              </w:rPr>
              <w:t>高→低</w:t>
            </w:r>
          </w:p>
        </w:tc>
        <w:tc>
          <w:tcPr>
            <w:tcW w:w="1392" w:type="dxa"/>
            <w:vAlign w:val="center"/>
          </w:tcPr>
          <w:p w:rsidR="00A40D7C" w:rsidRDefault="000176A3" w:rsidP="000176A3">
            <w:pPr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  <w:szCs w:val="21"/>
              </w:rPr>
            </w:pPr>
            <w:r>
              <w:rPr>
                <w:rFonts w:ascii="楷体_GB2312" w:eastAsia="楷体_GB2312" w:hint="eastAsia"/>
                <w:color w:val="FF0000"/>
                <w:szCs w:val="21"/>
              </w:rPr>
              <w:t>需要</w:t>
            </w:r>
          </w:p>
        </w:tc>
        <w:tc>
          <w:tcPr>
            <w:tcW w:w="1393" w:type="dxa"/>
            <w:vAlign w:val="center"/>
          </w:tcPr>
          <w:p w:rsidR="00A40D7C" w:rsidRDefault="000176A3" w:rsidP="000176A3">
            <w:pPr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  <w:szCs w:val="21"/>
              </w:rPr>
            </w:pPr>
            <w:r>
              <w:rPr>
                <w:rFonts w:ascii="楷体_GB2312" w:eastAsia="楷体_GB2312" w:hint="eastAsia"/>
                <w:color w:val="FF0000"/>
                <w:szCs w:val="21"/>
              </w:rPr>
              <w:t>不消耗</w:t>
            </w:r>
          </w:p>
        </w:tc>
        <w:tc>
          <w:tcPr>
            <w:tcW w:w="3081" w:type="dxa"/>
            <w:vAlign w:val="center"/>
          </w:tcPr>
          <w:p w:rsidR="00A40D7C" w:rsidRDefault="000176A3" w:rsidP="000176A3">
            <w:pPr>
              <w:ind w:leftChars="-25" w:left="-53" w:rightChars="-25" w:right="-53"/>
              <w:jc w:val="center"/>
              <w:rPr>
                <w:rFonts w:eastAsia="楷体_GB2312"/>
                <w:color w:val="000000"/>
                <w:u w:val="single"/>
              </w:rPr>
            </w:pPr>
            <w:r>
              <w:rPr>
                <w:rFonts w:eastAsia="楷体_GB2312"/>
                <w:color w:val="FF0000"/>
                <w:szCs w:val="21"/>
              </w:rPr>
              <w:t>葡萄糖进入红细胞</w:t>
            </w:r>
          </w:p>
        </w:tc>
      </w:tr>
      <w:tr w:rsidR="00EB5CD4">
        <w:tc>
          <w:tcPr>
            <w:tcW w:w="1544" w:type="dxa"/>
            <w:gridSpan w:val="2"/>
            <w:vAlign w:val="center"/>
          </w:tcPr>
          <w:p w:rsidR="00A40D7C" w:rsidRDefault="000176A3" w:rsidP="000176A3">
            <w:pPr>
              <w:ind w:leftChars="-25" w:left="-53" w:rightChars="-25" w:right="-53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主动运输</w:t>
            </w:r>
          </w:p>
        </w:tc>
        <w:tc>
          <w:tcPr>
            <w:tcW w:w="1918" w:type="dxa"/>
            <w:vAlign w:val="center"/>
          </w:tcPr>
          <w:p w:rsidR="00A40D7C" w:rsidRDefault="000176A3" w:rsidP="000176A3">
            <w:pPr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  <w:szCs w:val="21"/>
              </w:rPr>
            </w:pPr>
            <w:r>
              <w:rPr>
                <w:rFonts w:ascii="楷体_GB2312" w:eastAsia="楷体_GB2312" w:hAnsi="宋体" w:hint="eastAsia"/>
                <w:color w:val="FF0000"/>
                <w:szCs w:val="21"/>
              </w:rPr>
              <w:t>低→高</w:t>
            </w:r>
          </w:p>
        </w:tc>
        <w:tc>
          <w:tcPr>
            <w:tcW w:w="1392" w:type="dxa"/>
            <w:vAlign w:val="center"/>
          </w:tcPr>
          <w:p w:rsidR="00A40D7C" w:rsidRDefault="000176A3" w:rsidP="000176A3">
            <w:pPr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  <w:szCs w:val="21"/>
              </w:rPr>
            </w:pPr>
            <w:r>
              <w:rPr>
                <w:rFonts w:ascii="楷体_GB2312" w:eastAsia="楷体_GB2312" w:hint="eastAsia"/>
                <w:color w:val="FF0000"/>
                <w:szCs w:val="21"/>
              </w:rPr>
              <w:t>需要</w:t>
            </w:r>
          </w:p>
        </w:tc>
        <w:tc>
          <w:tcPr>
            <w:tcW w:w="1393" w:type="dxa"/>
            <w:vAlign w:val="center"/>
          </w:tcPr>
          <w:p w:rsidR="00A40D7C" w:rsidRDefault="000176A3" w:rsidP="000176A3">
            <w:pPr>
              <w:ind w:leftChars="-25" w:left="-53" w:rightChars="-25" w:right="-53"/>
              <w:jc w:val="center"/>
              <w:rPr>
                <w:rFonts w:ascii="楷体_GB2312" w:eastAsia="楷体_GB2312"/>
                <w:color w:val="FF0000"/>
                <w:szCs w:val="21"/>
              </w:rPr>
            </w:pPr>
            <w:r>
              <w:rPr>
                <w:rFonts w:ascii="楷体_GB2312" w:eastAsia="楷体_GB2312" w:hint="eastAsia"/>
                <w:color w:val="FF0000"/>
                <w:szCs w:val="21"/>
              </w:rPr>
              <w:t>消耗</w:t>
            </w:r>
          </w:p>
        </w:tc>
        <w:tc>
          <w:tcPr>
            <w:tcW w:w="3081" w:type="dxa"/>
            <w:vAlign w:val="center"/>
          </w:tcPr>
          <w:p w:rsidR="00A40D7C" w:rsidRDefault="000176A3" w:rsidP="000176A3">
            <w:pPr>
              <w:ind w:leftChars="-25" w:left="-53" w:rightChars="-25" w:right="-53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小肠吸收</w:t>
            </w:r>
            <w:r>
              <w:rPr>
                <w:rFonts w:ascii="楷体_GB2312" w:eastAsia="楷体_GB2312" w:hint="eastAsia"/>
                <w:color w:val="FF0000"/>
                <w:u w:val="single" w:color="000000"/>
              </w:rPr>
              <w:t xml:space="preserve">  葡萄糖、氨基酸、核苷酸、无机盐离子  </w:t>
            </w:r>
            <w:r>
              <w:rPr>
                <w:rFonts w:hint="eastAsia"/>
                <w:color w:val="000000"/>
              </w:rPr>
              <w:t>等</w:t>
            </w:r>
          </w:p>
        </w:tc>
      </w:tr>
    </w:tbl>
    <w:p w:rsidR="00A40D7C" w:rsidRDefault="000176A3" w:rsidP="000176A3">
      <w:pPr>
        <w:spacing w:line="310" w:lineRule="exact"/>
        <w:ind w:leftChars="125" w:left="263"/>
        <w:rPr>
          <w:color w:val="000000"/>
        </w:rPr>
      </w:pPr>
      <w:r>
        <w:rPr>
          <w:rFonts w:hint="eastAsia"/>
          <w:color w:val="000000"/>
        </w:rPr>
        <w:t>主动运输普遍存在于动植物和微生物细胞中，保证了活细胞能够按照生命活动的需要，主动选择吸收所需要的营养物质，排出代谢废物和对细胞有害的物质。</w:t>
      </w:r>
    </w:p>
    <w:p w:rsidR="00A40D7C" w:rsidRDefault="000176A3" w:rsidP="000176A3">
      <w:pPr>
        <w:spacing w:line="340" w:lineRule="exact"/>
        <w:ind w:left="392" w:hangingChars="186" w:hanging="392"/>
        <w:rPr>
          <w:color w:val="000000"/>
        </w:rPr>
      </w:pPr>
      <w:r>
        <w:rPr>
          <w:rFonts w:hint="eastAsia"/>
          <w:b/>
          <w:color w:val="000000"/>
        </w:rPr>
        <w:t xml:space="preserve">2. </w:t>
      </w:r>
      <w:r>
        <w:rPr>
          <w:rFonts w:hint="eastAsia"/>
          <w:b/>
          <w:color w:val="000000"/>
        </w:rPr>
        <w:t>大分子、颗粒性物质的非跨膜运输方式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体现了膜的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ascii="楷体_GB2312" w:eastAsia="楷体_GB2312" w:hint="eastAsia"/>
          <w:color w:val="FF0000"/>
          <w:u w:val="single" w:color="000000"/>
        </w:rPr>
        <w:t xml:space="preserve">流动 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性</w:t>
      </w:r>
      <w:r>
        <w:rPr>
          <w:rFonts w:hint="eastAsia"/>
          <w:color w:val="000000"/>
        </w:rPr>
        <w:t>)</w:t>
      </w:r>
    </w:p>
    <w:p w:rsidR="00A40D7C" w:rsidRDefault="000176A3">
      <w:pPr>
        <w:spacing w:line="340" w:lineRule="exact"/>
        <w:ind w:firstLineChars="80" w:firstLine="168"/>
        <w:rPr>
          <w:rFonts w:hAnsi="宋体"/>
        </w:rPr>
      </w:pPr>
      <w:r>
        <w:rPr>
          <w:rFonts w:hAnsi="宋体" w:hint="eastAsia"/>
        </w:rPr>
        <w:t>(1)</w:t>
      </w:r>
      <w:r>
        <w:rPr>
          <w:rFonts w:hAnsi="宋体" w:hint="eastAsia"/>
        </w:rPr>
        <w:t>胞吞：细胞外→细胞内，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消耗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(消耗/不消耗)</w:t>
      </w:r>
      <w:r>
        <w:rPr>
          <w:rFonts w:hAnsi="宋体" w:hint="eastAsia"/>
        </w:rPr>
        <w:t>能量，如</w:t>
      </w:r>
      <w:r>
        <w:rPr>
          <w:rFonts w:ascii="楷体_GB2312" w:eastAsia="楷体_GB2312" w:hAnsi="宋体" w:hint="eastAsia"/>
          <w:u w:val="single"/>
        </w:rPr>
        <w:t>白细胞吞噬病菌</w:t>
      </w:r>
      <w:r>
        <w:rPr>
          <w:rFonts w:hAnsi="宋体" w:hint="eastAsia"/>
        </w:rPr>
        <w:t>、变形虫摄食等。</w:t>
      </w:r>
    </w:p>
    <w:p w:rsidR="00A40D7C" w:rsidRDefault="000176A3">
      <w:pPr>
        <w:spacing w:line="340" w:lineRule="exact"/>
        <w:ind w:leftChars="80" w:left="273" w:hangingChars="50" w:hanging="105"/>
        <w:rPr>
          <w:rFonts w:hAnsi="宋体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64F0C7B" wp14:editId="319EB2C3">
            <wp:simplePos x="0" y="0"/>
            <wp:positionH relativeFrom="column">
              <wp:posOffset>3886200</wp:posOffset>
            </wp:positionH>
            <wp:positionV relativeFrom="paragraph">
              <wp:posOffset>257175</wp:posOffset>
            </wp:positionV>
            <wp:extent cx="1548130" cy="396240"/>
            <wp:effectExtent l="0" t="0" r="0" b="3810"/>
            <wp:wrapNone/>
            <wp:docPr id="100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36434" name="图片 9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Ansi="宋体" w:hint="eastAsia"/>
        </w:rPr>
        <w:t>(2)</w:t>
      </w:r>
      <w:r>
        <w:rPr>
          <w:rFonts w:hAnsi="宋体" w:hint="eastAsia"/>
        </w:rPr>
        <w:t>胞吐：细胞内→细胞外，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消耗</w:t>
      </w:r>
      <w:r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(消耗/不消耗)</w:t>
      </w:r>
      <w:r>
        <w:rPr>
          <w:rFonts w:hAnsi="宋体" w:hint="eastAsia"/>
        </w:rPr>
        <w:t>能量，如</w:t>
      </w:r>
      <w:r>
        <w:rPr>
          <w:rFonts w:ascii="楷体_GB2312" w:eastAsia="楷体_GB2312" w:hAnsi="宋体" w:hint="eastAsia"/>
          <w:u w:val="single"/>
        </w:rPr>
        <w:t xml:space="preserve">  </w:t>
      </w:r>
      <w:r>
        <w:rPr>
          <w:rFonts w:ascii="楷体_GB2312" w:eastAsia="楷体_GB2312" w:hint="eastAsia"/>
          <w:color w:val="FF0000"/>
          <w:u w:val="single" w:color="000000"/>
        </w:rPr>
        <w:t>消化酶、抗体、蛋白质类激素</w:t>
      </w:r>
      <w:r>
        <w:rPr>
          <w:rFonts w:ascii="楷体_GB2312" w:eastAsia="楷体_GB2312" w:hAnsi="宋体" w:hint="eastAsia"/>
          <w:u w:val="single"/>
        </w:rPr>
        <w:t xml:space="preserve">  </w:t>
      </w:r>
      <w:r>
        <w:rPr>
          <w:rFonts w:ascii="宋体" w:hAnsi="宋体" w:hint="eastAsia"/>
        </w:rPr>
        <w:t>等分泌蛋白</w:t>
      </w:r>
      <w:r>
        <w:rPr>
          <w:rFonts w:hAnsi="宋体" w:hint="eastAsia"/>
        </w:rPr>
        <w:t>的分泌。</w:t>
      </w:r>
    </w:p>
    <w:p w:rsidR="00A40D7C" w:rsidRDefault="000176A3" w:rsidP="000176A3">
      <w:pPr>
        <w:spacing w:line="340" w:lineRule="exact"/>
        <w:ind w:left="392" w:hangingChars="186" w:hanging="392"/>
        <w:rPr>
          <w:b/>
          <w:color w:val="000000"/>
        </w:rPr>
      </w:pPr>
      <w:r>
        <w:rPr>
          <w:rFonts w:hint="eastAsia"/>
          <w:b/>
          <w:color w:val="000000"/>
        </w:rPr>
        <w:t xml:space="preserve">3. </w:t>
      </w:r>
      <w:r>
        <w:rPr>
          <w:rFonts w:hint="eastAsia"/>
          <w:b/>
          <w:color w:val="000000"/>
        </w:rPr>
        <w:t>模型图分析</w:t>
      </w:r>
    </w:p>
    <w:p w:rsidR="00A40D7C" w:rsidRDefault="000176A3">
      <w:pPr>
        <w:snapToGrid w:val="0"/>
        <w:rPr>
          <w:color w:val="000000"/>
        </w:rPr>
      </w:pPr>
      <w:r>
        <w:rPr>
          <w:rFonts w:hint="eastAsia"/>
          <w:noProof/>
          <w:color w:val="000000"/>
        </w:rPr>
        <w:drawing>
          <wp:inline distT="0" distB="0" distL="114300" distR="114300" wp14:anchorId="303CA1C8" wp14:editId="21173F50">
            <wp:extent cx="3298190" cy="1259840"/>
            <wp:effectExtent l="0" t="0" r="0" b="0"/>
            <wp:docPr id="10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57880" name="图片 20"/>
                    <pic:cNvPicPr>
                      <a:picLocks noChangeAspect="1"/>
                    </pic:cNvPicPr>
                  </pic:nvPicPr>
                  <pic:blipFill>
                    <a:blip r:embed="rId11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19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 xml:space="preserve">    </w:t>
      </w:r>
      <w:r>
        <w:rPr>
          <w:rFonts w:hint="eastAsia"/>
          <w:noProof/>
          <w:color w:val="000000"/>
        </w:rPr>
        <w:drawing>
          <wp:inline distT="0" distB="0" distL="114300" distR="114300" wp14:anchorId="13E4A8BF" wp14:editId="462A6235">
            <wp:extent cx="2377440" cy="864235"/>
            <wp:effectExtent l="0" t="0" r="3810" b="0"/>
            <wp:docPr id="9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77344" name="图片 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D7C" w:rsidRDefault="000176A3">
      <w:pPr>
        <w:spacing w:line="340" w:lineRule="exact"/>
        <w:ind w:firstLineChars="80" w:firstLine="168"/>
        <w:rPr>
          <w:color w:val="000000"/>
        </w:rPr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图①表示：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ascii="楷体_GB2312" w:eastAsia="楷体_GB2312" w:hint="eastAsia"/>
          <w:color w:val="FF0000"/>
          <w:u w:val="single" w:color="000000"/>
        </w:rPr>
        <w:t>自由扩散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图②表示：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ascii="楷体_GB2312" w:eastAsia="楷体_GB2312" w:hint="eastAsia"/>
          <w:color w:val="FF0000"/>
          <w:u w:val="single" w:color="000000"/>
        </w:rPr>
        <w:t>协助扩散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图③表示：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ascii="楷体_GB2312" w:eastAsia="楷体_GB2312" w:hint="eastAsia"/>
          <w:color w:val="FF0000"/>
          <w:u w:val="single" w:color="000000"/>
        </w:rPr>
        <w:t>主动运输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。</w:t>
      </w:r>
    </w:p>
    <w:p w:rsidR="00A40D7C" w:rsidRDefault="000176A3">
      <w:pPr>
        <w:spacing w:line="340" w:lineRule="exact"/>
        <w:ind w:firstLineChars="80" w:firstLine="168"/>
        <w:rPr>
          <w:color w:val="000000"/>
        </w:rPr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图④表示：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ascii="楷体_GB2312" w:eastAsia="楷体_GB2312" w:hint="eastAsia"/>
          <w:color w:val="FF0000"/>
          <w:u w:val="single" w:color="000000"/>
        </w:rPr>
        <w:t>自由扩散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图⑤表示：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ascii="楷体_GB2312" w:eastAsia="楷体_GB2312" w:hint="eastAsia"/>
          <w:color w:val="FF0000"/>
          <w:u w:val="single" w:color="000000"/>
        </w:rPr>
        <w:t>协助扩散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 xml:space="preserve">      </w:t>
      </w:r>
      <w:r>
        <w:rPr>
          <w:rFonts w:hint="eastAsia"/>
          <w:color w:val="000000"/>
        </w:rPr>
        <w:t>图⑥表示：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ascii="楷体_GB2312" w:eastAsia="楷体_GB2312" w:hint="eastAsia"/>
          <w:color w:val="FF0000"/>
          <w:u w:val="single" w:color="000000"/>
        </w:rPr>
        <w:t>主动运输</w:t>
      </w:r>
      <w:r>
        <w:rPr>
          <w:rFonts w:hint="eastAsia"/>
          <w:color w:val="000000"/>
          <w:u w:val="single"/>
        </w:rPr>
        <w:t xml:space="preserve">   </w:t>
      </w:r>
      <w:r>
        <w:rPr>
          <w:rFonts w:hint="eastAsia"/>
          <w:color w:val="000000"/>
        </w:rPr>
        <w:t>。</w:t>
      </w:r>
    </w:p>
    <w:p w:rsidR="00A40D7C" w:rsidRDefault="000176A3" w:rsidP="000176A3">
      <w:pPr>
        <w:spacing w:line="340" w:lineRule="exact"/>
        <w:ind w:left="392" w:hangingChars="186" w:hanging="392"/>
        <w:rPr>
          <w:b/>
          <w:color w:val="000000"/>
        </w:rPr>
      </w:pPr>
      <w:r>
        <w:rPr>
          <w:rFonts w:hint="eastAsia"/>
          <w:b/>
          <w:color w:val="000000"/>
        </w:rPr>
        <w:t xml:space="preserve">4. </w:t>
      </w:r>
      <w:r>
        <w:rPr>
          <w:rFonts w:hint="eastAsia"/>
          <w:b/>
          <w:color w:val="000000"/>
        </w:rPr>
        <w:t>曲线图分析</w:t>
      </w:r>
    </w:p>
    <w:p w:rsidR="00A40D7C" w:rsidRDefault="000176A3">
      <w:pPr>
        <w:snapToGrid w:val="0"/>
        <w:jc w:val="center"/>
        <w:rPr>
          <w:color w:val="000000"/>
        </w:rPr>
      </w:pPr>
      <w:r>
        <w:rPr>
          <w:rFonts w:hint="eastAsia"/>
          <w:noProof/>
          <w:color w:val="000000"/>
        </w:rPr>
        <w:drawing>
          <wp:inline distT="0" distB="0" distL="114300" distR="114300" wp14:anchorId="63065548" wp14:editId="050296AF">
            <wp:extent cx="6106160" cy="886460"/>
            <wp:effectExtent l="0" t="0" r="8890" b="8890"/>
            <wp:docPr id="10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82699" name="图片 22"/>
                    <pic:cNvPicPr>
                      <a:picLocks noChangeAspect="1"/>
                    </pic:cNvPicPr>
                  </pic:nvPicPr>
                  <pic:blipFill>
                    <a:blip r:embed="rId13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D7C" w:rsidRDefault="000176A3">
      <w:pPr>
        <w:spacing w:line="330" w:lineRule="exact"/>
        <w:ind w:firstLineChars="80" w:firstLine="168"/>
        <w:rPr>
          <w:color w:val="000000"/>
        </w:rPr>
      </w:pPr>
      <w:r>
        <w:rPr>
          <w:rFonts w:hint="eastAsia"/>
          <w:color w:val="000000"/>
        </w:rPr>
        <w:t>(1)</w:t>
      </w:r>
      <w:r>
        <w:rPr>
          <w:rFonts w:hint="eastAsia"/>
          <w:color w:val="000000"/>
        </w:rPr>
        <w:t>图</w:t>
      </w:r>
      <w:r>
        <w:rPr>
          <w:rFonts w:ascii="宋体" w:hAnsi="宋体" w:hint="eastAsia"/>
          <w:color w:val="000000"/>
        </w:rPr>
        <w:t>⑦</w:t>
      </w:r>
      <w:r>
        <w:rPr>
          <w:rFonts w:hint="eastAsia"/>
          <w:color w:val="000000"/>
        </w:rPr>
        <w:t>表示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自由扩散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，运输速率与物质浓度呈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正比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A40D7C" w:rsidRDefault="000176A3">
      <w:pPr>
        <w:spacing w:line="330" w:lineRule="exact"/>
        <w:ind w:leftChars="80" w:left="273" w:hangingChars="50" w:hanging="105"/>
        <w:rPr>
          <w:color w:val="000000"/>
        </w:rPr>
      </w:pPr>
      <w:r>
        <w:rPr>
          <w:rFonts w:hint="eastAsia"/>
          <w:color w:val="000000"/>
        </w:rPr>
        <w:t>(2)</w:t>
      </w:r>
      <w:r>
        <w:rPr>
          <w:rFonts w:hint="eastAsia"/>
          <w:color w:val="000000"/>
        </w:rPr>
        <w:t>图</w:t>
      </w:r>
      <w:r>
        <w:rPr>
          <w:rFonts w:ascii="宋体" w:hAnsi="宋体" w:hint="eastAsia"/>
          <w:color w:val="000000"/>
        </w:rPr>
        <w:t>⑧可</w:t>
      </w:r>
      <w:r>
        <w:rPr>
          <w:rFonts w:hint="eastAsia"/>
          <w:color w:val="000000"/>
        </w:rPr>
        <w:t>表示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协助扩散或主动运输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，若表示协助扩散，</w:t>
      </w:r>
      <w:r>
        <w:rPr>
          <w:rFonts w:hint="eastAsia"/>
          <w:color w:val="000000"/>
        </w:rPr>
        <w:t>OP</w:t>
      </w:r>
      <w:r>
        <w:rPr>
          <w:rFonts w:hint="eastAsia"/>
          <w:color w:val="000000"/>
        </w:rPr>
        <w:t>段限制因素是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物质浓度</w:t>
      </w:r>
      <w:r>
        <w:rPr>
          <w:rFonts w:eastAsia="楷体_GB2312"/>
          <w:color w:val="FF0000"/>
          <w:u w:val="single" w:color="000000"/>
        </w:rPr>
        <w:t xml:space="preserve"> 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P</w:t>
      </w:r>
      <w:r>
        <w:rPr>
          <w:rFonts w:hint="eastAsia"/>
          <w:color w:val="000000"/>
        </w:rPr>
        <w:t>点后限制因素是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载体数量</w:t>
      </w:r>
      <w:r>
        <w:rPr>
          <w:rFonts w:hint="eastAsia"/>
          <w:color w:val="000000"/>
          <w:u w:val="single"/>
        </w:rPr>
        <w:t xml:space="preserve"> </w:t>
      </w:r>
      <w:r>
        <w:rPr>
          <w:rFonts w:hint="eastAsia"/>
          <w:color w:val="000000"/>
        </w:rPr>
        <w:t>；若表示主动运输，</w:t>
      </w:r>
      <w:r>
        <w:rPr>
          <w:rFonts w:hint="eastAsia"/>
          <w:color w:val="000000"/>
        </w:rPr>
        <w:t>OP</w:t>
      </w:r>
      <w:r>
        <w:rPr>
          <w:rFonts w:hint="eastAsia"/>
          <w:color w:val="000000"/>
        </w:rPr>
        <w:t>段限制因素是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物质浓度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P</w:t>
      </w:r>
      <w:r>
        <w:rPr>
          <w:rFonts w:hint="eastAsia"/>
          <w:color w:val="000000"/>
        </w:rPr>
        <w:t>点后限制因素是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载体数量或能量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A40D7C" w:rsidRDefault="000176A3">
      <w:pPr>
        <w:spacing w:line="330" w:lineRule="exact"/>
        <w:ind w:firstLineChars="80" w:firstLine="168"/>
        <w:rPr>
          <w:color w:val="000000"/>
        </w:rPr>
      </w:pPr>
      <w:r>
        <w:rPr>
          <w:rFonts w:hint="eastAsia"/>
          <w:color w:val="000000"/>
        </w:rPr>
        <w:t>(3)</w:t>
      </w:r>
      <w:r>
        <w:rPr>
          <w:color w:val="000000"/>
        </w:rPr>
        <w:t>图</w:t>
      </w:r>
      <w:r>
        <w:rPr>
          <w:rFonts w:hAnsi="宋体"/>
          <w:color w:val="000000"/>
        </w:rPr>
        <w:t>⑨</w:t>
      </w:r>
      <w:r>
        <w:rPr>
          <w:rFonts w:hAnsi="宋体" w:hint="eastAsia"/>
          <w:color w:val="000000"/>
        </w:rPr>
        <w:t>曲线</w:t>
      </w:r>
      <w:r>
        <w:rPr>
          <w:rFonts w:hAnsi="宋体"/>
          <w:color w:val="000000"/>
        </w:rPr>
        <w:t>运输速率与</w:t>
      </w:r>
      <w:r>
        <w:rPr>
          <w:color w:val="000000"/>
        </w:rPr>
        <w:t>O</w:t>
      </w:r>
      <w:r>
        <w:rPr>
          <w:color w:val="000000"/>
          <w:vertAlign w:val="subscript"/>
        </w:rPr>
        <w:t>2</w:t>
      </w:r>
      <w:r>
        <w:rPr>
          <w:rFonts w:hAnsi="宋体"/>
          <w:color w:val="000000"/>
        </w:rPr>
        <w:t>浓度无关，说明不消耗能量，</w:t>
      </w:r>
      <w:r>
        <w:rPr>
          <w:rFonts w:hAnsi="宋体" w:hint="eastAsia"/>
          <w:color w:val="000000"/>
        </w:rPr>
        <w:t>曲线</w:t>
      </w:r>
      <w:r>
        <w:rPr>
          <w:color w:val="000000"/>
        </w:rPr>
        <w:t>表示</w:t>
      </w:r>
      <w:r>
        <w:rPr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被动运输</w:t>
      </w:r>
      <w:r>
        <w:rPr>
          <w:color w:val="000000"/>
          <w:u w:val="single"/>
        </w:rPr>
        <w:t xml:space="preserve">  </w:t>
      </w:r>
      <w:r>
        <w:rPr>
          <w:color w:val="000000"/>
        </w:rPr>
        <w:t>。</w:t>
      </w:r>
    </w:p>
    <w:p w:rsidR="00A40D7C" w:rsidRDefault="000176A3">
      <w:pPr>
        <w:spacing w:line="330" w:lineRule="exact"/>
        <w:ind w:firstLineChars="80" w:firstLine="168"/>
        <w:rPr>
          <w:color w:val="000000"/>
        </w:rPr>
      </w:pPr>
      <w:r>
        <w:rPr>
          <w:rFonts w:hint="eastAsia"/>
          <w:color w:val="000000"/>
        </w:rPr>
        <w:t>(4)</w:t>
      </w:r>
      <w:r>
        <w:rPr>
          <w:rFonts w:hint="eastAsia"/>
          <w:color w:val="000000"/>
        </w:rPr>
        <w:t>图</w:t>
      </w:r>
      <w:r>
        <w:rPr>
          <w:rFonts w:ascii="宋体" w:hAnsi="宋体" w:hint="eastAsia"/>
          <w:color w:val="000000"/>
        </w:rPr>
        <w:t>⑩</w:t>
      </w:r>
      <w:r>
        <w:rPr>
          <w:rFonts w:hint="eastAsia"/>
          <w:color w:val="000000"/>
        </w:rPr>
        <w:t>表示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主动运输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OP</w:t>
      </w:r>
      <w:r>
        <w:rPr>
          <w:rFonts w:hint="eastAsia"/>
          <w:color w:val="000000"/>
        </w:rPr>
        <w:t>段限制因素是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O</w:t>
      </w:r>
      <w:r>
        <w:rPr>
          <w:rFonts w:eastAsia="楷体_GB2312"/>
          <w:color w:val="FF0000"/>
          <w:u w:val="single" w:color="000000"/>
          <w:vertAlign w:val="subscript"/>
        </w:rPr>
        <w:t>2</w:t>
      </w:r>
      <w:r>
        <w:rPr>
          <w:rFonts w:eastAsia="楷体_GB2312"/>
          <w:color w:val="FF0000"/>
          <w:u w:val="single" w:color="000000"/>
        </w:rPr>
        <w:t>浓度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P</w:t>
      </w:r>
      <w:r>
        <w:rPr>
          <w:rFonts w:hint="eastAsia"/>
          <w:color w:val="000000"/>
        </w:rPr>
        <w:t>点后限制因素是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载体数量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A40D7C" w:rsidRDefault="000176A3">
      <w:pPr>
        <w:spacing w:line="330" w:lineRule="exact"/>
        <w:ind w:firstLineChars="80" w:firstLine="168"/>
        <w:rPr>
          <w:color w:val="000000"/>
        </w:rPr>
      </w:pPr>
      <w:r>
        <w:rPr>
          <w:rFonts w:hint="eastAsia"/>
          <w:color w:val="000000"/>
        </w:rPr>
        <w:t>(5)</w:t>
      </w:r>
      <w:r>
        <w:rPr>
          <w:rFonts w:hint="eastAsia"/>
          <w:color w:val="000000"/>
        </w:rPr>
        <w:t>图</w:t>
      </w:r>
      <w:r>
        <w:rPr>
          <w:rFonts w:hint="eastAsia"/>
          <w:noProof/>
          <w:color w:val="000000"/>
        </w:rPr>
        <w:drawing>
          <wp:inline distT="0" distB="0" distL="114300" distR="114300" wp14:anchorId="4F5B5DC9" wp14:editId="7F29DA48">
            <wp:extent cx="142875" cy="142875"/>
            <wp:effectExtent l="0" t="0" r="9525" b="9525"/>
            <wp:docPr id="10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61258" name="图片 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曲线</w:t>
      </w:r>
      <w:r>
        <w:rPr>
          <w:rFonts w:hAnsi="宋体"/>
          <w:color w:val="000000"/>
        </w:rPr>
        <w:t>运输速率与</w:t>
      </w:r>
      <w:r>
        <w:rPr>
          <w:rFonts w:hAnsi="宋体" w:hint="eastAsia"/>
          <w:color w:val="000000"/>
        </w:rPr>
        <w:t>载体数量无关</w:t>
      </w:r>
      <w:r>
        <w:rPr>
          <w:rFonts w:hAnsi="宋体"/>
          <w:color w:val="000000"/>
        </w:rPr>
        <w:t>，说明不</w:t>
      </w:r>
      <w:r>
        <w:rPr>
          <w:rFonts w:hAnsi="宋体" w:hint="eastAsia"/>
          <w:color w:val="000000"/>
        </w:rPr>
        <w:t>需要载体</w:t>
      </w:r>
      <w:r>
        <w:rPr>
          <w:rFonts w:hAnsi="宋体"/>
          <w:color w:val="000000"/>
        </w:rPr>
        <w:t>，</w:t>
      </w:r>
      <w:r>
        <w:rPr>
          <w:rFonts w:hAnsi="宋体" w:hint="eastAsia"/>
          <w:color w:val="000000"/>
        </w:rPr>
        <w:t>曲线</w:t>
      </w:r>
      <w:r>
        <w:rPr>
          <w:color w:val="000000"/>
        </w:rPr>
        <w:t>表示</w:t>
      </w:r>
      <w:r>
        <w:rPr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自由扩散</w:t>
      </w:r>
      <w:r>
        <w:rPr>
          <w:color w:val="000000"/>
          <w:u w:val="single"/>
        </w:rPr>
        <w:t xml:space="preserve">  </w:t>
      </w:r>
      <w:r>
        <w:rPr>
          <w:color w:val="000000"/>
        </w:rPr>
        <w:t>。</w:t>
      </w:r>
    </w:p>
    <w:p w:rsidR="00A40D7C" w:rsidRDefault="000176A3">
      <w:pPr>
        <w:spacing w:line="330" w:lineRule="exact"/>
        <w:ind w:leftChars="80" w:left="273" w:hangingChars="50" w:hanging="105"/>
        <w:rPr>
          <w:color w:val="000000"/>
        </w:rPr>
      </w:pPr>
      <w:r>
        <w:rPr>
          <w:rFonts w:hint="eastAsia"/>
          <w:color w:val="000000"/>
        </w:rPr>
        <w:t>(6)</w:t>
      </w:r>
      <w:r>
        <w:rPr>
          <w:rFonts w:hint="eastAsia"/>
          <w:color w:val="000000"/>
        </w:rPr>
        <w:t>图</w:t>
      </w:r>
      <w:r>
        <w:rPr>
          <w:rFonts w:hint="eastAsia"/>
          <w:noProof/>
          <w:color w:val="000000"/>
        </w:rPr>
        <w:drawing>
          <wp:inline distT="0" distB="0" distL="114300" distR="114300" wp14:anchorId="03A7FC70" wp14:editId="5E8C06F6">
            <wp:extent cx="142875" cy="142875"/>
            <wp:effectExtent l="0" t="0" r="9525" b="9525"/>
            <wp:docPr id="9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086034" name="图片 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color w:val="000000"/>
        </w:rPr>
        <w:t>可</w:t>
      </w:r>
      <w:r>
        <w:rPr>
          <w:rFonts w:hint="eastAsia"/>
          <w:color w:val="000000"/>
        </w:rPr>
        <w:t>表示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协助扩散或主动运输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，若表示协助扩散，</w:t>
      </w:r>
      <w:r>
        <w:rPr>
          <w:rFonts w:hint="eastAsia"/>
          <w:color w:val="000000"/>
        </w:rPr>
        <w:t>OP</w:t>
      </w:r>
      <w:r>
        <w:rPr>
          <w:rFonts w:hint="eastAsia"/>
          <w:color w:val="000000"/>
        </w:rPr>
        <w:t>段限制因素是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载体数量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P</w:t>
      </w:r>
      <w:r>
        <w:rPr>
          <w:rFonts w:hint="eastAsia"/>
          <w:color w:val="000000"/>
        </w:rPr>
        <w:t>点后载体达到饱和状态，运输速率达最大值；若表示主动运输，</w:t>
      </w:r>
      <w:r>
        <w:rPr>
          <w:rFonts w:hint="eastAsia"/>
          <w:color w:val="000000"/>
        </w:rPr>
        <w:t>OP</w:t>
      </w:r>
      <w:r>
        <w:rPr>
          <w:rFonts w:hint="eastAsia"/>
          <w:color w:val="000000"/>
        </w:rPr>
        <w:t>段限制因素是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载体数量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P</w:t>
      </w:r>
      <w:r>
        <w:rPr>
          <w:rFonts w:hint="eastAsia"/>
          <w:color w:val="000000"/>
        </w:rPr>
        <w:t>点后限制因素</w:t>
      </w:r>
      <w:r>
        <w:rPr>
          <w:rFonts w:hint="eastAsia"/>
          <w:color w:val="000000"/>
        </w:rPr>
        <w:lastRenderedPageBreak/>
        <w:t>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能量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A40D7C" w:rsidRDefault="000176A3">
      <w:pPr>
        <w:spacing w:line="330" w:lineRule="exact"/>
        <w:ind w:leftChars="80" w:left="273" w:hangingChars="50" w:hanging="105"/>
        <w:rPr>
          <w:color w:val="000000"/>
        </w:rPr>
      </w:pPr>
      <w:r>
        <w:rPr>
          <w:rFonts w:hint="eastAsia"/>
          <w:color w:val="000000"/>
        </w:rPr>
        <w:t>(7)</w:t>
      </w:r>
      <w:r>
        <w:rPr>
          <w:rFonts w:hint="eastAsia"/>
          <w:color w:val="000000"/>
        </w:rPr>
        <w:t>图</w:t>
      </w:r>
      <w:r>
        <w:rPr>
          <w:rFonts w:hint="eastAsia"/>
          <w:noProof/>
          <w:color w:val="000000"/>
        </w:rPr>
        <w:drawing>
          <wp:inline distT="0" distB="0" distL="114300" distR="114300" wp14:anchorId="3CF40700" wp14:editId="78BD5999">
            <wp:extent cx="144145" cy="144145"/>
            <wp:effectExtent l="0" t="0" r="8255" b="8255"/>
            <wp:docPr id="11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73579" name="图片 2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>表示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主动运输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，虚线下表示物质从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高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color w:val="000000"/>
        </w:rPr>
        <w:t>浓度到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低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color w:val="000000"/>
        </w:rPr>
        <w:t>浓度运输，虚线上表示物质从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低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color w:val="000000"/>
        </w:rPr>
        <w:t>浓度到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eastAsia="楷体_GB2312" w:hint="eastAsia"/>
          <w:color w:val="FF0000"/>
          <w:u w:val="single" w:color="000000"/>
        </w:rPr>
        <w:t>高</w:t>
      </w:r>
      <w:r>
        <w:rPr>
          <w:rFonts w:eastAsia="楷体_GB2312" w:hint="eastAsia"/>
          <w:color w:val="FF0000"/>
          <w:u w:val="single" w:color="000000"/>
        </w:rPr>
        <w:t xml:space="preserve"> </w:t>
      </w:r>
      <w:r>
        <w:rPr>
          <w:rFonts w:hint="eastAsia"/>
          <w:color w:val="000000"/>
        </w:rPr>
        <w:t>浓度运输，</w:t>
      </w:r>
      <w:r>
        <w:rPr>
          <w:rFonts w:hint="eastAsia"/>
          <w:color w:val="000000"/>
        </w:rPr>
        <w:t>P</w:t>
      </w:r>
      <w:r>
        <w:rPr>
          <w:rFonts w:hint="eastAsia"/>
          <w:color w:val="000000"/>
        </w:rPr>
        <w:t>点后限制因素是</w:t>
      </w:r>
      <w:r>
        <w:rPr>
          <w:rFonts w:hint="eastAsia"/>
          <w:color w:val="000000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载体数量或能量</w:t>
      </w:r>
      <w:r>
        <w:rPr>
          <w:rFonts w:hint="eastAsia"/>
          <w:color w:val="000000"/>
          <w:u w:val="single"/>
        </w:rPr>
        <w:t xml:space="preserve">  </w:t>
      </w:r>
      <w:r>
        <w:rPr>
          <w:rFonts w:hint="eastAsia"/>
          <w:color w:val="000000"/>
        </w:rPr>
        <w:t>。</w:t>
      </w:r>
    </w:p>
    <w:p w:rsidR="00A40D7C" w:rsidRDefault="000176A3">
      <w:pPr>
        <w:spacing w:line="330" w:lineRule="exact"/>
        <w:rPr>
          <w:b/>
        </w:rPr>
      </w:pPr>
      <w:r>
        <w:rPr>
          <w:rFonts w:hint="eastAsia"/>
          <w:b/>
        </w:rPr>
        <w:t xml:space="preserve">5. </w:t>
      </w:r>
      <w:r>
        <w:rPr>
          <w:rFonts w:hint="eastAsia"/>
          <w:b/>
        </w:rPr>
        <w:t>载</w:t>
      </w:r>
      <w:r>
        <w:rPr>
          <w:rFonts w:ascii="宋体" w:hAnsi="宋体" w:hint="eastAsia"/>
          <w:b/>
        </w:rPr>
        <w:t>体(蛋白)</w:t>
      </w:r>
      <w:r>
        <w:rPr>
          <w:rFonts w:hint="eastAsia"/>
          <w:b/>
        </w:rPr>
        <w:t>的特性</w:t>
      </w:r>
    </w:p>
    <w:p w:rsidR="00A40D7C" w:rsidRDefault="000176A3">
      <w:pPr>
        <w:spacing w:line="330" w:lineRule="exact"/>
        <w:ind w:firstLineChars="80" w:firstLine="168"/>
      </w:pPr>
      <w:r>
        <w:rPr>
          <w:rFonts w:hint="eastAsia"/>
        </w:rPr>
        <w:t>(1)</w:t>
      </w:r>
      <w:r>
        <w:rPr>
          <w:rFonts w:hint="eastAsia"/>
        </w:rPr>
        <w:t>特异性：一种载体只能转运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一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种特定结构的物质，不同细胞膜上载体的种类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不同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。</w:t>
      </w:r>
    </w:p>
    <w:p w:rsidR="00A40D7C" w:rsidRDefault="000176A3">
      <w:pPr>
        <w:spacing w:line="330" w:lineRule="exact"/>
        <w:ind w:leftChars="80" w:left="273" w:hangingChars="50" w:hanging="105"/>
      </w:pPr>
      <w:r>
        <w:rPr>
          <w:rFonts w:hint="eastAsia"/>
        </w:rPr>
        <w:t>(2)</w:t>
      </w:r>
      <w:r>
        <w:rPr>
          <w:rFonts w:hint="eastAsia"/>
        </w:rPr>
        <w:t>饱和性：当细胞膜上的载体全部参与物质运输后，细胞运输该物质的速率达</w:t>
      </w:r>
      <w:r>
        <w:rPr>
          <w:rFonts w:hint="eastAsia"/>
          <w:u w:val="single"/>
        </w:rPr>
        <w:t xml:space="preserve">  </w:t>
      </w:r>
      <w:r>
        <w:rPr>
          <w:rFonts w:eastAsia="楷体_GB2312"/>
          <w:color w:val="FF0000"/>
          <w:u w:val="single" w:color="000000"/>
        </w:rPr>
        <w:t>最大值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，不再随物质浓度的增大而增大。</w:t>
      </w:r>
    </w:p>
    <w:p w:rsidR="00A40D7C" w:rsidRDefault="00A40D7C">
      <w:pPr>
        <w:spacing w:beforeLines="20" w:before="62" w:afterLines="20" w:after="62" w:line="340" w:lineRule="exact"/>
        <w:rPr>
          <w:rFonts w:ascii="方正姚体" w:eastAsia="方正姚体" w:hAnsi="宋体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A40D7C" w:rsidRDefault="00A40D7C">
      <w:pPr>
        <w:sectPr w:rsidR="00A40D7C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:rsidR="00EB5CD4" w:rsidRDefault="00EB5CD4" w:rsidP="00390C06">
      <w:bookmarkStart w:id="0" w:name="_GoBack"/>
      <w:bookmarkEnd w:id="0"/>
    </w:p>
    <w:sectPr w:rsidR="00EB5CD4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2D01" w:rsidRDefault="000176A3">
      <w:r>
        <w:separator/>
      </w:r>
    </w:p>
  </w:endnote>
  <w:endnote w:type="continuationSeparator" w:id="0">
    <w:p w:rsidR="006F2D01" w:rsidRDefault="00017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2D01" w:rsidRDefault="000176A3">
      <w:r>
        <w:separator/>
      </w:r>
    </w:p>
  </w:footnote>
  <w:footnote w:type="continuationSeparator" w:id="0">
    <w:p w:rsidR="006F2D01" w:rsidRDefault="000176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E4106D2"/>
    <w:multiLevelType w:val="singleLevel"/>
    <w:tmpl w:val="AE4106D2"/>
    <w:lvl w:ilvl="0">
      <w:start w:val="4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5E5B3C"/>
    <w:rsid w:val="000176A3"/>
    <w:rsid w:val="00372890"/>
    <w:rsid w:val="00390C06"/>
    <w:rsid w:val="006F2D01"/>
    <w:rsid w:val="00A40D7C"/>
    <w:rsid w:val="00B32A6D"/>
    <w:rsid w:val="00EB5CD4"/>
    <w:rsid w:val="203B2469"/>
    <w:rsid w:val="495E5B3C"/>
    <w:rsid w:val="5A857F72"/>
    <w:rsid w:val="7D3C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0176A3"/>
    <w:rPr>
      <w:sz w:val="18"/>
      <w:szCs w:val="18"/>
    </w:rPr>
  </w:style>
  <w:style w:type="character" w:customStyle="1" w:styleId="Char">
    <w:name w:val="批注框文本 Char"/>
    <w:basedOn w:val="a0"/>
    <w:link w:val="a3"/>
    <w:rsid w:val="000176A3"/>
    <w:rPr>
      <w:rFonts w:ascii="Times New Roman" w:eastAsia="宋体" w:hAnsi="Times New Roman" w:cs="Times New Roman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0176A3"/>
    <w:rPr>
      <w:sz w:val="18"/>
      <w:szCs w:val="18"/>
    </w:rPr>
  </w:style>
  <w:style w:type="character" w:customStyle="1" w:styleId="Char">
    <w:name w:val="批注框文本 Char"/>
    <w:basedOn w:val="a0"/>
    <w:link w:val="a3"/>
    <w:rsid w:val="000176A3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178</Words>
  <Characters>1017</Characters>
  <Application>Microsoft Office Word</Application>
  <DocSecurity>0</DocSecurity>
  <Lines>8</Lines>
  <Paragraphs>2</Paragraphs>
  <ScaleCrop>false</ScaleCrop>
  <Manager> </Manager>
  <Company> </Company>
  <LinksUpToDate>false</LinksUpToDate>
  <CharactersWithSpaces>1193</CharactersWithSpaces>
  <SharedDoc>false</SharedDoc>
  <HyperlinkBase> 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格谦教育收集整理</dc:title>
  <dc:subject> </dc:subject>
  <dc:creator> </dc:creator>
  <cp:keywords> </cp:keywords>
  <dc:description> </dc:description>
  <cp:lastModifiedBy>微软用户</cp:lastModifiedBy>
  <cp:revision>5</cp:revision>
  <dcterms:created xsi:type="dcterms:W3CDTF">2021-11-30T08:52:00Z</dcterms:created>
  <dcterms:modified xsi:type="dcterms:W3CDTF">2022-04-26T00:25:00Z</dcterms:modified>
  <cp:category> </cp:category>
</cp:coreProperties>
</file>