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b/>
          <w:color w:val="000000"/>
          <w:sz w:val="36"/>
        </w:rPr>
        <w:t>Report 1 - Proposal Tema dan Inisiasi Repository</w:t>
      </w:r>
    </w:p>
    <w:p>
      <w:pPr>
        <w:pStyle w:val="Heading2"/>
      </w:pPr>
      <w:r>
        <w:rPr>
          <w:rFonts w:ascii="Arial" w:hAnsi="Arial"/>
          <w:b/>
          <w:color w:val="000000"/>
          <w:sz w:val="28"/>
        </w:rPr>
        <w:t>1. Judul Proposal</w:t>
      </w:r>
    </w:p>
    <w:p>
      <w:pPr>
        <w:pStyle w:val="BodyText"/>
      </w:pPr>
      <w:r>
        <w:rPr>
          <w:rFonts w:ascii="Arial" w:hAnsi="Arial"/>
          <w:b/>
          <w:color w:val="000000"/>
          <w:sz w:val="21"/>
        </w:rPr>
        <w:t>Retail Enterprise Integration: Rancangan Integrasi POS, Inventory, dan Accounting Menggunakan Microservices, RabbitMQ, dan Enterprise Integration Patterns</w:t>
      </w:r>
    </w:p>
    <w:p>
      <w:pPr>
        <w:pStyle w:val="Heading2"/>
      </w:pPr>
      <w:r>
        <w:rPr>
          <w:rFonts w:ascii="Arial" w:hAnsi="Arial"/>
          <w:b/>
          <w:color w:val="000000"/>
          <w:sz w:val="28"/>
        </w:rPr>
        <w:t>2. Latar Belakang</w:t>
      </w:r>
    </w:p>
    <w:p>
      <w:pPr>
        <w:pStyle w:val="BodyText"/>
      </w:pPr>
      <w:r>
        <w:rPr>
          <w:rFonts w:ascii="Arial" w:hAnsi="Arial"/>
          <w:color w:val="000000"/>
          <w:sz w:val="21"/>
        </w:rPr>
        <w:t>Dalam organisasi retail, aplikasi Point of Sales, Inventory, dan Accounting sering memiliki peran yang berbeda. POS digunakan untuk mencatat transaksi penjualan, Inventory digunakan untuk mengelola stok, sedangkan Accounting digunakan untuk mencatat transaksi keuangan. Jika sistem-sistem tersebut berjalan terpisah tanpa integrasi, data transaksi harus dipindahkan secara manual atau melalui proses yang tidak konsisten.</w:t>
      </w:r>
    </w:p>
    <w:p>
      <w:pPr>
        <w:pStyle w:val="BodyText"/>
      </w:pPr>
      <w:r>
        <w:rPr>
          <w:rFonts w:ascii="Arial" w:hAnsi="Arial"/>
          <w:color w:val="000000"/>
          <w:sz w:val="21"/>
        </w:rPr>
        <w:t>Masalah utama yang ingin diselesaikan adalah information silo, yaitu kondisi ketika data penting tersimpan pada aplikasi masing-masing dan tidak otomatis mengalir ke sistem lain. Dalam konteks integrasi enterprise, pola integrasi berbasis pesan dapat digunakan untuk menghubungkan beberapa aplikasi yang berbeda tanpa membuat aplikasi saling bergantung secara langsung (Hohpe &amp; Woolf, 2003). Oleh karena itu, proyek ini mengusulkan rancangan integrasi yang memungkinkan transaksi dari POS mengalir ke Inventory dan Accounting melalui integration layer.</w:t>
      </w:r>
    </w:p>
    <w:p>
      <w:pPr>
        <w:pStyle w:val="BodyText"/>
      </w:pPr>
      <w:r>
        <w:rPr>
          <w:rFonts w:ascii="Arial" w:hAnsi="Arial"/>
          <w:color w:val="000000"/>
          <w:sz w:val="21"/>
        </w:rPr>
        <w:t xml:space="preserve">Pendekatan yang direncanakan adalah event-driven integration dengan RabbitMQ sebagai message broker. RabbitMQ mendukung pola publish/subscribe, yaitu satu producer dapat menerbitkan pesan dan pesan tersebut dapat diterima oleh consumer melalui mekanisme exchange dan queue (RabbitMQ, n.d.). Dalam rancangan ini, POS Service akan menerbitkan event </w:t>
      </w:r>
      <w:r>
        <w:rPr>
          <w:rFonts w:ascii="Courier New" w:hAnsi="Courier New"/>
          <w:color w:val="000000"/>
          <w:sz w:val="18"/>
        </w:rPr>
        <w:t>sale.created</w:t>
      </w:r>
      <w:r>
        <w:rPr>
          <w:rFonts w:ascii="Arial" w:hAnsi="Arial"/>
          <w:color w:val="000000"/>
          <w:sz w:val="21"/>
        </w:rPr>
        <w:t>, lalu Integration Service akan meneruskan data tersebut ke Inventory Service dan Accounting Service.</w:t>
      </w:r>
    </w:p>
    <w:p>
      <w:pPr>
        <w:pStyle w:val="BodyText"/>
      </w:pPr>
      <w:r>
        <w:rPr>
          <w:rFonts w:ascii="Arial" w:hAnsi="Arial"/>
          <w:color w:val="000000"/>
          <w:sz w:val="21"/>
        </w:rPr>
        <w:t>Setiap aplikasi utama juga dirancang memiliki database sendiri. Prinsip ini mengikuti pendekatan database per service, yaitu data milik satu service dikelola secara privat oleh service tersebut dan tidak diakses langsung oleh service lain (Richardson, n.d.). Dengan demikian, POS Service tidak akan mengubah database Inventory atau Accounting secara langsung. Komunikasi antar sistem dilakukan melalui API, event, dan integration layer.</w:t>
      </w:r>
    </w:p>
    <w:p>
      <w:pPr>
        <w:pStyle w:val="Heading2"/>
      </w:pPr>
      <w:r>
        <w:rPr>
          <w:rFonts w:ascii="Arial" w:hAnsi="Arial"/>
          <w:b/>
          <w:color w:val="000000"/>
          <w:sz w:val="28"/>
        </w:rPr>
        <w:t>3. Tema yang Dipilih</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rFonts w:ascii="Arial" w:hAnsi="Arial"/>
                <w:b/>
                <w:color w:val="000000"/>
                <w:sz w:val="18"/>
              </w:rPr>
              <w:t>Item</w:t>
            </w:r>
          </w:p>
        </w:tc>
        <w:tc>
          <w:tcPr>
            <w:tcW w:type="dxa" w:w="4968"/>
          </w:tcPr>
          <w:p>
            <w:r>
              <w:rPr>
                <w:rFonts w:ascii="Arial" w:hAnsi="Arial"/>
                <w:b/>
                <w:color w:val="000000"/>
                <w:sz w:val="18"/>
              </w:rPr>
              <w:t>Keterangan</w:t>
            </w:r>
          </w:p>
        </w:tc>
      </w:tr>
      <w:tr>
        <w:tc>
          <w:tcPr>
            <w:tcW w:type="dxa" w:w="4968"/>
          </w:tcPr>
          <w:p>
            <w:r>
              <w:rPr>
                <w:rFonts w:ascii="Arial" w:hAnsi="Arial"/>
                <w:color w:val="000000"/>
                <w:sz w:val="18"/>
              </w:rPr>
              <w:t>Tema</w:t>
            </w:r>
          </w:p>
        </w:tc>
        <w:tc>
          <w:tcPr>
            <w:tcW w:type="dxa" w:w="4968"/>
          </w:tcPr>
          <w:p>
            <w:r>
              <w:rPr>
                <w:rFonts w:ascii="Arial" w:hAnsi="Arial"/>
                <w:color w:val="000000"/>
                <w:sz w:val="18"/>
              </w:rPr>
              <w:t>Retail Enterprise Integration</w:t>
            </w:r>
          </w:p>
        </w:tc>
      </w:tr>
      <w:tr>
        <w:tc>
          <w:tcPr>
            <w:tcW w:type="dxa" w:w="4968"/>
          </w:tcPr>
          <w:p>
            <w:r>
              <w:rPr>
                <w:rFonts w:ascii="Arial" w:hAnsi="Arial"/>
                <w:color w:val="000000"/>
                <w:sz w:val="18"/>
              </w:rPr>
              <w:t>Domain</w:t>
            </w:r>
          </w:p>
        </w:tc>
        <w:tc>
          <w:tcPr>
            <w:tcW w:type="dxa" w:w="4968"/>
          </w:tcPr>
          <w:p>
            <w:r>
              <w:rPr>
                <w:rFonts w:ascii="Arial" w:hAnsi="Arial"/>
                <w:color w:val="000000"/>
                <w:sz w:val="18"/>
              </w:rPr>
              <w:t>Sistem retail sederhana</w:t>
            </w:r>
          </w:p>
        </w:tc>
      </w:tr>
      <w:tr>
        <w:tc>
          <w:tcPr>
            <w:tcW w:type="dxa" w:w="4968"/>
          </w:tcPr>
          <w:p>
            <w:r>
              <w:rPr>
                <w:rFonts w:ascii="Arial" w:hAnsi="Arial"/>
                <w:color w:val="000000"/>
                <w:sz w:val="18"/>
              </w:rPr>
              <w:t>Fokus integrasi</w:t>
            </w:r>
          </w:p>
        </w:tc>
        <w:tc>
          <w:tcPr>
            <w:tcW w:type="dxa" w:w="4968"/>
          </w:tcPr>
          <w:p>
            <w:r>
              <w:rPr>
                <w:rFonts w:ascii="Arial" w:hAnsi="Arial"/>
                <w:color w:val="000000"/>
                <w:sz w:val="18"/>
              </w:rPr>
              <w:t>POS, Inventory, dan Accounting</w:t>
            </w:r>
          </w:p>
        </w:tc>
      </w:tr>
      <w:tr>
        <w:tc>
          <w:tcPr>
            <w:tcW w:type="dxa" w:w="4968"/>
          </w:tcPr>
          <w:p>
            <w:r>
              <w:rPr>
                <w:rFonts w:ascii="Arial" w:hAnsi="Arial"/>
                <w:color w:val="000000"/>
                <w:sz w:val="18"/>
              </w:rPr>
              <w:t>Model integrasi</w:t>
            </w:r>
          </w:p>
        </w:tc>
        <w:tc>
          <w:tcPr>
            <w:tcW w:type="dxa" w:w="4968"/>
          </w:tcPr>
          <w:p>
            <w:r>
              <w:rPr>
                <w:rFonts w:ascii="Arial" w:hAnsi="Arial"/>
                <w:color w:val="000000"/>
                <w:sz w:val="18"/>
              </w:rPr>
              <w:t>Event-driven integration</w:t>
            </w:r>
          </w:p>
        </w:tc>
      </w:tr>
      <w:tr>
        <w:tc>
          <w:tcPr>
            <w:tcW w:type="dxa" w:w="4968"/>
          </w:tcPr>
          <w:p>
            <w:r>
              <w:rPr>
                <w:rFonts w:ascii="Arial" w:hAnsi="Arial"/>
                <w:color w:val="000000"/>
                <w:sz w:val="18"/>
              </w:rPr>
              <w:t>Message broker yang direncanakan</w:t>
            </w:r>
          </w:p>
        </w:tc>
        <w:tc>
          <w:tcPr>
            <w:tcW w:type="dxa" w:w="4968"/>
          </w:tcPr>
          <w:p>
            <w:r>
              <w:rPr>
                <w:rFonts w:ascii="Arial" w:hAnsi="Arial"/>
                <w:color w:val="000000"/>
                <w:sz w:val="18"/>
              </w:rPr>
              <w:t>RabbitMQ</w:t>
            </w:r>
          </w:p>
        </w:tc>
      </w:tr>
      <w:tr>
        <w:tc>
          <w:tcPr>
            <w:tcW w:type="dxa" w:w="4968"/>
          </w:tcPr>
          <w:p>
            <w:r>
              <w:rPr>
                <w:rFonts w:ascii="Arial" w:hAnsi="Arial"/>
                <w:color w:val="000000"/>
                <w:sz w:val="18"/>
              </w:rPr>
              <w:t>Orkestrasi yang direncanakan</w:t>
            </w:r>
          </w:p>
        </w:tc>
        <w:tc>
          <w:tcPr>
            <w:tcW w:type="dxa" w:w="4968"/>
          </w:tcPr>
          <w:p>
            <w:r>
              <w:rPr>
                <w:rFonts w:ascii="Arial" w:hAnsi="Arial"/>
                <w:color w:val="000000"/>
                <w:sz w:val="18"/>
              </w:rPr>
              <w:t>Docker Compose</w:t>
            </w:r>
          </w:p>
        </w:tc>
      </w:tr>
      <w:tr>
        <w:tc>
          <w:tcPr>
            <w:tcW w:type="dxa" w:w="4968"/>
          </w:tcPr>
          <w:p>
            <w:r>
              <w:rPr>
                <w:rFonts w:ascii="Arial" w:hAnsi="Arial"/>
                <w:color w:val="000000"/>
                <w:sz w:val="18"/>
              </w:rPr>
              <w:t>Dokumentasi API yang direncanakan</w:t>
            </w:r>
          </w:p>
        </w:tc>
        <w:tc>
          <w:tcPr>
            <w:tcW w:type="dxa" w:w="4968"/>
          </w:tcPr>
          <w:p>
            <w:r>
              <w:rPr>
                <w:rFonts w:ascii="Arial" w:hAnsi="Arial"/>
                <w:color w:val="000000"/>
                <w:sz w:val="18"/>
              </w:rPr>
              <w:t>Swagger/OpenAPI</w:t>
            </w:r>
          </w:p>
        </w:tc>
      </w:tr>
    </w:tbl>
    <w:p/>
    <w:p>
      <w:pPr>
        <w:pStyle w:val="BodyText"/>
      </w:pPr>
      <w:r>
        <w:rPr>
          <w:rFonts w:ascii="Arial" w:hAnsi="Arial"/>
          <w:color w:val="000000"/>
          <w:sz w:val="21"/>
        </w:rPr>
        <w:t>Tema retail dipilih karena alur bisnisnya mudah dipahami dan cocok untuk menunjukkan integrasi enterprise. Satu transaksi penjualan dari POS dapat menjadi business event yang memicu perubahan pada sistem lain, yaitu pengurangan stok pada Inventory dan pencatatan jurnal pada Accounting.</w:t>
      </w:r>
    </w:p>
    <w:p>
      <w:pPr>
        <w:pStyle w:val="Heading2"/>
      </w:pPr>
      <w:r>
        <w:rPr>
          <w:rFonts w:ascii="Arial" w:hAnsi="Arial"/>
          <w:b/>
          <w:color w:val="000000"/>
          <w:sz w:val="28"/>
        </w:rPr>
        <w:t>4. Daftar Aplikasi yang Akan Diintegrasikan</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tcPr>
          <w:p>
            <w:r>
              <w:rPr>
                <w:rFonts w:ascii="Arial" w:hAnsi="Arial"/>
                <w:b/>
                <w:color w:val="000000"/>
                <w:sz w:val="18"/>
              </w:rPr>
              <w:t>No</w:t>
            </w:r>
          </w:p>
        </w:tc>
        <w:tc>
          <w:tcPr>
            <w:tcW w:type="dxa" w:w="1987"/>
          </w:tcPr>
          <w:p>
            <w:r>
              <w:rPr>
                <w:rFonts w:ascii="Arial" w:hAnsi="Arial"/>
                <w:b/>
                <w:color w:val="000000"/>
                <w:sz w:val="18"/>
              </w:rPr>
              <w:t>Aplikasi</w:t>
            </w:r>
          </w:p>
        </w:tc>
        <w:tc>
          <w:tcPr>
            <w:tcW w:type="dxa" w:w="1987"/>
          </w:tcPr>
          <w:p>
            <w:r>
              <w:rPr>
                <w:rFonts w:ascii="Arial" w:hAnsi="Arial"/>
                <w:b/>
                <w:color w:val="000000"/>
                <w:sz w:val="18"/>
              </w:rPr>
              <w:t>Fungsi Utama</w:t>
            </w:r>
          </w:p>
        </w:tc>
        <w:tc>
          <w:tcPr>
            <w:tcW w:type="dxa" w:w="1987"/>
          </w:tcPr>
          <w:p>
            <w:r>
              <w:rPr>
                <w:rFonts w:ascii="Arial" w:hAnsi="Arial"/>
                <w:b/>
                <w:color w:val="000000"/>
                <w:sz w:val="18"/>
              </w:rPr>
              <w:t>Database yang Direncanakan</w:t>
            </w:r>
          </w:p>
        </w:tc>
        <w:tc>
          <w:tcPr>
            <w:tcW w:type="dxa" w:w="1987"/>
          </w:tcPr>
          <w:p>
            <w:r>
              <w:rPr>
                <w:rFonts w:ascii="Arial" w:hAnsi="Arial"/>
                <w:b/>
                <w:color w:val="000000"/>
                <w:sz w:val="18"/>
              </w:rPr>
              <w:t>Endpoint yang Direncanakan</w:t>
            </w:r>
          </w:p>
        </w:tc>
      </w:tr>
      <w:tr>
        <w:tc>
          <w:tcPr>
            <w:tcW w:type="dxa" w:w="1987"/>
          </w:tcPr>
          <w:p>
            <w:r>
              <w:rPr>
                <w:rFonts w:ascii="Arial" w:hAnsi="Arial"/>
                <w:color w:val="000000"/>
                <w:sz w:val="18"/>
              </w:rPr>
              <w:t>1</w:t>
            </w:r>
          </w:p>
        </w:tc>
        <w:tc>
          <w:tcPr>
            <w:tcW w:type="dxa" w:w="1987"/>
          </w:tcPr>
          <w:p>
            <w:r>
              <w:rPr>
                <w:rFonts w:ascii="Arial" w:hAnsi="Arial"/>
                <w:color w:val="000000"/>
                <w:sz w:val="18"/>
              </w:rPr>
              <w:t>POS Service</w:t>
            </w:r>
          </w:p>
        </w:tc>
        <w:tc>
          <w:tcPr>
            <w:tcW w:type="dxa" w:w="1987"/>
          </w:tcPr>
          <w:p>
            <w:r>
              <w:rPr>
                <w:rFonts w:ascii="Arial" w:hAnsi="Arial"/>
                <w:color w:val="000000"/>
                <w:sz w:val="18"/>
              </w:rPr>
              <w:t>Mencatat transaksi penjualan dan menerbitkan event penjualan</w:t>
            </w:r>
          </w:p>
        </w:tc>
        <w:tc>
          <w:tcPr>
            <w:tcW w:type="dxa" w:w="1987"/>
          </w:tcPr>
          <w:p>
            <w:r>
              <w:rPr>
                <w:rFonts w:ascii="Arial" w:hAnsi="Arial"/>
                <w:color w:val="000000"/>
                <w:sz w:val="18"/>
              </w:rPr>
              <w:t>pos.db</w:t>
            </w:r>
          </w:p>
        </w:tc>
        <w:tc>
          <w:tcPr>
            <w:tcW w:type="dxa" w:w="1987"/>
          </w:tcPr>
          <w:p>
            <w:r>
              <w:rPr>
                <w:rFonts w:ascii="Arial" w:hAnsi="Arial"/>
                <w:color w:val="000000"/>
                <w:sz w:val="18"/>
              </w:rPr>
              <w:t>POST /sales, GET /sales</w:t>
            </w:r>
          </w:p>
        </w:tc>
      </w:tr>
      <w:tr>
        <w:tc>
          <w:tcPr>
            <w:tcW w:type="dxa" w:w="1987"/>
          </w:tcPr>
          <w:p>
            <w:r>
              <w:rPr>
                <w:rFonts w:ascii="Arial" w:hAnsi="Arial"/>
                <w:color w:val="000000"/>
                <w:sz w:val="18"/>
              </w:rPr>
              <w:t>2</w:t>
            </w:r>
          </w:p>
        </w:tc>
        <w:tc>
          <w:tcPr>
            <w:tcW w:type="dxa" w:w="1987"/>
          </w:tcPr>
          <w:p>
            <w:r>
              <w:rPr>
                <w:rFonts w:ascii="Arial" w:hAnsi="Arial"/>
                <w:color w:val="000000"/>
                <w:sz w:val="18"/>
              </w:rPr>
              <w:t>Inventory Service</w:t>
            </w:r>
          </w:p>
        </w:tc>
        <w:tc>
          <w:tcPr>
            <w:tcW w:type="dxa" w:w="1987"/>
          </w:tcPr>
          <w:p>
            <w:r>
              <w:rPr>
                <w:rFonts w:ascii="Arial" w:hAnsi="Arial"/>
                <w:color w:val="000000"/>
                <w:sz w:val="18"/>
              </w:rPr>
              <w:t>Mengelola data produk, stok, dan pergerakan stok</w:t>
            </w:r>
          </w:p>
        </w:tc>
        <w:tc>
          <w:tcPr>
            <w:tcW w:type="dxa" w:w="1987"/>
          </w:tcPr>
          <w:p>
            <w:r>
              <w:rPr>
                <w:rFonts w:ascii="Arial" w:hAnsi="Arial"/>
                <w:color w:val="000000"/>
                <w:sz w:val="18"/>
              </w:rPr>
              <w:t>inventory.db</w:t>
            </w:r>
          </w:p>
        </w:tc>
        <w:tc>
          <w:tcPr>
            <w:tcW w:type="dxa" w:w="1987"/>
          </w:tcPr>
          <w:p>
            <w:r>
              <w:rPr>
                <w:rFonts w:ascii="Arial" w:hAnsi="Arial"/>
                <w:color w:val="000000"/>
                <w:sz w:val="18"/>
              </w:rPr>
              <w:t>GET /products, POST /stock/reduce</w:t>
            </w:r>
          </w:p>
        </w:tc>
      </w:tr>
      <w:tr>
        <w:tc>
          <w:tcPr>
            <w:tcW w:type="dxa" w:w="1987"/>
          </w:tcPr>
          <w:p>
            <w:r>
              <w:rPr>
                <w:rFonts w:ascii="Arial" w:hAnsi="Arial"/>
                <w:color w:val="000000"/>
                <w:sz w:val="18"/>
              </w:rPr>
              <w:t>3</w:t>
            </w:r>
          </w:p>
        </w:tc>
        <w:tc>
          <w:tcPr>
            <w:tcW w:type="dxa" w:w="1987"/>
          </w:tcPr>
          <w:p>
            <w:r>
              <w:rPr>
                <w:rFonts w:ascii="Arial" w:hAnsi="Arial"/>
                <w:color w:val="000000"/>
                <w:sz w:val="18"/>
              </w:rPr>
              <w:t>Accounting Service</w:t>
            </w:r>
          </w:p>
        </w:tc>
        <w:tc>
          <w:tcPr>
            <w:tcW w:type="dxa" w:w="1987"/>
          </w:tcPr>
          <w:p>
            <w:r>
              <w:rPr>
                <w:rFonts w:ascii="Arial" w:hAnsi="Arial"/>
                <w:color w:val="000000"/>
                <w:sz w:val="18"/>
              </w:rPr>
              <w:t>Mencatat jurnal transaksi penjualan</w:t>
            </w:r>
          </w:p>
        </w:tc>
        <w:tc>
          <w:tcPr>
            <w:tcW w:type="dxa" w:w="1987"/>
          </w:tcPr>
          <w:p>
            <w:r>
              <w:rPr>
                <w:rFonts w:ascii="Arial" w:hAnsi="Arial"/>
                <w:color w:val="000000"/>
                <w:sz w:val="18"/>
              </w:rPr>
              <w:t>accounting.db</w:t>
            </w:r>
          </w:p>
        </w:tc>
        <w:tc>
          <w:tcPr>
            <w:tcW w:type="dxa" w:w="1987"/>
          </w:tcPr>
          <w:p>
            <w:r>
              <w:rPr>
                <w:rFonts w:ascii="Arial" w:hAnsi="Arial"/>
                <w:color w:val="000000"/>
                <w:sz w:val="18"/>
              </w:rPr>
              <w:t>POST /journals, GET /journals</w:t>
            </w:r>
          </w:p>
        </w:tc>
      </w:tr>
      <w:tr>
        <w:tc>
          <w:tcPr>
            <w:tcW w:type="dxa" w:w="1987"/>
          </w:tcPr>
          <w:p>
            <w:r>
              <w:rPr>
                <w:rFonts w:ascii="Arial" w:hAnsi="Arial"/>
                <w:color w:val="000000"/>
                <w:sz w:val="18"/>
              </w:rPr>
              <w:t>4</w:t>
            </w:r>
          </w:p>
        </w:tc>
        <w:tc>
          <w:tcPr>
            <w:tcW w:type="dxa" w:w="1987"/>
          </w:tcPr>
          <w:p>
            <w:r>
              <w:rPr>
                <w:rFonts w:ascii="Arial" w:hAnsi="Arial"/>
                <w:color w:val="000000"/>
                <w:sz w:val="18"/>
              </w:rPr>
              <w:t>Integration Service</w:t>
            </w:r>
          </w:p>
        </w:tc>
        <w:tc>
          <w:tcPr>
            <w:tcW w:type="dxa" w:w="1987"/>
          </w:tcPr>
          <w:p>
            <w:r>
              <w:rPr>
                <w:rFonts w:ascii="Arial" w:hAnsi="Arial"/>
                <w:color w:val="000000"/>
                <w:sz w:val="18"/>
              </w:rPr>
              <w:t>Menghubungkan event POS ke Inventory dan Accounting</w:t>
            </w:r>
          </w:p>
        </w:tc>
        <w:tc>
          <w:tcPr>
            <w:tcW w:type="dxa" w:w="1987"/>
          </w:tcPr>
          <w:p>
            <w:r>
              <w:rPr>
                <w:rFonts w:ascii="Arial" w:hAnsi="Arial"/>
                <w:color w:val="000000"/>
                <w:sz w:val="18"/>
              </w:rPr>
              <w:t>Tidak menggunakan database utama</w:t>
            </w:r>
          </w:p>
        </w:tc>
        <w:tc>
          <w:tcPr>
            <w:tcW w:type="dxa" w:w="1987"/>
          </w:tcPr>
          <w:p>
            <w:r>
              <w:rPr>
                <w:rFonts w:ascii="Arial" w:hAnsi="Arial"/>
                <w:color w:val="000000"/>
                <w:sz w:val="18"/>
              </w:rPr>
              <w:t>GET /health</w:t>
            </w:r>
          </w:p>
        </w:tc>
      </w:tr>
      <w:tr>
        <w:tc>
          <w:tcPr>
            <w:tcW w:type="dxa" w:w="1987"/>
          </w:tcPr>
          <w:p>
            <w:r>
              <w:rPr>
                <w:rFonts w:ascii="Arial" w:hAnsi="Arial"/>
                <w:color w:val="000000"/>
                <w:sz w:val="18"/>
              </w:rPr>
              <w:t>5</w:t>
            </w:r>
          </w:p>
        </w:tc>
        <w:tc>
          <w:tcPr>
            <w:tcW w:type="dxa" w:w="1987"/>
          </w:tcPr>
          <w:p>
            <w:r>
              <w:rPr>
                <w:rFonts w:ascii="Arial" w:hAnsi="Arial"/>
                <w:color w:val="000000"/>
                <w:sz w:val="18"/>
              </w:rPr>
              <w:t>RabbitMQ</w:t>
            </w:r>
          </w:p>
        </w:tc>
        <w:tc>
          <w:tcPr>
            <w:tcW w:type="dxa" w:w="1987"/>
          </w:tcPr>
          <w:p>
            <w:r>
              <w:rPr>
                <w:rFonts w:ascii="Arial" w:hAnsi="Arial"/>
                <w:color w:val="000000"/>
                <w:sz w:val="18"/>
              </w:rPr>
              <w:t>Menjadi message broker untuk event transaksi</w:t>
            </w:r>
          </w:p>
        </w:tc>
        <w:tc>
          <w:tcPr>
            <w:tcW w:type="dxa" w:w="1987"/>
          </w:tcPr>
          <w:p>
            <w:r>
              <w:rPr>
                <w:rFonts w:ascii="Arial" w:hAnsi="Arial"/>
                <w:color w:val="000000"/>
                <w:sz w:val="18"/>
              </w:rPr>
              <w:t>Volume RabbitMQ</w:t>
            </w:r>
          </w:p>
        </w:tc>
        <w:tc>
          <w:tcPr>
            <w:tcW w:type="dxa" w:w="1987"/>
          </w:tcPr>
          <w:p>
            <w:r>
              <w:rPr>
                <w:rFonts w:ascii="Arial" w:hAnsi="Arial"/>
                <w:color w:val="000000"/>
                <w:sz w:val="18"/>
              </w:rPr>
              <w:t>Management UI :15672</w:t>
            </w:r>
          </w:p>
        </w:tc>
      </w:tr>
    </w:tbl>
    <w:p/>
    <w:p>
      <w:pPr>
        <w:pStyle w:val="BodyText"/>
      </w:pPr>
      <w:r>
        <w:rPr>
          <w:rFonts w:ascii="Arial" w:hAnsi="Arial"/>
          <w:color w:val="000000"/>
          <w:sz w:val="21"/>
        </w:rPr>
        <w:t>Setiap aplikasi utama akan dibuat sebagai service terpisah agar tanggung jawab sistem lebih jelas. POS Service berperan sebagai sumber event transaksi, Inventory Service berperan sebagai sistem stok, dan Accounting Service berperan sebagai sistem pencatatan keuangan. Integration Service berperan sebagai penghubung yang menerapkan routing dan transformasi data.</w:t>
      </w:r>
    </w:p>
    <w:p>
      <w:pPr>
        <w:pStyle w:val="Heading2"/>
      </w:pPr>
      <w:r>
        <w:rPr>
          <w:rFonts w:ascii="Arial" w:hAnsi="Arial"/>
          <w:b/>
          <w:color w:val="000000"/>
          <w:sz w:val="28"/>
        </w:rPr>
        <w:t>5. Format Data yang Direncanakan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tcPr>
          <w:p>
            <w:r>
              <w:rPr>
                <w:rFonts w:ascii="Arial" w:hAnsi="Arial"/>
                <w:b/>
                <w:color w:val="000000"/>
                <w:sz w:val="18"/>
              </w:rPr>
              <w:t>Aplikasi</w:t>
            </w:r>
          </w:p>
        </w:tc>
        <w:tc>
          <w:tcPr>
            <w:tcW w:type="dxa" w:w="2484"/>
          </w:tcPr>
          <w:p>
            <w:r>
              <w:rPr>
                <w:rFonts w:ascii="Arial" w:hAnsi="Arial"/>
                <w:b/>
                <w:color w:val="000000"/>
                <w:sz w:val="18"/>
              </w:rPr>
              <w:t>Format Data</w:t>
            </w:r>
          </w:p>
        </w:tc>
        <w:tc>
          <w:tcPr>
            <w:tcW w:type="dxa" w:w="2484"/>
          </w:tcPr>
          <w:p>
            <w:r>
              <w:rPr>
                <w:rFonts w:ascii="Arial" w:hAnsi="Arial"/>
                <w:b/>
                <w:color w:val="000000"/>
                <w:sz w:val="18"/>
              </w:rPr>
              <w:t>Contoh Data</w:t>
            </w:r>
          </w:p>
        </w:tc>
        <w:tc>
          <w:tcPr>
            <w:tcW w:type="dxa" w:w="2484"/>
          </w:tcPr>
          <w:p>
            <w:r>
              <w:rPr>
                <w:rFonts w:ascii="Arial" w:hAnsi="Arial"/>
                <w:b/>
                <w:color w:val="000000"/>
                <w:sz w:val="18"/>
              </w:rPr>
              <w:t>Keterangan</w:t>
            </w:r>
          </w:p>
        </w:tc>
      </w:tr>
      <w:tr>
        <w:tc>
          <w:tcPr>
            <w:tcW w:type="dxa" w:w="2484"/>
          </w:tcPr>
          <w:p>
            <w:r>
              <w:rPr>
                <w:rFonts w:ascii="Arial" w:hAnsi="Arial"/>
                <w:color w:val="000000"/>
                <w:sz w:val="18"/>
              </w:rPr>
              <w:t>POS Service</w:t>
            </w:r>
          </w:p>
        </w:tc>
        <w:tc>
          <w:tcPr>
            <w:tcW w:type="dxa" w:w="2484"/>
          </w:tcPr>
          <w:p>
            <w:r>
              <w:rPr>
                <w:rFonts w:ascii="Arial" w:hAnsi="Arial"/>
                <w:color w:val="000000"/>
                <w:sz w:val="18"/>
              </w:rPr>
              <w:t>JSON</w:t>
            </w:r>
          </w:p>
        </w:tc>
        <w:tc>
          <w:tcPr>
            <w:tcW w:type="dxa" w:w="2484"/>
          </w:tcPr>
          <w:p>
            <w:r>
              <w:rPr>
                <w:rFonts w:ascii="Arial" w:hAnsi="Arial"/>
                <w:color w:val="000000"/>
                <w:sz w:val="18"/>
              </w:rPr>
              <w:t>Event sale.created</w:t>
            </w:r>
          </w:p>
        </w:tc>
        <w:tc>
          <w:tcPr>
            <w:tcW w:type="dxa" w:w="2484"/>
          </w:tcPr>
          <w:p>
            <w:r>
              <w:rPr>
                <w:rFonts w:ascii="Arial" w:hAnsi="Arial"/>
                <w:color w:val="000000"/>
                <w:sz w:val="18"/>
              </w:rPr>
              <w:t>Data transaksi lengkap dari POS</w:t>
            </w:r>
          </w:p>
        </w:tc>
      </w:tr>
      <w:tr>
        <w:tc>
          <w:tcPr>
            <w:tcW w:type="dxa" w:w="2484"/>
          </w:tcPr>
          <w:p>
            <w:r>
              <w:rPr>
                <w:rFonts w:ascii="Arial" w:hAnsi="Arial"/>
                <w:color w:val="000000"/>
                <w:sz w:val="18"/>
              </w:rPr>
              <w:t>Inventory Service</w:t>
            </w:r>
          </w:p>
        </w:tc>
        <w:tc>
          <w:tcPr>
            <w:tcW w:type="dxa" w:w="2484"/>
          </w:tcPr>
          <w:p>
            <w:r>
              <w:rPr>
                <w:rFonts w:ascii="Arial" w:hAnsi="Arial"/>
                <w:color w:val="000000"/>
                <w:sz w:val="18"/>
              </w:rPr>
              <w:t>JSON</w:t>
            </w:r>
          </w:p>
        </w:tc>
        <w:tc>
          <w:tcPr>
            <w:tcW w:type="dxa" w:w="2484"/>
          </w:tcPr>
          <w:p>
            <w:r>
              <w:rPr>
                <w:rFonts w:ascii="Arial" w:hAnsi="Arial"/>
                <w:color w:val="000000"/>
                <w:sz w:val="18"/>
              </w:rPr>
              <w:t>Payload referenceId dan daftar item</w:t>
            </w:r>
          </w:p>
        </w:tc>
        <w:tc>
          <w:tcPr>
            <w:tcW w:type="dxa" w:w="2484"/>
          </w:tcPr>
          <w:p>
            <w:r>
              <w:rPr>
                <w:rFonts w:ascii="Arial" w:hAnsi="Arial"/>
                <w:color w:val="000000"/>
                <w:sz w:val="18"/>
              </w:rPr>
              <w:t>Digunakan untuk mengurangi stok</w:t>
            </w:r>
          </w:p>
        </w:tc>
      </w:tr>
      <w:tr>
        <w:tc>
          <w:tcPr>
            <w:tcW w:type="dxa" w:w="2484"/>
          </w:tcPr>
          <w:p>
            <w:r>
              <w:rPr>
                <w:rFonts w:ascii="Arial" w:hAnsi="Arial"/>
                <w:color w:val="000000"/>
                <w:sz w:val="18"/>
              </w:rPr>
              <w:t>Accounting Service</w:t>
            </w:r>
          </w:p>
        </w:tc>
        <w:tc>
          <w:tcPr>
            <w:tcW w:type="dxa" w:w="2484"/>
          </w:tcPr>
          <w:p>
            <w:r>
              <w:rPr>
                <w:rFonts w:ascii="Arial" w:hAnsi="Arial"/>
                <w:color w:val="000000"/>
                <w:sz w:val="18"/>
              </w:rPr>
              <w:t>XML</w:t>
            </w:r>
          </w:p>
        </w:tc>
        <w:tc>
          <w:tcPr>
            <w:tcW w:type="dxa" w:w="2484"/>
          </w:tcPr>
          <w:p>
            <w:r>
              <w:rPr>
                <w:rFonts w:ascii="Arial" w:hAnsi="Arial"/>
                <w:color w:val="000000"/>
                <w:sz w:val="18"/>
              </w:rPr>
              <w:t>Payload &lt;journal&gt;</w:t>
            </w:r>
          </w:p>
        </w:tc>
        <w:tc>
          <w:tcPr>
            <w:tcW w:type="dxa" w:w="2484"/>
          </w:tcPr>
          <w:p>
            <w:r>
              <w:rPr>
                <w:rFonts w:ascii="Arial" w:hAnsi="Arial"/>
                <w:color w:val="000000"/>
                <w:sz w:val="18"/>
              </w:rPr>
              <w:t>Digunakan untuk mencatat jurnal transaksi</w:t>
            </w:r>
          </w:p>
        </w:tc>
      </w:tr>
      <w:tr>
        <w:tc>
          <w:tcPr>
            <w:tcW w:type="dxa" w:w="2484"/>
          </w:tcPr>
          <w:p>
            <w:r>
              <w:rPr>
                <w:rFonts w:ascii="Arial" w:hAnsi="Arial"/>
                <w:color w:val="000000"/>
                <w:sz w:val="18"/>
              </w:rPr>
              <w:t>Integration Service</w:t>
            </w:r>
          </w:p>
        </w:tc>
        <w:tc>
          <w:tcPr>
            <w:tcW w:type="dxa" w:w="2484"/>
          </w:tcPr>
          <w:p>
            <w:r>
              <w:rPr>
                <w:rFonts w:ascii="Arial" w:hAnsi="Arial"/>
                <w:color w:val="000000"/>
                <w:sz w:val="18"/>
              </w:rPr>
              <w:t>JSON dan XML</w:t>
            </w:r>
          </w:p>
        </w:tc>
        <w:tc>
          <w:tcPr>
            <w:tcW w:type="dxa" w:w="2484"/>
          </w:tcPr>
          <w:p>
            <w:r>
              <w:rPr>
                <w:rFonts w:ascii="Arial" w:hAnsi="Arial"/>
                <w:color w:val="000000"/>
                <w:sz w:val="18"/>
              </w:rPr>
              <w:t>JSON event diterjemahkan menjadi JSON/XML</w:t>
            </w:r>
          </w:p>
        </w:tc>
        <w:tc>
          <w:tcPr>
            <w:tcW w:type="dxa" w:w="2484"/>
          </w:tcPr>
          <w:p>
            <w:r>
              <w:rPr>
                <w:rFonts w:ascii="Arial" w:hAnsi="Arial"/>
                <w:color w:val="000000"/>
                <w:sz w:val="18"/>
              </w:rPr>
              <w:t>Berperan sebagai router dan translator antar sistem</w:t>
            </w:r>
          </w:p>
        </w:tc>
      </w:tr>
    </w:tbl>
    <w:p/>
    <w:p>
      <w:pPr>
        <w:pStyle w:val="BodyText"/>
      </w:pPr>
      <w:r>
        <w:rPr>
          <w:rFonts w:ascii="Arial" w:hAnsi="Arial"/>
          <w:color w:val="000000"/>
          <w:sz w:val="21"/>
        </w:rPr>
        <w:t>Perbedaan format data sengaja dirancang untuk menunjukkan heterogenitas antar aplikasi. POS dan Inventory menggunakan JSON, sedangkan Accounting menerima XML. Integration Service akan berperan sebagai Message Translator, yaitu pola yang digunakan untuk mengubah format pesan agar dapat dipahami oleh sistem tujuan (Hohpe &amp; Woolf, 2003).</w:t>
      </w:r>
    </w:p>
    <w:p>
      <w:pPr>
        <w:pStyle w:val="Heading2"/>
      </w:pPr>
      <w:r>
        <w:rPr>
          <w:rFonts w:ascii="Arial" w:hAnsi="Arial"/>
          <w:b/>
          <w:color w:val="000000"/>
          <w:sz w:val="28"/>
        </w:rPr>
        <w:t>6. Contoh Rancangan Payload POS</w:t>
      </w:r>
    </w:p>
    <w:tbl>
      <w:tblPr>
        <w:tblStyle w:val="TableGrid"/>
        <w:tblW w:type="auto" w:w="0"/>
        <w:tblLook w:firstColumn="1" w:firstRow="1" w:lastColumn="0" w:lastRow="0" w:noHBand="0" w:noVBand="1" w:val="04A0"/>
      </w:tblPr>
      <w:tblGrid>
        <w:gridCol w:w="9936"/>
      </w:tblGrid>
      <w:tr>
        <w:tc>
          <w:tcPr>
            <w:tcW w:type="dxa" w:w="9936"/>
          </w:tcPr>
          <w:p>
            <w:r/>
          </w:p>
          <w:p>
            <w:pPr>
              <w:pStyle w:val="CodeBlock"/>
            </w:pPr>
            <w:r>
              <w:rPr>
                <w:rFonts w:ascii="Courier New" w:hAnsi="Courier New"/>
                <w:color w:val="000000"/>
                <w:sz w:val="18"/>
              </w:rPr>
              <w:t>{</w:t>
            </w:r>
          </w:p>
          <w:p>
            <w:pPr>
              <w:pStyle w:val="CodeBlock"/>
            </w:pPr>
            <w:r>
              <w:rPr>
                <w:rFonts w:ascii="Courier New" w:hAnsi="Courier New"/>
                <w:color w:val="000000"/>
                <w:sz w:val="18"/>
              </w:rPr>
              <w:t xml:space="preserve">  "eventType": "sale.created",</w:t>
            </w:r>
          </w:p>
          <w:p>
            <w:pPr>
              <w:pStyle w:val="CodeBlock"/>
            </w:pPr>
            <w:r>
              <w:rPr>
                <w:rFonts w:ascii="Courier New" w:hAnsi="Courier New"/>
                <w:color w:val="000000"/>
                <w:sz w:val="18"/>
              </w:rPr>
              <w:t xml:space="preserve">  "source": "pos-service",</w:t>
            </w:r>
          </w:p>
          <w:p>
            <w:pPr>
              <w:pStyle w:val="CodeBlock"/>
            </w:pPr>
            <w:r>
              <w:rPr>
                <w:rFonts w:ascii="Courier New" w:hAnsi="Courier New"/>
                <w:color w:val="000000"/>
                <w:sz w:val="18"/>
              </w:rPr>
              <w:t xml:space="preserve">  "data": {</w:t>
            </w:r>
          </w:p>
          <w:p>
            <w:pPr>
              <w:pStyle w:val="CodeBlock"/>
            </w:pPr>
            <w:r>
              <w:rPr>
                <w:rFonts w:ascii="Courier New" w:hAnsi="Courier New"/>
                <w:color w:val="000000"/>
                <w:sz w:val="18"/>
              </w:rPr>
              <w:t xml:space="preserve">    "saleId": "SALE-001",</w:t>
            </w:r>
          </w:p>
          <w:p>
            <w:pPr>
              <w:pStyle w:val="CodeBlock"/>
            </w:pPr>
            <w:r>
              <w:rPr>
                <w:rFonts w:ascii="Courier New" w:hAnsi="Courier New"/>
                <w:color w:val="000000"/>
                <w:sz w:val="18"/>
              </w:rPr>
              <w:t xml:space="preserve">    "customerName": "Budi",</w:t>
            </w:r>
          </w:p>
          <w:p>
            <w:pPr>
              <w:pStyle w:val="CodeBlock"/>
            </w:pPr>
            <w:r>
              <w:rPr>
                <w:rFonts w:ascii="Courier New" w:hAnsi="Courier New"/>
                <w:color w:val="000000"/>
                <w:sz w:val="18"/>
              </w:rPr>
              <w:t xml:space="preserve">    "paymentMethod": "cash",</w:t>
            </w:r>
          </w:p>
          <w:p>
            <w:pPr>
              <w:pStyle w:val="CodeBlock"/>
            </w:pPr>
            <w:r>
              <w:rPr>
                <w:rFonts w:ascii="Courier New" w:hAnsi="Courier New"/>
                <w:color w:val="000000"/>
                <w:sz w:val="18"/>
              </w:rPr>
              <w:t xml:space="preserve">    "totalAmount": 300000,</w:t>
            </w:r>
          </w:p>
          <w:p>
            <w:pPr>
              <w:pStyle w:val="CodeBlock"/>
            </w:pPr>
            <w:r>
              <w:rPr>
                <w:rFonts w:ascii="Courier New" w:hAnsi="Courier New"/>
                <w:color w:val="000000"/>
                <w:sz w:val="18"/>
              </w:rPr>
              <w:t xml:space="preserve">    "items": [</w:t>
            </w:r>
          </w:p>
          <w:p>
            <w:pPr>
              <w:pStyle w:val="CodeBlock"/>
            </w:pPr>
            <w:r>
              <w:rPr>
                <w:rFonts w:ascii="Courier New" w:hAnsi="Courier New"/>
                <w:color w:val="000000"/>
                <w:sz w:val="18"/>
              </w:rPr>
              <w:t xml:space="preserve">      {</w:t>
            </w:r>
          </w:p>
          <w:p>
            <w:pPr>
              <w:pStyle w:val="CodeBlock"/>
            </w:pPr>
            <w:r>
              <w:rPr>
                <w:rFonts w:ascii="Courier New" w:hAnsi="Courier New"/>
                <w:color w:val="000000"/>
                <w:sz w:val="18"/>
              </w:rPr>
              <w:t xml:space="preserve">        "productId": "P001",</w:t>
            </w:r>
          </w:p>
          <w:p>
            <w:pPr>
              <w:pStyle w:val="CodeBlock"/>
            </w:pPr>
            <w:r>
              <w:rPr>
                <w:rFonts w:ascii="Courier New" w:hAnsi="Courier New"/>
                <w:color w:val="000000"/>
                <w:sz w:val="18"/>
              </w:rPr>
              <w:t xml:space="preserve">        "name": "Keyboard",</w:t>
            </w:r>
          </w:p>
          <w:p>
            <w:pPr>
              <w:pStyle w:val="CodeBlock"/>
            </w:pPr>
            <w:r>
              <w:rPr>
                <w:rFonts w:ascii="Courier New" w:hAnsi="Courier New"/>
                <w:color w:val="000000"/>
                <w:sz w:val="18"/>
              </w:rPr>
              <w:t xml:space="preserve">        "quantity": 2,</w:t>
            </w:r>
          </w:p>
          <w:p>
            <w:pPr>
              <w:pStyle w:val="CodeBlock"/>
            </w:pPr>
            <w:r>
              <w:rPr>
                <w:rFonts w:ascii="Courier New" w:hAnsi="Courier New"/>
                <w:color w:val="000000"/>
                <w:sz w:val="18"/>
              </w:rPr>
              <w:t xml:space="preserve">        "price": 150000,</w:t>
            </w:r>
          </w:p>
          <w:p>
            <w:pPr>
              <w:pStyle w:val="CodeBlock"/>
            </w:pPr>
            <w:r>
              <w:rPr>
                <w:rFonts w:ascii="Courier New" w:hAnsi="Courier New"/>
                <w:color w:val="000000"/>
                <w:sz w:val="18"/>
              </w:rPr>
              <w:t xml:space="preserve">        "subtotal": 300000</w:t>
            </w:r>
          </w:p>
          <w:p>
            <w:pPr>
              <w:pStyle w:val="CodeBlock"/>
            </w:pPr>
            <w:r>
              <w:rPr>
                <w:rFonts w:ascii="Courier New" w:hAnsi="Courier New"/>
                <w:color w:val="000000"/>
                <w:sz w:val="18"/>
              </w:rPr>
              <w:t xml:space="preserve">      }</w:t>
            </w:r>
          </w:p>
          <w:p>
            <w:pPr>
              <w:pStyle w:val="CodeBlock"/>
            </w:pPr>
            <w:r>
              <w:rPr>
                <w:rFonts w:ascii="Courier New" w:hAnsi="Courier New"/>
                <w:color w:val="000000"/>
                <w:sz w:val="18"/>
              </w:rPr>
              <w:t xml:space="preserve">    ]</w:t>
            </w:r>
          </w:p>
          <w:p>
            <w:pPr>
              <w:pStyle w:val="CodeBlock"/>
            </w:pPr>
            <w:r>
              <w:rPr>
                <w:rFonts w:ascii="Courier New" w:hAnsi="Courier New"/>
                <w:color w:val="000000"/>
                <w:sz w:val="18"/>
              </w:rPr>
              <w:t xml:space="preserve">  }</w:t>
            </w:r>
          </w:p>
          <w:p>
            <w:pPr>
              <w:pStyle w:val="CodeBlock"/>
            </w:pPr>
            <w:r>
              <w:rPr>
                <w:rFonts w:ascii="Courier New" w:hAnsi="Courier New"/>
                <w:color w:val="000000"/>
                <w:sz w:val="18"/>
              </w:rPr>
              <w:t>}</w:t>
            </w:r>
          </w:p>
        </w:tc>
      </w:tr>
    </w:tbl>
    <w:p/>
    <w:p>
      <w:pPr>
        <w:pStyle w:val="Heading2"/>
      </w:pPr>
      <w:r>
        <w:rPr>
          <w:rFonts w:ascii="Arial" w:hAnsi="Arial"/>
          <w:b/>
          <w:color w:val="000000"/>
          <w:sz w:val="28"/>
        </w:rPr>
        <w:t>7. Contoh Rancangan Payload Inventory</w:t>
      </w:r>
    </w:p>
    <w:tbl>
      <w:tblPr>
        <w:tblStyle w:val="TableGrid"/>
        <w:tblW w:type="auto" w:w="0"/>
        <w:tblLook w:firstColumn="1" w:firstRow="1" w:lastColumn="0" w:lastRow="0" w:noHBand="0" w:noVBand="1" w:val="04A0"/>
      </w:tblPr>
      <w:tblGrid>
        <w:gridCol w:w="9936"/>
      </w:tblGrid>
      <w:tr>
        <w:tc>
          <w:tcPr>
            <w:tcW w:type="dxa" w:w="9936"/>
          </w:tcPr>
          <w:p>
            <w:r/>
          </w:p>
          <w:p>
            <w:pPr>
              <w:pStyle w:val="CodeBlock"/>
            </w:pPr>
            <w:r>
              <w:rPr>
                <w:rFonts w:ascii="Courier New" w:hAnsi="Courier New"/>
                <w:color w:val="000000"/>
                <w:sz w:val="18"/>
              </w:rPr>
              <w:t>{</w:t>
            </w:r>
          </w:p>
          <w:p>
            <w:pPr>
              <w:pStyle w:val="CodeBlock"/>
            </w:pPr>
            <w:r>
              <w:rPr>
                <w:rFonts w:ascii="Courier New" w:hAnsi="Courier New"/>
                <w:color w:val="000000"/>
                <w:sz w:val="18"/>
              </w:rPr>
              <w:t xml:space="preserve">  "referenceId": "SALE-001",</w:t>
            </w:r>
          </w:p>
          <w:p>
            <w:pPr>
              <w:pStyle w:val="CodeBlock"/>
            </w:pPr>
            <w:r>
              <w:rPr>
                <w:rFonts w:ascii="Courier New" w:hAnsi="Courier New"/>
                <w:color w:val="000000"/>
                <w:sz w:val="18"/>
              </w:rPr>
              <w:t xml:space="preserve">  "items": [</w:t>
            </w:r>
          </w:p>
          <w:p>
            <w:pPr>
              <w:pStyle w:val="CodeBlock"/>
            </w:pPr>
            <w:r>
              <w:rPr>
                <w:rFonts w:ascii="Courier New" w:hAnsi="Courier New"/>
                <w:color w:val="000000"/>
                <w:sz w:val="18"/>
              </w:rPr>
              <w:t xml:space="preserve">    {</w:t>
            </w:r>
          </w:p>
          <w:p>
            <w:pPr>
              <w:pStyle w:val="CodeBlock"/>
            </w:pPr>
            <w:r>
              <w:rPr>
                <w:rFonts w:ascii="Courier New" w:hAnsi="Courier New"/>
                <w:color w:val="000000"/>
                <w:sz w:val="18"/>
              </w:rPr>
              <w:t xml:space="preserve">      "productId": "P001",</w:t>
            </w:r>
          </w:p>
          <w:p>
            <w:pPr>
              <w:pStyle w:val="CodeBlock"/>
            </w:pPr>
            <w:r>
              <w:rPr>
                <w:rFonts w:ascii="Courier New" w:hAnsi="Courier New"/>
                <w:color w:val="000000"/>
                <w:sz w:val="18"/>
              </w:rPr>
              <w:t xml:space="preserve">      "quantity": 2</w:t>
            </w:r>
          </w:p>
          <w:p>
            <w:pPr>
              <w:pStyle w:val="CodeBlock"/>
            </w:pPr>
            <w:r>
              <w:rPr>
                <w:rFonts w:ascii="Courier New" w:hAnsi="Courier New"/>
                <w:color w:val="000000"/>
                <w:sz w:val="18"/>
              </w:rPr>
              <w:t xml:space="preserve">    }</w:t>
            </w:r>
          </w:p>
          <w:p>
            <w:pPr>
              <w:pStyle w:val="CodeBlock"/>
            </w:pPr>
            <w:r>
              <w:rPr>
                <w:rFonts w:ascii="Courier New" w:hAnsi="Courier New"/>
                <w:color w:val="000000"/>
                <w:sz w:val="18"/>
              </w:rPr>
              <w:t xml:space="preserve">  ]</w:t>
            </w:r>
          </w:p>
          <w:p>
            <w:pPr>
              <w:pStyle w:val="CodeBlock"/>
            </w:pPr>
            <w:r>
              <w:rPr>
                <w:rFonts w:ascii="Courier New" w:hAnsi="Courier New"/>
                <w:color w:val="000000"/>
                <w:sz w:val="18"/>
              </w:rPr>
              <w:t>}</w:t>
            </w:r>
          </w:p>
        </w:tc>
      </w:tr>
    </w:tbl>
    <w:p/>
    <w:p>
      <w:pPr>
        <w:pStyle w:val="Heading2"/>
      </w:pPr>
      <w:r>
        <w:rPr>
          <w:rFonts w:ascii="Arial" w:hAnsi="Arial"/>
          <w:b/>
          <w:color w:val="000000"/>
          <w:sz w:val="28"/>
        </w:rPr>
        <w:t>8. Contoh Rancangan Payload Accounting</w:t>
      </w:r>
    </w:p>
    <w:tbl>
      <w:tblPr>
        <w:tblStyle w:val="TableGrid"/>
        <w:tblW w:type="auto" w:w="0"/>
        <w:tblLook w:firstColumn="1" w:firstRow="1" w:lastColumn="0" w:lastRow="0" w:noHBand="0" w:noVBand="1" w:val="04A0"/>
      </w:tblPr>
      <w:tblGrid>
        <w:gridCol w:w="9936"/>
      </w:tblGrid>
      <w:tr>
        <w:tc>
          <w:tcPr>
            <w:tcW w:type="dxa" w:w="9936"/>
          </w:tcPr>
          <w:p>
            <w:r/>
          </w:p>
          <w:p>
            <w:pPr>
              <w:pStyle w:val="CodeBlock"/>
            </w:pPr>
            <w:r>
              <w:rPr>
                <w:rFonts w:ascii="Courier New" w:hAnsi="Courier New"/>
                <w:color w:val="000000"/>
                <w:sz w:val="18"/>
              </w:rPr>
              <w:t>&lt;journal&gt;</w:t>
            </w:r>
          </w:p>
          <w:p>
            <w:pPr>
              <w:pStyle w:val="CodeBlock"/>
            </w:pPr>
            <w:r>
              <w:rPr>
                <w:rFonts w:ascii="Courier New" w:hAnsi="Courier New"/>
                <w:color w:val="000000"/>
                <w:sz w:val="18"/>
              </w:rPr>
              <w:t xml:space="preserve">  &lt;referenceId&gt;SALE-001&lt;/referenceId&gt;</w:t>
            </w:r>
          </w:p>
          <w:p>
            <w:pPr>
              <w:pStyle w:val="CodeBlock"/>
            </w:pPr>
            <w:r>
              <w:rPr>
                <w:rFonts w:ascii="Courier New" w:hAnsi="Courier New"/>
                <w:color w:val="000000"/>
                <w:sz w:val="18"/>
              </w:rPr>
              <w:t xml:space="preserve">  &lt;description&gt;Sales transaction from POS for Budi&lt;/description&gt;</w:t>
            </w:r>
          </w:p>
          <w:p>
            <w:pPr>
              <w:pStyle w:val="CodeBlock"/>
            </w:pPr>
            <w:r>
              <w:rPr>
                <w:rFonts w:ascii="Courier New" w:hAnsi="Courier New"/>
                <w:color w:val="000000"/>
                <w:sz w:val="18"/>
              </w:rPr>
              <w:t xml:space="preserve">  &lt;debitAccount&gt;Cash&lt;/debitAccount&gt;</w:t>
            </w:r>
          </w:p>
          <w:p>
            <w:pPr>
              <w:pStyle w:val="CodeBlock"/>
            </w:pPr>
            <w:r>
              <w:rPr>
                <w:rFonts w:ascii="Courier New" w:hAnsi="Courier New"/>
                <w:color w:val="000000"/>
                <w:sz w:val="18"/>
              </w:rPr>
              <w:t xml:space="preserve">  &lt;creditAccount&gt;Sales Revenue&lt;/creditAccount&gt;</w:t>
            </w:r>
          </w:p>
          <w:p>
            <w:pPr>
              <w:pStyle w:val="CodeBlock"/>
            </w:pPr>
            <w:r>
              <w:rPr>
                <w:rFonts w:ascii="Courier New" w:hAnsi="Courier New"/>
                <w:color w:val="000000"/>
                <w:sz w:val="18"/>
              </w:rPr>
              <w:t xml:space="preserve">  &lt;amount&gt;300000&lt;/amount&gt;</w:t>
            </w:r>
          </w:p>
          <w:p>
            <w:pPr>
              <w:pStyle w:val="CodeBlock"/>
            </w:pPr>
            <w:r>
              <w:rPr>
                <w:rFonts w:ascii="Courier New" w:hAnsi="Courier New"/>
                <w:color w:val="000000"/>
                <w:sz w:val="18"/>
              </w:rPr>
              <w:t>&lt;/journal&gt;</w:t>
            </w:r>
          </w:p>
        </w:tc>
      </w:tr>
    </w:tbl>
    <w:p/>
    <w:p>
      <w:pPr>
        <w:pStyle w:val="Heading2"/>
      </w:pPr>
      <w:r>
        <w:rPr>
          <w:rFonts w:ascii="Arial" w:hAnsi="Arial"/>
          <w:b/>
          <w:color w:val="000000"/>
          <w:sz w:val="28"/>
        </w:rPr>
        <w:t>9. Diagram Arsitektur Integrasi</w:t>
      </w:r>
    </w:p>
    <w:p>
      <w:pPr>
        <w:pStyle w:val="BodyText"/>
      </w:pPr>
      <w:r>
        <w:rPr>
          <w:rFonts w:ascii="Arial" w:hAnsi="Arial"/>
          <w:color w:val="000000"/>
          <w:sz w:val="21"/>
        </w:rPr>
        <w:t>Diagram arsitektur integrasi dibuat sebagai asset terpisah agar dapat dibuka dan diedit secara mandiri.</w:t>
      </w:r>
    </w:p>
    <w:p>
      <w:pPr>
        <w:jc w:val="center"/>
      </w:pPr>
      <w:r>
        <w:drawing>
          <wp:inline xmlns:a="http://schemas.openxmlformats.org/drawingml/2006/main" xmlns:pic="http://schemas.openxmlformats.org/drawingml/2006/picture">
            <wp:extent cx="6035040" cy="3493971"/>
            <wp:docPr id="1" name="Picture 1"/>
            <wp:cNvGraphicFramePr>
              <a:graphicFrameLocks noChangeAspect="1"/>
            </wp:cNvGraphicFramePr>
            <a:graphic>
              <a:graphicData uri="http://schemas.openxmlformats.org/drawingml/2006/picture">
                <pic:pic>
                  <pic:nvPicPr>
                    <pic:cNvPr id="0" name="integration-architecture.png"/>
                    <pic:cNvPicPr/>
                  </pic:nvPicPr>
                  <pic:blipFill>
                    <a:blip r:embed="rId9"/>
                    <a:stretch>
                      <a:fillRect/>
                    </a:stretch>
                  </pic:blipFill>
                  <pic:spPr>
                    <a:xfrm>
                      <a:off x="0" y="0"/>
                      <a:ext cx="6035040" cy="3493971"/>
                    </a:xfrm>
                    <a:prstGeom prst="rect"/>
                  </pic:spPr>
                </pic:pic>
              </a:graphicData>
            </a:graphic>
          </wp:inline>
        </w:drawing>
      </w:r>
    </w:p>
    <w:p/>
    <w:p>
      <w:pPr>
        <w:pStyle w:val="BodyText"/>
      </w:pPr>
      <w:r>
        <w:rPr>
          <w:rFonts w:ascii="Arial" w:hAnsi="Arial"/>
          <w:color w:val="000000"/>
          <w:sz w:val="21"/>
        </w:rPr>
        <w:t>File diagram:</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rFonts w:ascii="Arial" w:hAnsi="Arial"/>
                <w:b/>
                <w:color w:val="000000"/>
                <w:sz w:val="18"/>
              </w:rPr>
              <w:t>File</w:t>
            </w:r>
          </w:p>
        </w:tc>
        <w:tc>
          <w:tcPr>
            <w:tcW w:type="dxa" w:w="4968"/>
          </w:tcPr>
          <w:p>
            <w:r>
              <w:rPr>
                <w:rFonts w:ascii="Arial" w:hAnsi="Arial"/>
                <w:b/>
                <w:color w:val="000000"/>
                <w:sz w:val="18"/>
              </w:rPr>
              <w:t>Keterangan</w:t>
            </w:r>
          </w:p>
        </w:tc>
      </w:tr>
      <w:tr>
        <w:tc>
          <w:tcPr>
            <w:tcW w:type="dxa" w:w="4968"/>
          </w:tcPr>
          <w:p>
            <w:r>
              <w:rPr>
                <w:rFonts w:ascii="Arial" w:hAnsi="Arial"/>
                <w:color w:val="000000"/>
                <w:sz w:val="18"/>
              </w:rPr>
              <w:t>diagrams/integration-architecture.png</w:t>
            </w:r>
          </w:p>
        </w:tc>
        <w:tc>
          <w:tcPr>
            <w:tcW w:type="dxa" w:w="4968"/>
          </w:tcPr>
          <w:p>
            <w:r>
              <w:rPr>
                <w:rFonts w:ascii="Arial" w:hAnsi="Arial"/>
                <w:color w:val="000000"/>
                <w:sz w:val="18"/>
              </w:rPr>
              <w:t>Gambar diagram utama</w:t>
            </w:r>
          </w:p>
        </w:tc>
      </w:tr>
      <w:tr>
        <w:tc>
          <w:tcPr>
            <w:tcW w:type="dxa" w:w="4968"/>
          </w:tcPr>
          <w:p>
            <w:r>
              <w:rPr>
                <w:rFonts w:ascii="Arial" w:hAnsi="Arial"/>
                <w:color w:val="000000"/>
                <w:sz w:val="18"/>
              </w:rPr>
              <w:t>diagrams/integration-architecture.svg</w:t>
            </w:r>
          </w:p>
        </w:tc>
        <w:tc>
          <w:tcPr>
            <w:tcW w:type="dxa" w:w="4968"/>
          </w:tcPr>
          <w:p>
            <w:r>
              <w:rPr>
                <w:rFonts w:ascii="Arial" w:hAnsi="Arial"/>
                <w:color w:val="000000"/>
                <w:sz w:val="18"/>
              </w:rPr>
              <w:t>Versi SVG</w:t>
            </w:r>
          </w:p>
        </w:tc>
      </w:tr>
      <w:tr>
        <w:tc>
          <w:tcPr>
            <w:tcW w:type="dxa" w:w="4968"/>
          </w:tcPr>
          <w:p>
            <w:r>
              <w:rPr>
                <w:rFonts w:ascii="Arial" w:hAnsi="Arial"/>
                <w:color w:val="000000"/>
                <w:sz w:val="18"/>
              </w:rPr>
              <w:t>diagrams/integration-architecture.drawio</w:t>
            </w:r>
          </w:p>
        </w:tc>
        <w:tc>
          <w:tcPr>
            <w:tcW w:type="dxa" w:w="4968"/>
          </w:tcPr>
          <w:p>
            <w:r>
              <w:rPr>
                <w:rFonts w:ascii="Arial" w:hAnsi="Arial"/>
                <w:color w:val="000000"/>
                <w:sz w:val="18"/>
              </w:rPr>
              <w:t>Versi editable untuk diagrams.net / draw.io</w:t>
            </w:r>
          </w:p>
        </w:tc>
      </w:tr>
    </w:tbl>
    <w:p/>
    <w:p>
      <w:pPr>
        <w:pStyle w:val="BodyText"/>
      </w:pPr>
      <w:r>
        <w:rPr>
          <w:rFonts w:ascii="Arial" w:hAnsi="Arial"/>
          <w:color w:val="000000"/>
          <w:sz w:val="21"/>
        </w:rPr>
        <w:t>Diagram tersebut menunjukkan pemisahan antara source application, integration layer, dan target applications. Integration layer berisi inbound adapter, message channel, subscriber queue, message router, message translator, outbound adapters, dan failed queue. Komponen tersebut mengacu pada pola Enterprise Integration Patterns yang umum digunakan untuk integrasi berbasis pesan (Hohpe &amp; Woolf, 2003).</w:t>
      </w:r>
    </w:p>
    <w:p>
      <w:pPr>
        <w:pStyle w:val="Heading2"/>
      </w:pPr>
      <w:r>
        <w:rPr>
          <w:rFonts w:ascii="Arial" w:hAnsi="Arial"/>
          <w:b/>
          <w:color w:val="000000"/>
          <w:sz w:val="28"/>
        </w:rPr>
        <w:t>10. Pola Integrasi yang Direncanakan</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rFonts w:ascii="Arial" w:hAnsi="Arial"/>
                <w:b/>
                <w:color w:val="000000"/>
                <w:sz w:val="18"/>
              </w:rPr>
              <w:t>Enterprise Integration Pattern</w:t>
            </w:r>
          </w:p>
        </w:tc>
        <w:tc>
          <w:tcPr>
            <w:tcW w:type="dxa" w:w="4968"/>
          </w:tcPr>
          <w:p>
            <w:r>
              <w:rPr>
                <w:rFonts w:ascii="Arial" w:hAnsi="Arial"/>
                <w:b/>
                <w:color w:val="000000"/>
                <w:sz w:val="18"/>
              </w:rPr>
              <w:t>Rencana Implementasi</w:t>
            </w:r>
          </w:p>
        </w:tc>
      </w:tr>
      <w:tr>
        <w:tc>
          <w:tcPr>
            <w:tcW w:type="dxa" w:w="4968"/>
          </w:tcPr>
          <w:p>
            <w:r>
              <w:rPr>
                <w:rFonts w:ascii="Arial" w:hAnsi="Arial"/>
                <w:color w:val="000000"/>
                <w:sz w:val="18"/>
              </w:rPr>
              <w:t>Message Channel</w:t>
            </w:r>
          </w:p>
        </w:tc>
        <w:tc>
          <w:tcPr>
            <w:tcW w:type="dxa" w:w="4968"/>
          </w:tcPr>
          <w:p>
            <w:r>
              <w:rPr>
                <w:rFonts w:ascii="Arial" w:hAnsi="Arial"/>
                <w:color w:val="000000"/>
                <w:sz w:val="18"/>
              </w:rPr>
              <w:t>RabbitMQ digunakan sebagai kanal pesan antar service</w:t>
            </w:r>
          </w:p>
        </w:tc>
      </w:tr>
      <w:tr>
        <w:tc>
          <w:tcPr>
            <w:tcW w:type="dxa" w:w="4968"/>
          </w:tcPr>
          <w:p>
            <w:r>
              <w:rPr>
                <w:rFonts w:ascii="Arial" w:hAnsi="Arial"/>
                <w:color w:val="000000"/>
                <w:sz w:val="18"/>
              </w:rPr>
              <w:t>Publish-Subscribe Channel</w:t>
            </w:r>
          </w:p>
        </w:tc>
        <w:tc>
          <w:tcPr>
            <w:tcW w:type="dxa" w:w="4968"/>
          </w:tcPr>
          <w:p>
            <w:r>
              <w:rPr>
                <w:rFonts w:ascii="Arial" w:hAnsi="Arial"/>
                <w:color w:val="000000"/>
                <w:sz w:val="18"/>
              </w:rPr>
              <w:t>POS menerbitkan event sale.created ke exchange RabbitMQ</w:t>
            </w:r>
          </w:p>
        </w:tc>
      </w:tr>
      <w:tr>
        <w:tc>
          <w:tcPr>
            <w:tcW w:type="dxa" w:w="4968"/>
          </w:tcPr>
          <w:p>
            <w:r>
              <w:rPr>
                <w:rFonts w:ascii="Arial" w:hAnsi="Arial"/>
                <w:color w:val="000000"/>
                <w:sz w:val="18"/>
              </w:rPr>
              <w:t>Message Router</w:t>
            </w:r>
          </w:p>
        </w:tc>
        <w:tc>
          <w:tcPr>
            <w:tcW w:type="dxa" w:w="4968"/>
          </w:tcPr>
          <w:p>
            <w:r>
              <w:rPr>
                <w:rFonts w:ascii="Arial" w:hAnsi="Arial"/>
                <w:color w:val="000000"/>
                <w:sz w:val="18"/>
              </w:rPr>
              <w:t>Integration Service menentukan event harus dikirim ke Inventory dan Accounting</w:t>
            </w:r>
          </w:p>
        </w:tc>
      </w:tr>
      <w:tr>
        <w:tc>
          <w:tcPr>
            <w:tcW w:type="dxa" w:w="4968"/>
          </w:tcPr>
          <w:p>
            <w:r>
              <w:rPr>
                <w:rFonts w:ascii="Arial" w:hAnsi="Arial"/>
                <w:color w:val="000000"/>
                <w:sz w:val="18"/>
              </w:rPr>
              <w:t>Message Translator</w:t>
            </w:r>
          </w:p>
        </w:tc>
        <w:tc>
          <w:tcPr>
            <w:tcW w:type="dxa" w:w="4968"/>
          </w:tcPr>
          <w:p>
            <w:r>
              <w:rPr>
                <w:rFonts w:ascii="Arial" w:hAnsi="Arial"/>
                <w:color w:val="000000"/>
                <w:sz w:val="18"/>
              </w:rPr>
              <w:t>Integration Service mengubah payload POS menjadi JSON Inventory dan XML Accounting</w:t>
            </w:r>
          </w:p>
        </w:tc>
      </w:tr>
      <w:tr>
        <w:tc>
          <w:tcPr>
            <w:tcW w:type="dxa" w:w="4968"/>
          </w:tcPr>
          <w:p>
            <w:r>
              <w:rPr>
                <w:rFonts w:ascii="Arial" w:hAnsi="Arial"/>
                <w:color w:val="000000"/>
                <w:sz w:val="18"/>
              </w:rPr>
              <w:t>Message Endpoint / Adapter</w:t>
            </w:r>
          </w:p>
        </w:tc>
        <w:tc>
          <w:tcPr>
            <w:tcW w:type="dxa" w:w="4968"/>
          </w:tcPr>
          <w:p>
            <w:r>
              <w:rPr>
                <w:rFonts w:ascii="Arial" w:hAnsi="Arial"/>
                <w:color w:val="000000"/>
                <w:sz w:val="18"/>
              </w:rPr>
              <w:t>Integration Service menjadi endpoint/adapter yang memanggil API service tujuan</w:t>
            </w:r>
          </w:p>
        </w:tc>
      </w:tr>
    </w:tbl>
    <w:p/>
    <w:p>
      <w:pPr>
        <w:pStyle w:val="BodyText"/>
      </w:pPr>
      <w:r>
        <w:rPr>
          <w:rFonts w:ascii="Arial" w:hAnsi="Arial"/>
          <w:color w:val="000000"/>
          <w:sz w:val="21"/>
        </w:rPr>
        <w:t>Pola-pola tersebut dipilih karena sesuai dengan karakteristik integrasi enterprise, yaitu menghubungkan beberapa aplikasi yang memiliki tanggung jawab dan format data berbeda melalui lapisan integrasi. Selain itu, endpoint API setiap service direncanakan akan didokumentasikan menggunakan Swagger/OpenAPI karena OpenAPI merupakan standar deskripsi API yang dapat digunakan untuk dokumentasi, pengujian, dan pemahaman endpoint REST (OpenAPI Initiative, n.d.).</w:t>
      </w:r>
    </w:p>
    <w:p>
      <w:pPr>
        <w:pStyle w:val="Heading2"/>
      </w:pPr>
      <w:r>
        <w:rPr>
          <w:rFonts w:ascii="Arial" w:hAnsi="Arial"/>
          <w:b/>
          <w:color w:val="000000"/>
          <w:sz w:val="28"/>
        </w:rPr>
        <w:t>11. Rencana Alur Integrasi</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rFonts w:ascii="Arial" w:hAnsi="Arial"/>
                <w:b/>
                <w:color w:val="000000"/>
                <w:sz w:val="18"/>
              </w:rPr>
              <w:t>Langkah</w:t>
            </w:r>
          </w:p>
        </w:tc>
        <w:tc>
          <w:tcPr>
            <w:tcW w:type="dxa" w:w="4968"/>
          </w:tcPr>
          <w:p>
            <w:r>
              <w:rPr>
                <w:rFonts w:ascii="Arial" w:hAnsi="Arial"/>
                <w:b/>
                <w:color w:val="000000"/>
                <w:sz w:val="18"/>
              </w:rPr>
              <w:t>Rencana Proses</w:t>
            </w:r>
          </w:p>
        </w:tc>
      </w:tr>
      <w:tr>
        <w:tc>
          <w:tcPr>
            <w:tcW w:type="dxa" w:w="4968"/>
          </w:tcPr>
          <w:p>
            <w:r>
              <w:rPr>
                <w:rFonts w:ascii="Arial" w:hAnsi="Arial"/>
                <w:color w:val="000000"/>
                <w:sz w:val="18"/>
              </w:rPr>
              <w:t>1</w:t>
            </w:r>
          </w:p>
        </w:tc>
        <w:tc>
          <w:tcPr>
            <w:tcW w:type="dxa" w:w="4968"/>
          </w:tcPr>
          <w:p>
            <w:r>
              <w:rPr>
                <w:rFonts w:ascii="Arial" w:hAnsi="Arial"/>
                <w:color w:val="000000"/>
                <w:sz w:val="18"/>
              </w:rPr>
              <w:t>User membuat transaksi melalui POS Service</w:t>
            </w:r>
          </w:p>
        </w:tc>
      </w:tr>
      <w:tr>
        <w:tc>
          <w:tcPr>
            <w:tcW w:type="dxa" w:w="4968"/>
          </w:tcPr>
          <w:p>
            <w:r>
              <w:rPr>
                <w:rFonts w:ascii="Arial" w:hAnsi="Arial"/>
                <w:color w:val="000000"/>
                <w:sz w:val="18"/>
              </w:rPr>
              <w:t>2</w:t>
            </w:r>
          </w:p>
        </w:tc>
        <w:tc>
          <w:tcPr>
            <w:tcW w:type="dxa" w:w="4968"/>
          </w:tcPr>
          <w:p>
            <w:r>
              <w:rPr>
                <w:rFonts w:ascii="Arial" w:hAnsi="Arial"/>
                <w:color w:val="000000"/>
                <w:sz w:val="18"/>
              </w:rPr>
              <w:t>POS Service menyimpan transaksi ke database POS</w:t>
            </w:r>
          </w:p>
        </w:tc>
      </w:tr>
      <w:tr>
        <w:tc>
          <w:tcPr>
            <w:tcW w:type="dxa" w:w="4968"/>
          </w:tcPr>
          <w:p>
            <w:r>
              <w:rPr>
                <w:rFonts w:ascii="Arial" w:hAnsi="Arial"/>
                <w:color w:val="000000"/>
                <w:sz w:val="18"/>
              </w:rPr>
              <w:t>3</w:t>
            </w:r>
          </w:p>
        </w:tc>
        <w:tc>
          <w:tcPr>
            <w:tcW w:type="dxa" w:w="4968"/>
          </w:tcPr>
          <w:p>
            <w:r>
              <w:rPr>
                <w:rFonts w:ascii="Arial" w:hAnsi="Arial"/>
                <w:color w:val="000000"/>
                <w:sz w:val="18"/>
              </w:rPr>
              <w:t>POS Service menerbitkan event sale.created ke RabbitMQ</w:t>
            </w:r>
          </w:p>
        </w:tc>
      </w:tr>
      <w:tr>
        <w:tc>
          <w:tcPr>
            <w:tcW w:type="dxa" w:w="4968"/>
          </w:tcPr>
          <w:p>
            <w:r>
              <w:rPr>
                <w:rFonts w:ascii="Arial" w:hAnsi="Arial"/>
                <w:color w:val="000000"/>
                <w:sz w:val="18"/>
              </w:rPr>
              <w:t>4</w:t>
            </w:r>
          </w:p>
        </w:tc>
        <w:tc>
          <w:tcPr>
            <w:tcW w:type="dxa" w:w="4968"/>
          </w:tcPr>
          <w:p>
            <w:r>
              <w:rPr>
                <w:rFonts w:ascii="Arial" w:hAnsi="Arial"/>
                <w:color w:val="000000"/>
                <w:sz w:val="18"/>
              </w:rPr>
              <w:t>Integration Service menerima event dari queue</w:t>
            </w:r>
          </w:p>
        </w:tc>
      </w:tr>
      <w:tr>
        <w:tc>
          <w:tcPr>
            <w:tcW w:type="dxa" w:w="4968"/>
          </w:tcPr>
          <w:p>
            <w:r>
              <w:rPr>
                <w:rFonts w:ascii="Arial" w:hAnsi="Arial"/>
                <w:color w:val="000000"/>
                <w:sz w:val="18"/>
              </w:rPr>
              <w:t>5</w:t>
            </w:r>
          </w:p>
        </w:tc>
        <w:tc>
          <w:tcPr>
            <w:tcW w:type="dxa" w:w="4968"/>
          </w:tcPr>
          <w:p>
            <w:r>
              <w:rPr>
                <w:rFonts w:ascii="Arial" w:hAnsi="Arial"/>
                <w:color w:val="000000"/>
                <w:sz w:val="18"/>
              </w:rPr>
              <w:t>Message Router menentukan tujuan event</w:t>
            </w:r>
          </w:p>
        </w:tc>
      </w:tr>
      <w:tr>
        <w:tc>
          <w:tcPr>
            <w:tcW w:type="dxa" w:w="4968"/>
          </w:tcPr>
          <w:p>
            <w:r>
              <w:rPr>
                <w:rFonts w:ascii="Arial" w:hAnsi="Arial"/>
                <w:color w:val="000000"/>
                <w:sz w:val="18"/>
              </w:rPr>
              <w:t>6</w:t>
            </w:r>
          </w:p>
        </w:tc>
        <w:tc>
          <w:tcPr>
            <w:tcW w:type="dxa" w:w="4968"/>
          </w:tcPr>
          <w:p>
            <w:r>
              <w:rPr>
                <w:rFonts w:ascii="Arial" w:hAnsi="Arial"/>
                <w:color w:val="000000"/>
                <w:sz w:val="18"/>
              </w:rPr>
              <w:t>Message Translator mengubah payload untuk Inventory dan Accounting</w:t>
            </w:r>
          </w:p>
        </w:tc>
      </w:tr>
      <w:tr>
        <w:tc>
          <w:tcPr>
            <w:tcW w:type="dxa" w:w="4968"/>
          </w:tcPr>
          <w:p>
            <w:r>
              <w:rPr>
                <w:rFonts w:ascii="Arial" w:hAnsi="Arial"/>
                <w:color w:val="000000"/>
                <w:sz w:val="18"/>
              </w:rPr>
              <w:t>7</w:t>
            </w:r>
          </w:p>
        </w:tc>
        <w:tc>
          <w:tcPr>
            <w:tcW w:type="dxa" w:w="4968"/>
          </w:tcPr>
          <w:p>
            <w:r>
              <w:rPr>
                <w:rFonts w:ascii="Arial" w:hAnsi="Arial"/>
                <w:color w:val="000000"/>
                <w:sz w:val="18"/>
              </w:rPr>
              <w:t>Inventory Service menerima payload JSON untuk pengurangan stok</w:t>
            </w:r>
          </w:p>
        </w:tc>
      </w:tr>
      <w:tr>
        <w:tc>
          <w:tcPr>
            <w:tcW w:type="dxa" w:w="4968"/>
          </w:tcPr>
          <w:p>
            <w:r>
              <w:rPr>
                <w:rFonts w:ascii="Arial" w:hAnsi="Arial"/>
                <w:color w:val="000000"/>
                <w:sz w:val="18"/>
              </w:rPr>
              <w:t>8</w:t>
            </w:r>
          </w:p>
        </w:tc>
        <w:tc>
          <w:tcPr>
            <w:tcW w:type="dxa" w:w="4968"/>
          </w:tcPr>
          <w:p>
            <w:r>
              <w:rPr>
                <w:rFonts w:ascii="Arial" w:hAnsi="Arial"/>
                <w:color w:val="000000"/>
                <w:sz w:val="18"/>
              </w:rPr>
              <w:t>Accounting Service menerima payload XML untuk pencatatan jurnal</w:t>
            </w:r>
          </w:p>
        </w:tc>
      </w:tr>
    </w:tbl>
    <w:p/>
    <w:p>
      <w:pPr>
        <w:pStyle w:val="Heading2"/>
      </w:pPr>
      <w:r>
        <w:rPr>
          <w:rFonts w:ascii="Arial" w:hAnsi="Arial"/>
          <w:b/>
          <w:color w:val="000000"/>
          <w:sz w:val="28"/>
        </w:rPr>
        <w:t>12. Repo Inisiasi</w:t>
      </w:r>
    </w:p>
    <w:p>
      <w:pPr>
        <w:pStyle w:val="BodyText"/>
      </w:pPr>
      <w:r>
        <w:rPr>
          <w:rFonts w:ascii="Arial" w:hAnsi="Arial"/>
          <w:color w:val="000000"/>
          <w:sz w:val="21"/>
        </w:rPr>
        <w:t>Repository yang digunakan untuk tahap inisiasi:</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rFonts w:ascii="Arial" w:hAnsi="Arial"/>
                <w:b/>
                <w:color w:val="000000"/>
                <w:sz w:val="18"/>
              </w:rPr>
              <w:t>Item</w:t>
            </w:r>
          </w:p>
        </w:tc>
        <w:tc>
          <w:tcPr>
            <w:tcW w:type="dxa" w:w="4968"/>
          </w:tcPr>
          <w:p>
            <w:r>
              <w:rPr>
                <w:rFonts w:ascii="Arial" w:hAnsi="Arial"/>
                <w:b/>
                <w:color w:val="000000"/>
                <w:sz w:val="18"/>
              </w:rPr>
              <w:t>Keterangan</w:t>
            </w:r>
          </w:p>
        </w:tc>
      </w:tr>
      <w:tr>
        <w:tc>
          <w:tcPr>
            <w:tcW w:type="dxa" w:w="4968"/>
          </w:tcPr>
          <w:p>
            <w:r>
              <w:rPr>
                <w:rFonts w:ascii="Arial" w:hAnsi="Arial"/>
                <w:color w:val="000000"/>
                <w:sz w:val="18"/>
              </w:rPr>
              <w:t>Nama repository</w:t>
            </w:r>
          </w:p>
        </w:tc>
        <w:tc>
          <w:tcPr>
            <w:tcW w:type="dxa" w:w="4968"/>
          </w:tcPr>
          <w:p>
            <w:r>
              <w:rPr>
                <w:rFonts w:ascii="Arial" w:hAnsi="Arial"/>
                <w:color w:val="000000"/>
                <w:sz w:val="18"/>
              </w:rPr>
              <w:t>Project-EAI</w:t>
            </w:r>
          </w:p>
        </w:tc>
      </w:tr>
      <w:tr>
        <w:tc>
          <w:tcPr>
            <w:tcW w:type="dxa" w:w="4968"/>
          </w:tcPr>
          <w:p>
            <w:r>
              <w:rPr>
                <w:rFonts w:ascii="Arial" w:hAnsi="Arial"/>
                <w:color w:val="000000"/>
                <w:sz w:val="18"/>
              </w:rPr>
              <w:t>URL repository</w:t>
            </w:r>
          </w:p>
        </w:tc>
        <w:tc>
          <w:tcPr>
            <w:tcW w:type="dxa" w:w="4968"/>
          </w:tcPr>
          <w:p>
            <w:r>
              <w:rPr>
                <w:rFonts w:ascii="Arial" w:hAnsi="Arial"/>
                <w:color w:val="000000"/>
                <w:sz w:val="18"/>
              </w:rPr>
              <w:t>https://github.com/Yahya-nz/Project-EAI.git</w:t>
            </w:r>
          </w:p>
        </w:tc>
      </w:tr>
      <w:tr>
        <w:tc>
          <w:tcPr>
            <w:tcW w:type="dxa" w:w="4968"/>
          </w:tcPr>
          <w:p>
            <w:r>
              <w:rPr>
                <w:rFonts w:ascii="Arial" w:hAnsi="Arial"/>
                <w:color w:val="000000"/>
                <w:sz w:val="18"/>
              </w:rPr>
              <w:t>Branch utama</w:t>
            </w:r>
          </w:p>
        </w:tc>
        <w:tc>
          <w:tcPr>
            <w:tcW w:type="dxa" w:w="4968"/>
          </w:tcPr>
          <w:p>
            <w:r>
              <w:rPr>
                <w:rFonts w:ascii="Arial" w:hAnsi="Arial"/>
                <w:color w:val="000000"/>
                <w:sz w:val="18"/>
              </w:rPr>
              <w:t>main</w:t>
            </w:r>
          </w:p>
        </w:tc>
      </w:tr>
      <w:tr>
        <w:tc>
          <w:tcPr>
            <w:tcW w:type="dxa" w:w="4968"/>
          </w:tcPr>
          <w:p>
            <w:r>
              <w:rPr>
                <w:rFonts w:ascii="Arial" w:hAnsi="Arial"/>
                <w:color w:val="000000"/>
                <w:sz w:val="18"/>
              </w:rPr>
              <w:t>Status report 1</w:t>
            </w:r>
          </w:p>
        </w:tc>
        <w:tc>
          <w:tcPr>
            <w:tcW w:type="dxa" w:w="4968"/>
          </w:tcPr>
          <w:p>
            <w:r>
              <w:rPr>
                <w:rFonts w:ascii="Arial" w:hAnsi="Arial"/>
                <w:color w:val="000000"/>
                <w:sz w:val="18"/>
              </w:rPr>
              <w:t>Repo disiapkan untuk proposal, struktur awal, dokumen, dan diagram</w:t>
            </w:r>
          </w:p>
        </w:tc>
      </w:tr>
    </w:tbl>
    <w:p/>
    <w:p>
      <w:pPr>
        <w:pStyle w:val="BodyText"/>
      </w:pPr>
      <w:r>
        <w:rPr>
          <w:rFonts w:ascii="Arial" w:hAnsi="Arial"/>
          <w:color w:val="000000"/>
          <w:sz w:val="21"/>
        </w:rPr>
        <w:t>Struktur repository yang direncanakan:</w:t>
      </w:r>
    </w:p>
    <w:tbl>
      <w:tblPr>
        <w:tblStyle w:val="TableGrid"/>
        <w:tblW w:type="auto" w:w="0"/>
        <w:tblLook w:firstColumn="1" w:firstRow="1" w:lastColumn="0" w:lastRow="0" w:noHBand="0" w:noVBand="1" w:val="04A0"/>
      </w:tblPr>
      <w:tblGrid>
        <w:gridCol w:w="9936"/>
      </w:tblGrid>
      <w:tr>
        <w:tc>
          <w:tcPr>
            <w:tcW w:type="dxa" w:w="9936"/>
          </w:tcPr>
          <w:p>
            <w:r/>
          </w:p>
          <w:p>
            <w:pPr>
              <w:pStyle w:val="CodeBlock"/>
            </w:pPr>
            <w:r>
              <w:rPr>
                <w:rFonts w:ascii="Courier New" w:hAnsi="Courier New"/>
                <w:color w:val="000000"/>
                <w:sz w:val="18"/>
              </w:rPr>
              <w:t>Project-EAI/</w:t>
            </w:r>
          </w:p>
          <w:p>
            <w:pPr>
              <w:pStyle w:val="CodeBlock"/>
            </w:pPr>
            <w:r>
              <w:rPr>
                <w:rFonts w:ascii="Courier New" w:hAnsi="Courier New"/>
                <w:color w:val="000000"/>
                <w:sz w:val="18"/>
              </w:rPr>
              <w:t>├── pos-service/</w:t>
            </w:r>
          </w:p>
          <w:p>
            <w:pPr>
              <w:pStyle w:val="CodeBlock"/>
            </w:pPr>
            <w:r>
              <w:rPr>
                <w:rFonts w:ascii="Courier New" w:hAnsi="Courier New"/>
                <w:color w:val="000000"/>
                <w:sz w:val="18"/>
              </w:rPr>
              <w:t>├── inventory-service/</w:t>
            </w:r>
          </w:p>
          <w:p>
            <w:pPr>
              <w:pStyle w:val="CodeBlock"/>
            </w:pPr>
            <w:r>
              <w:rPr>
                <w:rFonts w:ascii="Courier New" w:hAnsi="Courier New"/>
                <w:color w:val="000000"/>
                <w:sz w:val="18"/>
              </w:rPr>
              <w:t>├── accounting-service/</w:t>
            </w:r>
          </w:p>
          <w:p>
            <w:pPr>
              <w:pStyle w:val="CodeBlock"/>
            </w:pPr>
            <w:r>
              <w:rPr>
                <w:rFonts w:ascii="Courier New" w:hAnsi="Courier New"/>
                <w:color w:val="000000"/>
                <w:sz w:val="18"/>
              </w:rPr>
              <w:t>├── integration-service/</w:t>
            </w:r>
          </w:p>
          <w:p>
            <w:pPr>
              <w:pStyle w:val="CodeBlock"/>
            </w:pPr>
            <w:r>
              <w:rPr>
                <w:rFonts w:ascii="Courier New" w:hAnsi="Courier New"/>
                <w:color w:val="000000"/>
                <w:sz w:val="18"/>
              </w:rPr>
              <w:t>├── diagrams/</w:t>
            </w:r>
          </w:p>
          <w:p>
            <w:pPr>
              <w:pStyle w:val="CodeBlock"/>
            </w:pPr>
            <w:r>
              <w:rPr>
                <w:rFonts w:ascii="Courier New" w:hAnsi="Courier New"/>
                <w:color w:val="000000"/>
                <w:sz w:val="18"/>
              </w:rPr>
              <w:t>├── docs/</w:t>
            </w:r>
          </w:p>
          <w:p>
            <w:pPr>
              <w:pStyle w:val="CodeBlock"/>
            </w:pPr>
            <w:r>
              <w:rPr>
                <w:rFonts w:ascii="Courier New" w:hAnsi="Courier New"/>
                <w:color w:val="000000"/>
                <w:sz w:val="18"/>
              </w:rPr>
              <w:t>├── docker-compose.yml</w:t>
            </w:r>
          </w:p>
          <w:p>
            <w:pPr>
              <w:pStyle w:val="CodeBlock"/>
            </w:pPr>
            <w:r>
              <w:rPr>
                <w:rFonts w:ascii="Courier New" w:hAnsi="Courier New"/>
                <w:color w:val="000000"/>
                <w:sz w:val="18"/>
              </w:rPr>
              <w:t>├── .env.example</w:t>
            </w:r>
          </w:p>
          <w:p>
            <w:pPr>
              <w:pStyle w:val="CodeBlock"/>
            </w:pPr>
            <w:r>
              <w:rPr>
                <w:rFonts w:ascii="Courier New" w:hAnsi="Courier New"/>
                <w:color w:val="000000"/>
                <w:sz w:val="18"/>
              </w:rPr>
              <w:t>└── README.md</w:t>
            </w:r>
          </w:p>
        </w:tc>
      </w:tr>
    </w:tbl>
    <w:p/>
    <w:p>
      <w:pPr>
        <w:pStyle w:val="BodyText"/>
      </w:pPr>
      <w:r>
        <w:rPr>
          <w:rFonts w:ascii="Arial" w:hAnsi="Arial"/>
          <w:color w:val="000000"/>
          <w:sz w:val="21"/>
        </w:rPr>
        <w:t>Komponen yang disiapkan untuk Report 1:</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rFonts w:ascii="Arial" w:hAnsi="Arial"/>
                <w:b/>
                <w:color w:val="000000"/>
                <w:sz w:val="18"/>
              </w:rPr>
              <w:t>Item</w:t>
            </w:r>
          </w:p>
        </w:tc>
        <w:tc>
          <w:tcPr>
            <w:tcW w:type="dxa" w:w="4968"/>
          </w:tcPr>
          <w:p>
            <w:r>
              <w:rPr>
                <w:rFonts w:ascii="Arial" w:hAnsi="Arial"/>
                <w:b/>
                <w:color w:val="000000"/>
                <w:sz w:val="18"/>
              </w:rPr>
              <w:t>Status Report 1</w:t>
            </w:r>
          </w:p>
        </w:tc>
      </w:tr>
      <w:tr>
        <w:tc>
          <w:tcPr>
            <w:tcW w:type="dxa" w:w="4968"/>
          </w:tcPr>
          <w:p>
            <w:r>
              <w:rPr>
                <w:rFonts w:ascii="Arial" w:hAnsi="Arial"/>
                <w:color w:val="000000"/>
                <w:sz w:val="18"/>
              </w:rPr>
              <w:t>Proposal tema</w:t>
            </w:r>
          </w:p>
        </w:tc>
        <w:tc>
          <w:tcPr>
            <w:tcW w:type="dxa" w:w="4968"/>
          </w:tcPr>
          <w:p>
            <w:r>
              <w:rPr>
                <w:rFonts w:ascii="Arial" w:hAnsi="Arial"/>
                <w:color w:val="000000"/>
                <w:sz w:val="18"/>
              </w:rPr>
              <w:t>Disiapkan</w:t>
            </w:r>
          </w:p>
        </w:tc>
      </w:tr>
      <w:tr>
        <w:tc>
          <w:tcPr>
            <w:tcW w:type="dxa" w:w="4968"/>
          </w:tcPr>
          <w:p>
            <w:r>
              <w:rPr>
                <w:rFonts w:ascii="Arial" w:hAnsi="Arial"/>
                <w:color w:val="000000"/>
                <w:sz w:val="18"/>
              </w:rPr>
              <w:t>Daftar aplikasi</w:t>
            </w:r>
          </w:p>
        </w:tc>
        <w:tc>
          <w:tcPr>
            <w:tcW w:type="dxa" w:w="4968"/>
          </w:tcPr>
          <w:p>
            <w:r>
              <w:rPr>
                <w:rFonts w:ascii="Arial" w:hAnsi="Arial"/>
                <w:color w:val="000000"/>
                <w:sz w:val="18"/>
              </w:rPr>
              <w:t>Disiapkan</w:t>
            </w:r>
          </w:p>
        </w:tc>
      </w:tr>
      <w:tr>
        <w:tc>
          <w:tcPr>
            <w:tcW w:type="dxa" w:w="4968"/>
          </w:tcPr>
          <w:p>
            <w:r>
              <w:rPr>
                <w:rFonts w:ascii="Arial" w:hAnsi="Arial"/>
                <w:color w:val="000000"/>
                <w:sz w:val="18"/>
              </w:rPr>
              <w:t>Format data setiap aplikasi</w:t>
            </w:r>
          </w:p>
        </w:tc>
        <w:tc>
          <w:tcPr>
            <w:tcW w:type="dxa" w:w="4968"/>
          </w:tcPr>
          <w:p>
            <w:r>
              <w:rPr>
                <w:rFonts w:ascii="Arial" w:hAnsi="Arial"/>
                <w:color w:val="000000"/>
                <w:sz w:val="18"/>
              </w:rPr>
              <w:t>Disiapkan</w:t>
            </w:r>
          </w:p>
        </w:tc>
      </w:tr>
      <w:tr>
        <w:tc>
          <w:tcPr>
            <w:tcW w:type="dxa" w:w="4968"/>
          </w:tcPr>
          <w:p>
            <w:r>
              <w:rPr>
                <w:rFonts w:ascii="Arial" w:hAnsi="Arial"/>
                <w:color w:val="000000"/>
                <w:sz w:val="18"/>
              </w:rPr>
              <w:t>Diagram arsitektur integrasi</w:t>
            </w:r>
          </w:p>
        </w:tc>
        <w:tc>
          <w:tcPr>
            <w:tcW w:type="dxa" w:w="4968"/>
          </w:tcPr>
          <w:p>
            <w:r>
              <w:rPr>
                <w:rFonts w:ascii="Arial" w:hAnsi="Arial"/>
                <w:color w:val="000000"/>
                <w:sz w:val="18"/>
              </w:rPr>
              <w:t>Disiapkan</w:t>
            </w:r>
          </w:p>
        </w:tc>
      </w:tr>
      <w:tr>
        <w:tc>
          <w:tcPr>
            <w:tcW w:type="dxa" w:w="4968"/>
          </w:tcPr>
          <w:p>
            <w:r>
              <w:rPr>
                <w:rFonts w:ascii="Arial" w:hAnsi="Arial"/>
                <w:color w:val="000000"/>
                <w:sz w:val="18"/>
              </w:rPr>
              <w:t>Repository inisiasi</w:t>
            </w:r>
          </w:p>
        </w:tc>
        <w:tc>
          <w:tcPr>
            <w:tcW w:type="dxa" w:w="4968"/>
          </w:tcPr>
          <w:p>
            <w:r>
              <w:rPr>
                <w:rFonts w:ascii="Arial" w:hAnsi="Arial"/>
                <w:color w:val="000000"/>
                <w:sz w:val="18"/>
              </w:rPr>
              <w:t>Disiapkan</w:t>
            </w:r>
          </w:p>
        </w:tc>
      </w:tr>
    </w:tbl>
    <w:p/>
    <w:p>
      <w:pPr>
        <w:pStyle w:val="Heading2"/>
      </w:pPr>
      <w:r>
        <w:rPr>
          <w:rFonts w:ascii="Arial" w:hAnsi="Arial"/>
          <w:b/>
          <w:color w:val="000000"/>
          <w:sz w:val="28"/>
        </w:rPr>
        <w:t>13. Rencana Pengerjaan Berikutnya</w:t>
      </w:r>
    </w:p>
    <w:tbl>
      <w:tblPr>
        <w:tblStyle w:val="TableGrid"/>
        <w:tblW w:type="auto" w:w="0"/>
        <w:tblLayout w:type="autofit"/>
        <w:tblLook w:firstColumn="1" w:firstRow="1" w:lastColumn="0" w:lastRow="0" w:noHBand="0" w:noVBand="1" w:val="04A0"/>
      </w:tblPr>
      <w:tblGrid>
        <w:gridCol w:w="4968"/>
        <w:gridCol w:w="4968"/>
      </w:tblGrid>
      <w:tr>
        <w:tc>
          <w:tcPr>
            <w:tcW w:type="dxa" w:w="4968"/>
          </w:tcPr>
          <w:p>
            <w:r>
              <w:rPr>
                <w:rFonts w:ascii="Arial" w:hAnsi="Arial"/>
                <w:b/>
                <w:color w:val="000000"/>
                <w:sz w:val="18"/>
              </w:rPr>
              <w:t>Tahap</w:t>
            </w:r>
          </w:p>
        </w:tc>
        <w:tc>
          <w:tcPr>
            <w:tcW w:type="dxa" w:w="4968"/>
          </w:tcPr>
          <w:p>
            <w:r>
              <w:rPr>
                <w:rFonts w:ascii="Arial" w:hAnsi="Arial"/>
                <w:b/>
                <w:color w:val="000000"/>
                <w:sz w:val="18"/>
              </w:rPr>
              <w:t>Rencana Pekerjaan</w:t>
            </w:r>
          </w:p>
        </w:tc>
      </w:tr>
      <w:tr>
        <w:tc>
          <w:tcPr>
            <w:tcW w:type="dxa" w:w="4968"/>
          </w:tcPr>
          <w:p>
            <w:r>
              <w:rPr>
                <w:rFonts w:ascii="Arial" w:hAnsi="Arial"/>
                <w:color w:val="000000"/>
                <w:sz w:val="18"/>
              </w:rPr>
              <w:t>Tahap 1 / Report 1</w:t>
            </w:r>
          </w:p>
        </w:tc>
        <w:tc>
          <w:tcPr>
            <w:tcW w:type="dxa" w:w="4968"/>
          </w:tcPr>
          <w:p>
            <w:r>
              <w:rPr>
                <w:rFonts w:ascii="Arial" w:hAnsi="Arial"/>
                <w:color w:val="000000"/>
                <w:sz w:val="18"/>
              </w:rPr>
              <w:t>Proposal tema, daftar aplikasi, format data, diagram arsitektur integrasi, dan repo inisiasi</w:t>
            </w:r>
          </w:p>
        </w:tc>
      </w:tr>
      <w:tr>
        <w:tc>
          <w:tcPr>
            <w:tcW w:type="dxa" w:w="4968"/>
          </w:tcPr>
          <w:p>
            <w:r>
              <w:rPr>
                <w:rFonts w:ascii="Arial" w:hAnsi="Arial"/>
                <w:color w:val="000000"/>
                <w:sz w:val="18"/>
              </w:rPr>
              <w:t>Tahap 2</w:t>
            </w:r>
          </w:p>
        </w:tc>
        <w:tc>
          <w:tcPr>
            <w:tcW w:type="dxa" w:w="4968"/>
          </w:tcPr>
          <w:p>
            <w:r>
              <w:rPr>
                <w:rFonts w:ascii="Arial" w:hAnsi="Arial"/>
                <w:color w:val="000000"/>
                <w:sz w:val="18"/>
              </w:rPr>
              <w:t>Implementasi POS Service, Inventory Service, Accounting Service, dan Integration Service</w:t>
            </w:r>
          </w:p>
        </w:tc>
      </w:tr>
      <w:tr>
        <w:tc>
          <w:tcPr>
            <w:tcW w:type="dxa" w:w="4968"/>
          </w:tcPr>
          <w:p>
            <w:r>
              <w:rPr>
                <w:rFonts w:ascii="Arial" w:hAnsi="Arial"/>
                <w:color w:val="000000"/>
                <w:sz w:val="18"/>
              </w:rPr>
              <w:t>Tahap 3</w:t>
            </w:r>
          </w:p>
        </w:tc>
        <w:tc>
          <w:tcPr>
            <w:tcW w:type="dxa" w:w="4968"/>
          </w:tcPr>
          <w:p>
            <w:r>
              <w:rPr>
                <w:rFonts w:ascii="Arial" w:hAnsi="Arial"/>
                <w:color w:val="000000"/>
                <w:sz w:val="18"/>
              </w:rPr>
              <w:t>Integrasi RabbitMQ, transformasi data, dokumentasi Swagger/OpenAPI, testing, laporan akhir, dan video demo</w:t>
            </w:r>
          </w:p>
        </w:tc>
      </w:tr>
    </w:tbl>
    <w:p/>
    <w:p>
      <w:pPr>
        <w:pStyle w:val="Heading2"/>
      </w:pPr>
      <w:r>
        <w:rPr>
          <w:rFonts w:ascii="Arial" w:hAnsi="Arial"/>
          <w:b/>
          <w:color w:val="000000"/>
          <w:sz w:val="28"/>
        </w:rPr>
        <w:t>14. Kesimpulan Proposal</w:t>
      </w:r>
    </w:p>
    <w:p>
      <w:pPr>
        <w:pStyle w:val="BodyText"/>
      </w:pPr>
      <w:r>
        <w:rPr>
          <w:rFonts w:ascii="Arial" w:hAnsi="Arial"/>
          <w:color w:val="000000"/>
          <w:sz w:val="21"/>
        </w:rPr>
        <w:t>Proposal ini mengusulkan tema Retail Enterprise Integration karena memiliki alur bisnis yang mudah dipahami dan sesuai untuk menunjukkan integrasi antar aplikasi enterprise. Rancangan terdiri dari POS Service, Inventory Service, Accounting Service, Integration Service, dan RabbitMQ.</w:t>
      </w:r>
    </w:p>
    <w:p>
      <w:pPr>
        <w:pStyle w:val="BodyText"/>
      </w:pPr>
      <w:r>
        <w:rPr>
          <w:rFonts w:ascii="Arial" w:hAnsi="Arial"/>
          <w:color w:val="000000"/>
          <w:sz w:val="21"/>
        </w:rPr>
        <w:t>Pada tahap pertama, fokus pekerjaan adalah menyiapkan rancangan awal dan inisiasi repository. Implementasi penuh, pengujian end-to-end, laporan akhir, dan video demo akan dikerjakan pada tahap berikutnya.</w:t>
      </w:r>
    </w:p>
    <w:p>
      <w:pPr>
        <w:pStyle w:val="Heading2"/>
      </w:pPr>
      <w:r>
        <w:rPr>
          <w:rFonts w:ascii="Arial" w:hAnsi="Arial"/>
          <w:b/>
          <w:color w:val="000000"/>
          <w:sz w:val="28"/>
        </w:rPr>
        <w:t>Daftar Pustaka</w:t>
      </w:r>
    </w:p>
    <w:p>
      <w:pPr>
        <w:pStyle w:val="BodyText"/>
      </w:pPr>
      <w:r>
        <w:rPr>
          <w:rFonts w:ascii="Arial" w:hAnsi="Arial"/>
          <w:color w:val="000000"/>
          <w:sz w:val="21"/>
        </w:rPr>
        <w:t>Hohpe, G., &amp; Woolf, B. (2003). Enterprise Integration Patterns: Designing, Building, and Deploying Messaging Solutions. Addison-Wesley.</w:t>
      </w:r>
    </w:p>
    <w:p>
      <w:pPr>
        <w:pStyle w:val="BodyText"/>
      </w:pPr>
      <w:r>
        <w:rPr>
          <w:rFonts w:ascii="Arial" w:hAnsi="Arial"/>
          <w:color w:val="000000"/>
          <w:sz w:val="21"/>
        </w:rPr>
        <w:t>OpenAPI Initiative. (n.d.). OpenAPI Specification. https://www.openapis.org/</w:t>
      </w:r>
    </w:p>
    <w:p>
      <w:pPr>
        <w:pStyle w:val="BodyText"/>
      </w:pPr>
      <w:r>
        <w:rPr>
          <w:rFonts w:ascii="Arial" w:hAnsi="Arial"/>
          <w:color w:val="000000"/>
          <w:sz w:val="21"/>
        </w:rPr>
        <w:t>RabbitMQ. (n.d.). RabbitMQ tutorial: Publish/Subscribe. https://www.rabbitmq.com/tutorials/tutorial-three-javascript</w:t>
      </w:r>
    </w:p>
    <w:p>
      <w:pPr>
        <w:pStyle w:val="BodyText"/>
      </w:pPr>
      <w:r>
        <w:rPr>
          <w:rFonts w:ascii="Arial" w:hAnsi="Arial"/>
          <w:color w:val="000000"/>
          <w:sz w:val="21"/>
        </w:rPr>
        <w:t>Richardson, C. (n.d.). Pattern: Database per service. Microservices.io. https://microservices.io/patterns/data/database-per-service.html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D3DFEE"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D3DFEE"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000000"/>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themeColor="accent1"/>
          <w:insideV w:val="single" w:sz="6" w:space="0" w:color="000000"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basedOn w:val="Normal"/>
    <w:pPr>
      <w:spacing w:after="120" w:line="259" w:lineRule="auto"/>
    </w:pPr>
    <w:rPr>
      <w:rFonts w:ascii="Arial" w:hAnsi="Arial"/>
      <w:color w:val="000000"/>
      <w:sz w:val="21"/>
    </w:rPr>
  </w:style>
  <w:style w:type="paragraph" w:customStyle="1" w:styleId="CodeBlock">
    <w:name w:val="CodeBlock"/>
    <w:pPr>
      <w:spacing w:after="40"/>
      <w:ind w:left="360"/>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D3DFEE"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D3DFEE"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000000"/>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themeColor="accent1"/>
          <w:insideV w:val="single" w:sz="6" w:space="0" w:color="000000"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