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realizadas al componente de aprendizaje no supervisado</w:t>
      </w:r>
    </w:p>
    <w:p>
      <w:r>
        <w:t>Componente: modelo K-Means para agrupación de patrones de uso del transporte masivo. Las pruebas se diseñaron para comprobar carga de datos, preprocesamiento, entrenamiento, evaluación y generación de resultados.</w:t>
      </w:r>
    </w:p>
    <w:p>
      <w:pPr>
        <w:pStyle w:val="Heading1"/>
      </w:pPr>
      <w:r>
        <w:t>1. Ambiente de ejecución</w:t>
      </w:r>
    </w:p>
    <w:p>
      <w:pPr>
        <w:pStyle w:val="ListBullet"/>
      </w:pPr>
      <w:r>
        <w:t>Sistema operativo: Windows.</w:t>
      </w:r>
    </w:p>
    <w:p>
      <w:pPr>
        <w:pStyle w:val="ListBullet"/>
      </w:pPr>
      <w:r>
        <w:t>Lenguaje: Python 3.x.</w:t>
      </w:r>
    </w:p>
    <w:p>
      <w:pPr>
        <w:pStyle w:val="ListBullet"/>
      </w:pPr>
      <w:r>
        <w:t>Editor sugerido: Visual Studio Code.</w:t>
      </w:r>
    </w:p>
    <w:p>
      <w:pPr>
        <w:pStyle w:val="ListBullet"/>
      </w:pPr>
      <w:r>
        <w:t>Librerías: pandas, numpy, scikit-learn y matplotlib.</w:t>
      </w:r>
    </w:p>
    <w:p>
      <w:pPr>
        <w:pStyle w:val="ListBullet"/>
      </w:pPr>
      <w:r>
        <w:t>Dataset: dataset_transporte_muestra.csv, 60 registros.</w:t>
      </w:r>
    </w:p>
    <w:p>
      <w:pPr>
        <w:pStyle w:val="Heading1"/>
      </w:pPr>
      <w:r>
        <w:t>2. Pruebas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Prueba</w:t>
            </w:r>
          </w:p>
        </w:tc>
        <w:tc>
          <w:tcPr>
            <w:tcW w:type="dxa" w:w="2160"/>
          </w:tcPr>
          <w:p>
            <w:r>
              <w:t>Procedimiento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P01 – Carga del dataset</w:t>
            </w:r>
          </w:p>
        </w:tc>
        <w:tc>
          <w:tcPr>
            <w:tcW w:type="dxa" w:w="2160"/>
          </w:tcPr>
          <w:p>
            <w:r>
              <w:t>Ejecutar el programa con el CSV en la misma carpeta.</w:t>
            </w:r>
          </w:p>
        </w:tc>
        <w:tc>
          <w:tcPr>
            <w:tcW w:type="dxa" w:w="2160"/>
          </w:tcPr>
          <w:p>
            <w:r>
              <w:t>Se cargan 60 registros sin error.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P02 – Selección de variables</w:t>
            </w:r>
          </w:p>
        </w:tc>
        <w:tc>
          <w:tcPr>
            <w:tcW w:type="dxa" w:w="2160"/>
          </w:tcPr>
          <w:p>
            <w:r>
              <w:t>Comprobar que las seis variables numéricas existan.</w:t>
            </w:r>
          </w:p>
        </w:tc>
        <w:tc>
          <w:tcPr>
            <w:tcW w:type="dxa" w:w="2160"/>
          </w:tcPr>
          <w:p>
            <w:r>
              <w:t>El modelo recibe 6 características.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P03 – Estandarización</w:t>
            </w:r>
          </w:p>
        </w:tc>
        <w:tc>
          <w:tcPr>
            <w:tcW w:type="dxa" w:w="2160"/>
          </w:tcPr>
          <w:p>
            <w:r>
              <w:t>Aplicar StandardScaler antes de K-Means.</w:t>
            </w:r>
          </w:p>
        </w:tc>
        <w:tc>
          <w:tcPr>
            <w:tcW w:type="dxa" w:w="2160"/>
          </w:tcPr>
          <w:p>
            <w:r>
              <w:t>Las variables quedan en una escala comparable.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P04 – Selección de k</w:t>
            </w:r>
          </w:p>
        </w:tc>
        <w:tc>
          <w:tcPr>
            <w:tcW w:type="dxa" w:w="2160"/>
          </w:tcPr>
          <w:p>
            <w:r>
              <w:t>Evaluar k=2,3,4,5 mediante silueta.</w:t>
            </w:r>
          </w:p>
        </w:tc>
        <w:tc>
          <w:tcPr>
            <w:tcW w:type="dxa" w:w="2160"/>
          </w:tcPr>
          <w:p>
            <w:r>
              <w:t>El programa selecciona automáticamente el k con mayor silueta.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P05 – Entrenamiento</w:t>
            </w:r>
          </w:p>
        </w:tc>
        <w:tc>
          <w:tcPr>
            <w:tcW w:type="dxa" w:w="2160"/>
          </w:tcPr>
          <w:p>
            <w:r>
              <w:t>Ejecutar K-Means con random_state=42.</w:t>
            </w:r>
          </w:p>
        </w:tc>
        <w:tc>
          <w:tcPr>
            <w:tcW w:type="dxa" w:w="2160"/>
          </w:tcPr>
          <w:p>
            <w:r>
              <w:t>Cada registro recibe una etiqueta de cluster.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P06 – Evaluación</w:t>
            </w:r>
          </w:p>
        </w:tc>
        <w:tc>
          <w:tcPr>
            <w:tcW w:type="dxa" w:w="2160"/>
          </w:tcPr>
          <w:p>
            <w:r>
              <w:t>Calcular coeficiente de silueta.</w:t>
            </w:r>
          </w:p>
        </w:tc>
        <w:tc>
          <w:tcPr>
            <w:tcW w:type="dxa" w:w="2160"/>
          </w:tcPr>
          <w:p>
            <w:r>
              <w:t>Se obtiene un valor numérico entre -1 y 1.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P07 – Exportación</w:t>
            </w:r>
          </w:p>
        </w:tc>
        <w:tc>
          <w:tcPr>
            <w:tcW w:type="dxa" w:w="2160"/>
          </w:tcPr>
          <w:p>
            <w:r>
              <w:t>Revisar resultados_clustering.csv.</w:t>
            </w:r>
          </w:p>
        </w:tc>
        <w:tc>
          <w:tcPr>
            <w:tcW w:type="dxa" w:w="2160"/>
          </w:tcPr>
          <w:p>
            <w:r>
              <w:t>El archivo contiene las columnas originales y cluster.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  <w:tr>
        <w:tc>
          <w:tcPr>
            <w:tcW w:type="dxa" w:w="2160"/>
          </w:tcPr>
          <w:p>
            <w:r>
              <w:t>P08 – Visualización</w:t>
            </w:r>
          </w:p>
        </w:tc>
        <w:tc>
          <w:tcPr>
            <w:tcW w:type="dxa" w:w="2160"/>
          </w:tcPr>
          <w:p>
            <w:r>
              <w:t>Generar la reducción PCA.</w:t>
            </w:r>
          </w:p>
        </w:tc>
        <w:tc>
          <w:tcPr>
            <w:tcW w:type="dxa" w:w="2160"/>
          </w:tcPr>
          <w:p>
            <w:r>
              <w:t>Se crea grafico_clusters.png con los grupos.</w:t>
            </w:r>
          </w:p>
        </w:tc>
        <w:tc>
          <w:tcPr>
            <w:tcW w:type="dxa" w:w="2160"/>
          </w:tcPr>
          <w:p>
            <w:r>
              <w:t>Aprobada</w:t>
            </w:r>
          </w:p>
        </w:tc>
      </w:tr>
    </w:tbl>
    <w:p>
      <w:pPr>
        <w:pStyle w:val="Heading1"/>
      </w:pPr>
      <w:r>
        <w:t>3. Evidencias esperadas</w:t>
      </w:r>
    </w:p>
    <w:p>
      <w:r>
        <w:t>Al ejecutar el programa se debe mostrar en la terminal el número de registros, el número de variables, el mejor número de clusters, el coeficiente de silueta para cada valor de k probado y el perfil promedio de cada cluster.</w:t>
      </w:r>
    </w:p>
    <w:p>
      <w:r>
        <w:t>El programa genera dos archivos adicionales: resultados_clustering.csv, que contiene las etiquetas de agrupamiento, y grafico_clusters.png, que permite observar visualmente la separación de los grupos.</w:t>
      </w:r>
    </w:p>
    <w:p>
      <w:pPr>
        <w:pStyle w:val="Heading1"/>
      </w:pPr>
      <w:r>
        <w:t>4. Criterios de aceptación</w:t>
      </w:r>
    </w:p>
    <w:p>
      <w:pPr>
        <w:pStyle w:val="ListBullet"/>
      </w:pPr>
      <w:r>
        <w:t>El programa se ejecuta sin errores con el dataset suministrado.</w:t>
      </w:r>
    </w:p>
    <w:p>
      <w:pPr>
        <w:pStyle w:val="ListBullet"/>
      </w:pPr>
      <w:r>
        <w:t>El modelo utiliza aprendizaje no supervisado y no requiere una columna objetivo.</w:t>
      </w:r>
    </w:p>
    <w:p>
      <w:pPr>
        <w:pStyle w:val="ListBullet"/>
      </w:pPr>
      <w:r>
        <w:t>Se generan etiquetas de cluster para todos los registros.</w:t>
      </w:r>
    </w:p>
    <w:p>
      <w:pPr>
        <w:pStyle w:val="ListBullet"/>
      </w:pPr>
      <w:r>
        <w:t>El coeficiente de silueta se calcula correctamente.</w:t>
      </w:r>
    </w:p>
    <w:p>
      <w:pPr>
        <w:pStyle w:val="ListBullet"/>
      </w:pPr>
      <w:r>
        <w:t>Los resultados se exportan a un archivo CSV.</w:t>
      </w:r>
    </w:p>
    <w:p>
      <w:pPr>
        <w:pStyle w:val="ListBullet"/>
      </w:pPr>
      <w:r>
        <w:t>Se genera una representación gráfica de los agrupamientos.</w:t>
      </w:r>
    </w:p>
    <w:p>
      <w:pPr>
        <w:pStyle w:val="Heading1"/>
      </w:pPr>
      <w:r>
        <w:t>5. Conclusión de las pruebas</w:t>
      </w:r>
    </w:p>
    <w:p>
      <w:r>
        <w:t>Las pruebas definidas cubren las etapas principales del componente: entrada, preparación de datos, entrenamiento, evaluación y salida. El diseño permite reproducir la ejecución y verificar que el modelo cumple el propósito académico de identificar grupos de comportamiento en observaciones del transporte masivo.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