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color w:val="666666"/>
          <w:sz w:val="24"/>
          <w:szCs w:val="24"/>
        </w:rPr>
        <w:t xml:space="preserve">Análisis de Datos y Toma de Decisiones en Computación</w:t>
      </w:r>
    </w:p>
    <w:p>
      <w:pPr>
        <w:spacing w:before="100"/>
        <w:jc w:val="center"/>
      </w:pPr>
      <w:r>
        <w:rPr>
          <w:color w:val="666666"/>
          <w:sz w:val="24"/>
          <w:szCs w:val="24"/>
        </w:rPr>
        <w:t xml:space="preserve">Facultad de Ingeniería de Sistemas Computacionales</w:t>
      </w:r>
    </w:p>
    <w:p>
      <w:pPr>
        <w:spacing w:after="200" w:before="400"/>
        <w:jc w:val="center"/>
      </w:pPr>
      <w:r>
        <w:rPr>
          <w:b/>
          <w:bCs/>
          <w:color w:val="1F4E5F"/>
          <w:sz w:val="44"/>
          <w:szCs w:val="44"/>
        </w:rPr>
        <w:t xml:space="preserve">Tarea #3 – Dashboards en Python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Dashboard interactivo de calidad del aire con el dataset Air Quality (UCI)</w:t>
      </w:r>
    </w:p>
    <w:p>
      <w:pPr>
        <w:spacing w:before="800"/>
        <w:jc w:val="center"/>
      </w:pPr>
      <w:r>
        <w:rPr>
          <w:sz w:val="24"/>
          <w:szCs w:val="24"/>
        </w:rPr>
        <w:t xml:space="preserve">Grupo 1IL-133 — 1er Semestre 2026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Integrantes: [Nombre 1 — Cédula] · [Nombre 2 — Cédula] · [Nombre 3 — Cédula]</w:t>
      </w:r>
    </w:p>
    <w:p>
      <w:pPr>
        <w:spacing w:before="1200"/>
        <w:jc w:val="center"/>
      </w:pPr>
      <w:r>
        <w:rPr>
          <w:color w:val="555555"/>
          <w:sz w:val="22"/>
          <w:szCs w:val="22"/>
        </w:rPr>
        <w:t xml:space="preserve">2 de julio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Introducción al conjunto de datos</w:t>
      </w:r>
    </w:p>
    <w:p>
      <w:pPr>
        <w:spacing w:after="160"/>
      </w:pPr>
      <w:r>
        <w:t xml:space="preserve">El proyecto utiliza el dataset Air Quality del UCI Machine Learning Repository (De Vito, S., 2008; DOI: 10.24432/C59K5F), disponible en https://archive.ics.uci.edu/dataset/360/air+quality. El conjunto de datos contiene 9357 lecturas horarias recolectadas entre el 10 de marzo de 2004 y el 4 de abril de 2005 por un dispositivo multisensor de óxidos metálicos instalado a nivel de calle en una zona significativamente contaminada de una ciudad italiana.</w:t>
      </w:r>
    </w:p>
    <w:p>
      <w:pPr>
        <w:spacing w:after="160"/>
      </w:pPr>
      <w:r>
        <w:t xml:space="preserve">El dispositivo incluye cinco sensores químicos de bajo costo (CO, NMHC, NOx, NO2 y O3) cuyas respuestas se contrastan contra concentraciones de referencia certificadas, medidas por un analizador de referencia co-ubicado. Esto convierte al dataset en un caso clásico de calibración de sensores de bajo costo (problema de regresión supervisada) y, a la vez, en una serie de tiempo multivariada apta para análisis de distribución, estacionalidad y correlación.</w:t>
      </w:r>
    </w:p>
    <w:p>
      <w:pPr>
        <w:pStyle w:val="Heading2"/>
      </w:pPr>
      <w:r>
        <w:t xml:space="preserve">1.1 Variables del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CO(GT)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 de referencia (analizador certificado)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mg/m³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PT08.S1(CO)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Respuesta del sensor de óxido de estaño (objetivo CO)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NMHC(GT)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Hidrocarburos no metánicos de referencia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µg/m³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C6H6(GT)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Benceno de referencia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µg/m³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PT08.S2(NMHC)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Respuesta del sensor de titania (objetivo NMHC)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NOx(GT)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Óxidos de nitrógeno de referencia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ppb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PT08.S3(NOx)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Respuesta del sensor de óxido de tungsteno (objetivo NOx)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NO2(GT)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Dióxido de nitrógeno de referencia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µg/m³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PT08.S4(NO2)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Respuesta del sensor de óxido de tungsteno (objetivo NO2)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PT08.S5(O3)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Respuesta del sensor de óxido de indio (objetivo O3)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/ RH / AH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Temperatura / humedad relativa / humedad absoluta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°C, %, 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Tratamiento de datos realizado</w:t>
      </w:r>
    </w:p>
    <w:p>
      <w:pPr>
        <w:spacing w:after="160"/>
      </w:pPr>
      <w:r>
        <w:t xml:space="preserve">El CSV original utiliza punto y coma como separador y coma como separador decimal (formato europeo). El backend de Python (módulo data_processing.py) realiza los siguientes pasos: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Eliminación de columnas y filas completamente vacías, artefacto de la exportación original del CSV (dos columnas finales sin nombre y filas en blanco al final del archivo).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Construcción de una marca de tiempo (timestamp) combinando las columnas Date y Time, e indexación cronológica del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Conversión del código de dato faltante documentado por UCI, el valor -200, a NaN en las 13 columnas numéricas.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Imputación por interpolación temporal lineal para las variables con menos de 18% de faltantes, apropiada por tratarse de una serie horaria con dinámica suave entre lecturas consecutivas.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variable NMHC(GT) se documenta aparte (90.2% de datos faltantes, sensor saturado durante gran parte del despliegue) y se excluye de la imputación masiva para no introducir sesgo artificial.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Generación de variables de calendario (mes, hora, día de la semana) para habilitar el análisis de estacionalidad en el dashboard.</w:t>
      </w:r>
    </w:p>
    <w:p>
      <w:pPr>
        <w:pStyle w:val="Heading2"/>
      </w:pPr>
      <w:r>
        <w:t xml:space="preserve">2.1 Resumen de valores faltantes (antes de imputar)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faltante</w:t>
            </w:r>
          </w:p>
        </w:tc>
      </w:tr>
      <w:tr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NMHC(GT)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90.23%</w:t>
            </w:r>
          </w:p>
        </w:tc>
      </w:tr>
      <w:tr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CO(GT)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17.99%</w:t>
            </w:r>
          </w:p>
        </w:tc>
      </w:tr>
      <w:tr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NO2(GT)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17.55%</w:t>
            </w:r>
          </w:p>
        </w:tc>
      </w:tr>
      <w:tr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NOx(GT)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17.52%</w:t>
            </w:r>
          </w:p>
        </w:tc>
      </w:tr>
      <w:tr>
        <w:tc>
          <w:tcPr>
            <w:tcW w:type="dxa" w:w="6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PT08.S1..S5, C6H6(GT), T, RH, AH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3.91% (cada una)</w:t>
            </w:r>
          </w:p>
        </w:tc>
      </w:tr>
    </w:tbl>
    <w:p>
      <w:pPr>
        <w:pStyle w:val="Heading1"/>
      </w:pPr>
      <w:r>
        <w:t xml:space="preserve">3. Metodología de análisis</w:t>
      </w:r>
    </w:p>
    <w:p>
      <w:pPr>
        <w:pStyle w:val="Heading2"/>
      </w:pPr>
      <w:r>
        <w:t xml:space="preserve">3.1 Análisis Exploratorio de Datos (EDA)</w:t>
      </w:r>
    </w:p>
    <w:p>
      <w:pPr>
        <w:spacing w:after="160"/>
      </w:pPr>
      <w:r>
        <w:t xml:space="preserve">El EDA (módulo eda_analysis.py) siguió los siguientes pasos: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Estadística descriptiva (media, mediana, desviación estándar, mínimo/máximo, cuartiles) de las 13 variables numéricas.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Análisis de distribución y normalidad: cálculo de asimetría (skewness) y curtosis, y pruebas formales de normalidad de D'Agostino-Pearson y Shapiro-Wilk (muestreada). Todas las variables rechazan la hipótesis de normalidad (p &lt; 0.05); la mayoría presenta asimetría positiva, típica de concentraciones de contaminantes (muchos valores bajos y una cola de eventos de alta contaminación).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Análisis de correlación entre las 13 variables, para identificar relaciones entre sensores de bajo costo y sus valores de referencia, así como entre contaminantes.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Segmentación temporal (por mes, por hora del día) para detectar patrones de estacionalidad y de tránsito vehicular (picos en horas pico).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Detección de outliers mediante diagramas de caja (boxplot) por mes.</w:t>
      </w:r>
    </w:p>
    <w:p>
      <w:pPr>
        <w:pStyle w:val="Heading2"/>
      </w:pPr>
      <w:r>
        <w:t xml:space="preserve">3.2 Modelo de Machine Learning (opcional)</w:t>
      </w:r>
    </w:p>
    <w:p>
      <w:pPr>
        <w:spacing w:after="160"/>
      </w:pPr>
      <w:r>
        <w:t xml:space="preserve">Se entrenó un modelo supervisado de regresión cuyo objetivo es predecir la concentración real de CO (CO(GT)) a partir de las respuestas de los cinco sensores de bajo costo y las variables ambientales (T, RH, AH); este es precisamente el problema de calibración de sensores que motivó la creación del dataset. Se compararon dos algoritmos: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Regresión Lineal (modelo base, interpretable).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Random Forest Regressor (modelo no lineal, 200 árboles).</w:t>
      </w:r>
    </w:p>
    <w:p>
      <w:pPr>
        <w:spacing w:after="160"/>
      </w:pPr>
      <w:r>
        <w:t xml:space="preserve">Los datos se dividieron 75/25 (entrenamiento/prueba) y las variables se estandarizaron antes de entrenar. Resultados sobre el conjunto de prueba: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 (mg/m³)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Regresión Lineal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0.711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0.492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0.800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0.409</w:t>
            </w:r>
          </w:p>
        </w:tc>
      </w:tr>
    </w:tbl>
    <w:p>
      <w:pPr>
        <w:spacing w:after="160"/>
      </w:pPr>
      <w:r>
        <w:t xml:space="preserve">El Random Forest captura mejor las relaciones no lineales y las interacciones entre sensores (R² = 0.80 frente a 0.71 de la regresión lineal), confirmando que la respuesta conjunta de los cinco sensores permite estimar razonablemente bien la concentración real de CO sin necesidad de un analizador certificado costoso.</w:t>
      </w:r>
    </w:p>
    <w:p>
      <w:pPr>
        <w:pStyle w:val="Heading1"/>
      </w:pPr>
      <w:r>
        <w:t xml:space="preserve">4. Visualizaciones del Dashboard</w:t>
      </w:r>
    </w:p>
    <w:p>
      <w:pPr>
        <w:spacing w:after="160"/>
      </w:pPr>
      <w:r>
        <w:t xml:space="preserve">El frontend se implementó con Flask + Dash + Plotly (app.py). El diseño del dashboard sigue una metodología simple de tipo 'overview + detalle': una fila superior de controles globales (variable, rango de fechas, agregación temporal) que alimenta un conjunto de tarjetas KPI y seis gráficas organizadas en una cuadrícula responsiva (layout de tarjetas con sombra, inspirado en dashboards de BI como Power BI / Tableau), de modo que el usuario explora primero un resumen numérico y luego profundiza visualmente.</w:t>
      </w:r>
    </w:p>
    <w:p>
      <w:pPr>
        <w:pStyle w:val="Heading2"/>
      </w:pPr>
      <w:r>
        <w:t xml:space="preserve">4.1 Serie de tiempo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441448"/>
            <wp:effectExtent t="0" r="0" b="0" l="0"/>
            <wp:docPr id="1" name="Serie de tiempo de CO" descr="Serie de tiempo de CO" title="Serie de tiempo de 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 Serie de tiempo (agregación diaria) del CO de referencia. Reacciona al dropdown de variable, al selector de fechas y al control de agregación (horaria/diaria/semanal).</w:t>
      </w:r>
    </w:p>
    <w:p>
      <w:pPr>
        <w:pStyle w:val="Heading2"/>
      </w:pPr>
      <w:r>
        <w:t xml:space="preserve">4.2 Distribución y normalidad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441448"/>
            <wp:effectExtent t="0" r="0" b="0" l="0"/>
            <wp:docPr id="1" name="Histograma de CO" descr="Histograma de CO" title="Histograma de 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Histograma de densidad de CO(GT) con la curva normal teórica superpuesta, evidenciando la asimetría positiva de la distribución.</w:t>
      </w:r>
    </w:p>
    <w:p>
      <w:pPr>
        <w:pStyle w:val="Heading2"/>
      </w:pPr>
      <w:r>
        <w:t xml:space="preserve">4.3 Estacionalidad mensual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441448"/>
            <wp:effectExtent t="0" r="0" b="0" l="0"/>
            <wp:docPr id="1" name="Boxplot mensual" descr="Boxplot mensual" title="Boxplot mens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3. Diagrama de caja mensual de CO(GT), útil para identificar outliers y diferencias estacionales en la calidad del aire.</w:t>
      </w:r>
    </w:p>
    <w:p>
      <w:pPr>
        <w:pStyle w:val="Heading2"/>
      </w:pPr>
      <w:r>
        <w:t xml:space="preserve">4.4 Correlación entre variables</w:t>
      </w:r>
    </w:p>
    <w:p>
      <w:pPr>
        <w:spacing w:after="60" w:before="120"/>
        <w:jc w:val="center"/>
      </w:pPr>
      <w:r>
        <w:drawing>
          <wp:inline distT="0" distB="0" distL="0" distR="0">
            <wp:extent cx="4846320" cy="4242816"/>
            <wp:effectExtent t="0" r="0" b="0" l="0"/>
            <wp:docPr id="1" name="Mapa de calor de correlación" descr="Mapa de calor de correlación" title="Mapa de calor de corre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4. Matriz de correlación entre las 13 variables numéricas del dataset.</w:t>
      </w:r>
    </w:p>
    <w:p>
      <w:pPr>
        <w:pStyle w:val="Heading2"/>
      </w:pPr>
      <w:r>
        <w:t xml:space="preserve">4.5 Calibración sensor vs. referencia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441448"/>
            <wp:effectExtent t="0" r="0" b="0" l="0"/>
            <wp:docPr id="1" name="Dispersión sensor vs referencia" descr="Dispersión sensor vs referencia" title="Dispersión sensor vs refer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5. Dispersión entre la respuesta del sensor PT08.S1(CO) y el valor de referencia, con ajuste de regresión lineal (R² indicado en la leyenda).</w:t>
      </w:r>
    </w:p>
    <w:p>
      <w:pPr>
        <w:pStyle w:val="Heading2"/>
      </w:pPr>
      <w:r>
        <w:t xml:space="preserve">4.6 Calidad de los datos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441448"/>
            <wp:effectExtent t="0" r="0" b="0" l="0"/>
            <wp:docPr id="1" name="Porcentaje de faltantes" descr="Porcentaje de faltantes" title="Porcentaje de falt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6. Porcentaje de valores faltantes (código -200) por variable, antes de la imputación.</w:t>
      </w:r>
    </w:p>
    <w:p>
      <w:pPr>
        <w:pStyle w:val="Heading2"/>
      </w:pPr>
      <w:r>
        <w:t xml:space="preserve">4.7 Controladores (callbacks)</w:t>
      </w:r>
    </w:p>
    <w:p>
      <w:pPr>
        <w:spacing w:after="160"/>
      </w:pPr>
      <w:r>
        <w:t xml:space="preserve">El dashboard implementa cinco controles interactivos y cinco callbacks de Dash que reaccionan a ellos (superando el mínimo de dos requerido):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Dropdown de variable de análisis → actualiza KPIs, serie de tiempo, histograma, boxplot mensual y dispersión de calibración.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Selector de rango de fechas (DatePickerRange) → filtra todas las gráficas reactivas al período seleccionado.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Selector de agregación temporal (horaria / diaria / semanal) → cambia el remuestreo de la serie de tiempo.</w:t>
      </w:r>
    </w:p>
    <w:p>
      <w:pPr>
        <w:pStyle w:val="Heading1"/>
      </w:pPr>
      <w:r>
        <w:t xml:space="preserve">5. Resultados de la ejecución de la integración</w:t>
      </w:r>
    </w:p>
    <w:p>
      <w:pPr>
        <w:spacing w:after="160"/>
      </w:pPr>
      <w:r>
        <w:t xml:space="preserve">La integración Backend (limpieza de datos, EDA, modelo de ML) – Frontend (Dash) se ejecutó exitosamente de forma local: data_processing.py limpia 9357 observaciones a partir de las 9471 filas originales del CSV; eda_analysis.py genera el resumen estadístico, las pruebas de normalidad y el modelo de regresión en menos de un minuto; y app.py levanta un servidor Flask/Dash en http://127.0.0.1:8050 que sirve el dashboard completo. Se verificó cada callback de forma aislada (invocando las funciones de Python directamente y mediante peticiones HTTP al servidor), confirmando que las seis gráficas y los cinco controles responden correctamente a los cambios de variable, rango de fechas y agregación temporal.</w:t>
      </w:r>
    </w:p>
    <w:p>
      <w:pPr>
        <w:spacing w:after="160"/>
      </w:pPr>
      <w:r>
        <w:t xml:space="preserve">Como hallazgo principal del análisis: las variables de referencia (CO, NMHC, Benceno, NOx) están altamente correlacionadas entre sí (r &gt; 0.79 en la mayoría de los pares), lo cual es consistente con que todas provienen de fuentes de combustión vehicular. El sensor PT08.S3(NOx) está inversamente correlacionado con casi todos los demás (r ≈ -0.6 a -0.8) debido a su principio de funcionamiento (su resistencia disminuye cuando aumenta la concentración del gas objetivo). El modelo Random Forest logró un R² de 0.80 prediciendo la concentración real de CO únicamente a partir de las respuestas de los sensores de bajo costo, lo que respalda la viabilidad de calibrar sensores económicos contra un modelo entrenado con datos de referencia.</w:t>
      </w:r>
    </w:p>
    <w:p>
      <w:pPr>
        <w:pStyle w:val="Heading1"/>
      </w:pPr>
      <w:r>
        <w:t xml:space="preserve">Referencias</w:t>
      </w:r>
    </w:p>
    <w:p>
      <w:pPr>
        <w:spacing w:after="160"/>
      </w:pPr>
      <w:r>
        <w:t xml:space="preserve">De Vito, S., Massera, E., Piga, M., Martinotto, L., &amp; Di Francia, G. (2008). On field calibration of an electronic nose for benzene estimation in an urban pollution monitoring scenario. Sensors and Actuators B: Chemical, 129(2), 750–757.</w:t>
      </w:r>
    </w:p>
    <w:p>
      <w:pPr>
        <w:spacing w:after="160"/>
      </w:pPr>
      <w:r>
        <w:t xml:space="preserve">De Vito, S. (2008). Air Quality [Dataset]. UCI Machine Learning Repository. https://doi.org/10.24432/C59K5F</w:t>
      </w:r>
    </w:p>
    <w:p>
      <w:pPr>
        <w:spacing w:after="160"/>
      </w:pPr>
      <w:r>
        <w:t xml:space="preserve">Plotly Technologies Inc. (2026). Dash Documentation. https://dash.plotly.com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Tarea #3 – Dashboards en Python | Grupo 1IL-133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17e664d04dca4cc3c5df8eae50e586291996b5e.png"/><Relationship Id="rId10" Type="http://schemas.openxmlformats.org/officeDocument/2006/relationships/image" Target="media/bcb35582fae92886a7741f7a9e62788f78907605.png"/><Relationship Id="rId11" Type="http://schemas.openxmlformats.org/officeDocument/2006/relationships/image" Target="media/deb576dca261c424c7486206f591ac7cb9fc9e70.png"/><Relationship Id="rId12" Type="http://schemas.openxmlformats.org/officeDocument/2006/relationships/image" Target="media/7819500544ee123170d322dedce90f3763889f36.png"/><Relationship Id="rId13" Type="http://schemas.openxmlformats.org/officeDocument/2006/relationships/image" Target="media/3b74db9508a368aba82bcd7c35df4f6f84482de7.png"/><Relationship Id="rId14" Type="http://schemas.openxmlformats.org/officeDocument/2006/relationships/image" Target="media/5d8b0094847ab4e21f96142c306acc63a280f01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2026-06-30T23:35:40.894Z</dcterms:created>
  <dcterms:modified xsi:type="dcterms:W3CDTF">2026-06-30T23:35:40.894Z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