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42" w:rsidRDefault="007B2D42" w:rsidP="007B2D42">
      <w:r>
        <w:t>con la adopción:</w:t>
      </w:r>
    </w:p>
    <w:p w:rsidR="007B2D42" w:rsidRDefault="007B2D42" w:rsidP="007B2D42">
      <w:bookmarkStart w:id="0" w:name="_GoBack"/>
      <w:bookmarkEnd w:id="0"/>
      <w:r>
        <w:t xml:space="preserve"> establecer la distinción entre la</w:t>
      </w:r>
      <w:r>
        <w:t xml:space="preserve"> </w:t>
      </w:r>
      <w:r>
        <w:t>madre legal y la biológica. Pero es obvio que, en la adopción, no existe el acuerdo</w:t>
      </w:r>
      <w:r>
        <w:t xml:space="preserve"> </w:t>
      </w:r>
      <w:r>
        <w:t>previo entre la mujer que gesta un niño y las personas que asumirán la paternidad</w:t>
      </w:r>
      <w:r>
        <w:t xml:space="preserve"> </w:t>
      </w:r>
      <w:r>
        <w:t xml:space="preserve">que, sin embargo, es la causa de toda gestación subrogada. </w:t>
      </w:r>
    </w:p>
    <w:p w:rsidR="006C2E60" w:rsidRDefault="007B2D42" w:rsidP="007B2D42">
      <w:r>
        <w:t>Se trata, pues, de una</w:t>
      </w:r>
      <w:r>
        <w:t xml:space="preserve"> </w:t>
      </w:r>
      <w:r>
        <w:t>práctica inédita hasta los tiempos recientes y con un enorme impacto en todos los</w:t>
      </w:r>
      <w:r>
        <w:t xml:space="preserve"> </w:t>
      </w:r>
      <w:r>
        <w:t>planos de la vida humana: cultural, social, ético y jurídico.</w:t>
      </w:r>
    </w:p>
    <w:sectPr w:rsidR="006C2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42"/>
    <w:rsid w:val="006C2E60"/>
    <w:rsid w:val="007B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B1B8"/>
  <w15:chartTrackingRefBased/>
  <w15:docId w15:val="{229D867E-9B7F-40D8-9357-B951620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rojas</dc:creator>
  <cp:keywords/>
  <dc:description/>
  <cp:lastModifiedBy>brayan rojas</cp:lastModifiedBy>
  <cp:revision>1</cp:revision>
  <dcterms:created xsi:type="dcterms:W3CDTF">2020-05-24T00:57:00Z</dcterms:created>
  <dcterms:modified xsi:type="dcterms:W3CDTF">2020-05-24T01:09:00Z</dcterms:modified>
</cp:coreProperties>
</file>