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ind w:firstLine="0"/>
        <w:jc w:val="center"/>
        <w:rPr>
          <w:rFonts w:ascii="Cambria" w:cs="Cambria" w:eastAsia="Cambria" w:hAnsi="Cambria"/>
          <w:b w:val="1"/>
          <w:bCs w:val="1"/>
          <w:i w:val="0"/>
          <w:iCs w:val="0"/>
          <w:color w:val="000000"/>
          <w:sz w:val="22"/>
          <w:szCs w:val="22"/>
        </w:rPr>
      </w:pPr>
      <w:bookmarkStart w:colFirst="0" w:colLast="0" w:name="_3d9wofcc4tj8" w:id="0"/>
      <w:bookmarkEnd w:id="0"/>
      <w:r w:rsidDel="00000000" w:rsidR="00000000" w:rsidRPr="00000000">
        <w:rPr>
          <w:rFonts w:ascii="Cambria" w:cs="Cambria" w:eastAsia="Cambria" w:hAnsi="Cambria"/>
          <w:b w:val="1"/>
          <w:bCs w:val="1"/>
          <w:i w:val="0"/>
          <w:iCs w:val="0"/>
          <w:color w:val="000000"/>
          <w:sz w:val="22"/>
          <w:szCs w:val="22"/>
          <w:rtl w:val="0"/>
        </w:rPr>
        <w:t xml:space="preserve">CHAPTER 2</w:t>
      </w:r>
      <w:r w:rsidDel="00000000" w:rsidR="00000000" w:rsidRPr="00000000">
        <w:rPr>
          <w:rtl w:val="0"/>
        </w:rPr>
      </w:r>
    </w:p>
    <w:p w:rsidR="00000000" w:rsidDel="00000000" w:rsidP="00000000" w:rsidRDefault="00000000" w:rsidRPr="00000000" w14:paraId="00000002">
      <w:pPr>
        <w:pStyle w:val="Heading1"/>
        <w:spacing w:after="0" w:before="0" w:line="480" w:lineRule="auto"/>
        <w:ind w:firstLine="0"/>
        <w:jc w:val="center"/>
        <w:rPr>
          <w:rFonts w:ascii="Cambria" w:cs="Cambria" w:eastAsia="Cambria" w:hAnsi="Cambria"/>
          <w:b w:val="1"/>
          <w:bCs w:val="1"/>
          <w:i w:val="0"/>
          <w:iCs w:val="0"/>
          <w:color w:val="000000"/>
          <w:sz w:val="22"/>
          <w:szCs w:val="22"/>
        </w:rPr>
      </w:pPr>
      <w:bookmarkStart w:colFirst="0" w:colLast="0" w:name="_o8lyavq98did" w:id="1"/>
      <w:bookmarkEnd w:id="1"/>
      <w:r w:rsidDel="00000000" w:rsidR="00000000" w:rsidRPr="00000000">
        <w:rPr>
          <w:rFonts w:ascii="Cambria" w:cs="Cambria" w:eastAsia="Cambria" w:hAnsi="Cambria"/>
          <w:b w:val="1"/>
          <w:bCs w:val="1"/>
          <w:i w:val="0"/>
          <w:iCs w:val="0"/>
          <w:color w:val="000000"/>
          <w:sz w:val="22"/>
          <w:szCs w:val="22"/>
          <w:rtl w:val="0"/>
        </w:rPr>
        <w:t xml:space="preserve">REVIEW OF RELATED LITERATURE</w:t>
      </w:r>
    </w:p>
    <w:p w:rsidR="00000000" w:rsidDel="00000000" w:rsidP="00000000" w:rsidRDefault="00000000" w:rsidRPr="00000000" w14:paraId="00000003">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This chapter presents the literature and studies that informed the design of the Computer Vision and Autonomous Drone Inspection for Hydroponic Towers with Web Dashboard Integration. The review is organized by topic and moves from the agricultural problem to the technologies used to address it. It begins with vertical hydroponic farming and its monitoring challenges, then examines sensor-based smart farming, QR codes and GPS tagging for asset registration, computer vision for crop detection, and object tracking for counting. It then reviews unmanned aerial vehicles (UAVs) in agriculture, the limits of GPS and the use of visual fiducial markers for drone positioning, edge versus offboard processing, offline-first data handling, web dashboards, two-dimensional imaging versus three-dimensional reconstruction, flight safety and drone regulations, and the development methodology and user evaluation approach adopted in the study. Each section combines foreign and local sources and relates the reviewed works to the design of the present study. The chapter closes with a synthesis of the reviewed literature and a statement of the research gap that the study addresses.</w:t>
      </w:r>
    </w:p>
    <w:p w:rsidR="00000000" w:rsidDel="00000000" w:rsidP="00000000" w:rsidRDefault="00000000" w:rsidRPr="00000000" w14:paraId="00000004">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a4ti7mytb9f" w:id="2"/>
      <w:bookmarkEnd w:id="2"/>
      <w:r w:rsidDel="00000000" w:rsidR="00000000" w:rsidRPr="00000000">
        <w:rPr>
          <w:rFonts w:ascii="Cambria" w:cs="Cambria" w:eastAsia="Cambria" w:hAnsi="Cambria"/>
          <w:b w:val="1"/>
          <w:bCs w:val="1"/>
          <w:i w:val="0"/>
          <w:iCs w:val="0"/>
          <w:color w:val="000000"/>
          <w:sz w:val="22"/>
          <w:szCs w:val="22"/>
          <w:rtl w:val="0"/>
        </w:rPr>
        <w:t xml:space="preserve">Vertical Hydroponic Farming and Its Monitoring Challenges</w:t>
      </w:r>
    </w:p>
    <w:p w:rsidR="00000000" w:rsidDel="00000000" w:rsidP="00000000" w:rsidRDefault="00000000" w:rsidRPr="00000000" w14:paraId="00000005">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Despommier (2010) proposed the vertical farm as a way of growing food in multistory structures inside cities, so that crop production could expand upward instead of outward onto scarce farmland. Later reviews have treated the idea with more caution. In a review of the current status of vertical farming systems, van Delden et al. (2021) reported that vertical farming can produce food in a climate-resilient manner and with lower land and water use than conventional agriculture, but they also stressed that its success as part of mainstream agriculture depends on improvements in profitability, energy efficiency, public policy, and consumer acceptance. The book edited by Kozai, Niu, and Takagaki (2020) described the plant factory as an indoor vertical farming system for efficient, quality food production and presented it as a closed and highly controlled form of cultivation. Together, these works show that vertical systems are promising for land-constrained areas but are only viable when they are managed efficiently.</w:t>
      </w:r>
    </w:p>
    <w:p w:rsidR="00000000" w:rsidDel="00000000" w:rsidP="00000000" w:rsidRDefault="00000000" w:rsidRPr="00000000" w14:paraId="00000006">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Hydroponics, the cultivation of plants in a nutrient solution without soil, is the growing method most closely associated with vertical systems. Reviewing urban smart vertical farming from Malaysia, Saad, Hamdan, and Sarker (2021) examined its types, topologies, technologies, and control systems and argued that automation is needed to raise productivity. Siregar, Seminar, Wahjuni, and Santosa (2022), in an Indonesian review, identified the use of artificial intelligence to monitor crop growth, forecast crop nutrition, and evaluate plant health as one of the main prospects of vertical farming. Both reviews focused on environmental control and plant condition rather than on how growers keep track of which growing positions are in use.</w:t>
      </w:r>
    </w:p>
    <w:p w:rsidR="00000000" w:rsidDel="00000000" w:rsidP="00000000" w:rsidRDefault="00000000" w:rsidRPr="00000000" w14:paraId="00000007">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Philippine initiatives show a similar direction. DOST-PCAARRD (n.d.) reported that the University of the Philippines Los Baños developed the Sustainable Indoor Farm for Growing Leafy Vegetables using Artificial Lighting (SIGLA), a modular vertical farm intended to promote urban agriculture and to increase access to high-value leafy vegetables in industrial and urban areas, with several lettuce cultivars among its cropping trials. At a smaller scale, Bendanillo (2023) of Cebu Technological University described a hydroponic garden built from a PVC main line with multiple holes for pots and a submersible pump that circulates the nutrient solution; respondents found the device acceptable, although its construction required repeated adjustment of slope and level. This pipe-and-pot arrangement divides each structure into discrete growing slots, which is the same layout found in vertical hydroponic towers.</w:t>
      </w:r>
    </w:p>
    <w:p w:rsidR="00000000" w:rsidDel="00000000" w:rsidP="00000000" w:rsidRDefault="00000000" w:rsidRPr="00000000" w14:paraId="00000008">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Monitoring these slots is still largely manual. Domingo (2022) reported that a lettuce farm in Iloilo had recorded its microclimate and agronomic data by hand, that the results tended to be inconsistent and led to variable yields, and that an Internet of Things (IoT) smart greenhouse developed by the Iloilo Science and Technology University reduced the labor involved. Knowing where plants are also matters for space use: Petropoulou et al. (2023) used imaging and computer vision to support plant spacing decisions in autonomous lettuce production, showing that information about plant positions can guide how growing space is allocated. Published studies, however, have rarely examined how long growers take to count planted and empty pots on vertical towers or how accurate such manual counts are, which suggests that this aspect of tower management remains largely undocumented.</w:t>
      </w:r>
    </w:p>
    <w:p w:rsidR="00000000" w:rsidDel="00000000" w:rsidP="00000000" w:rsidRDefault="00000000" w:rsidRPr="00000000" w14:paraId="00000009">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literature supports the premise that vertical hydroponic towers save land but must be managed efficiently, and that monitoring in local farms is still done by hand. It also shows that tower layouts are made up of discrete pot positions. These findings justify the focus of the present study on slot availability, that is, the number of empty pots compared with the total number of slots on a tower, as information that farmers can use to plan replanting and harvesting.</w:t>
      </w:r>
    </w:p>
    <w:p w:rsidR="00000000" w:rsidDel="00000000" w:rsidP="00000000" w:rsidRDefault="00000000" w:rsidRPr="00000000" w14:paraId="0000000A">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sgnwxl2zwla7" w:id="3"/>
      <w:bookmarkEnd w:id="3"/>
      <w:r w:rsidDel="00000000" w:rsidR="00000000" w:rsidRPr="00000000">
        <w:rPr>
          <w:rFonts w:ascii="Cambria" w:cs="Cambria" w:eastAsia="Cambria" w:hAnsi="Cambria"/>
          <w:b w:val="1"/>
          <w:bCs w:val="1"/>
          <w:i w:val="0"/>
          <w:iCs w:val="0"/>
          <w:color w:val="000000"/>
          <w:sz w:val="22"/>
          <w:szCs w:val="22"/>
          <w:rtl w:val="0"/>
        </w:rPr>
        <w:t xml:space="preserve">IoT and Smart Farming in Hydroponics</w:t>
      </w:r>
    </w:p>
    <w:p w:rsidR="00000000" w:rsidDel="00000000" w:rsidP="00000000" w:rsidRDefault="00000000" w:rsidRPr="00000000" w14:paraId="0000000B">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Most technology support for hydroponic farms has come from the Internet of Things, in which networked sensors collect and transmit farm data automatically. Dhanaraju, Chenniappan, Ramalingam, Pazhanivelan, and Kaliaperumal (2022) described smart farming as the progression of precision agriculture, in which real-time data on crops and remote monitoring allow farmers to manage water and other resources more precisely. In Qatar, Chowdhury et al. (2020) built a low-cost automated indoor vertical hydroponic system in which temperature, light, pH, electrical conductivity, and water level were monitored and displayed through a web interface and a mobile application. Locally, Domingo (2022) described an IoT system that automated the monitoring and control of growth parameters for lettuce grown in a nutrient film technique setup, while Santiago et al. (2025) of Manuel S. Enverga University Foundation developed an IoT system that monitored and regulated environmental conditions in real time and automated fertilizer delivery for lettuce in a community greenhouse.</w:t>
      </w:r>
    </w:p>
    <w:p w:rsidR="00000000" w:rsidDel="00000000" w:rsidP="00000000" w:rsidRDefault="00000000" w:rsidRPr="00000000" w14:paraId="0000000C">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studies agree that sensor networks can reduce the effort of maintaining growing conditions, but they share a common limit. Every system reviewed measured the condition of the air or the nutrient solution, and none reported whether each growing slot actually held a plant. A pH probe or a temperature sensor cannot tell a planted pot from an empty one. Checking pot occupancy requires a visual record of the structure itself, which places it outside the reach of conventional environmental sensors and within the scope of computer vision.</w:t>
      </w:r>
    </w:p>
    <w:p w:rsidR="00000000" w:rsidDel="00000000" w:rsidP="00000000" w:rsidRDefault="00000000" w:rsidRPr="00000000" w14:paraId="0000000D">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This gap indicates that standard environmental sensors cannot visually check pot occupancy. The study does not replace environmental monitoring; it adds a visual layer that environmental sensors do not provide. The tower unit follows the same low-cost embedded approach as the IoT systems reviewed, but it is used for identification and location rather than sensing: its ESP32 microcontroller reads a GPS module and displays a QR code instead of reporting environmental readings.</w:t>
      </w:r>
    </w:p>
    <w:p w:rsidR="00000000" w:rsidDel="00000000" w:rsidP="00000000" w:rsidRDefault="00000000" w:rsidRPr="00000000" w14:paraId="0000000E">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30hszrf12wm" w:id="4"/>
      <w:bookmarkEnd w:id="4"/>
      <w:r w:rsidDel="00000000" w:rsidR="00000000" w:rsidRPr="00000000">
        <w:rPr>
          <w:rFonts w:ascii="Cambria" w:cs="Cambria" w:eastAsia="Cambria" w:hAnsi="Cambria"/>
          <w:b w:val="1"/>
          <w:bCs w:val="1"/>
          <w:i w:val="0"/>
          <w:iCs w:val="0"/>
          <w:color w:val="000000"/>
          <w:sz w:val="22"/>
          <w:szCs w:val="22"/>
          <w:rtl w:val="0"/>
        </w:rPr>
        <w:t xml:space="preserve">QR Codes, GPS Tagging, and Asset Registration in Agriculture</w:t>
      </w:r>
    </w:p>
    <w:p w:rsidR="00000000" w:rsidDel="00000000" w:rsidP="00000000" w:rsidRDefault="00000000" w:rsidRPr="00000000" w14:paraId="0000000F">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QR codes are widely used in agriculture to attach information to physical items. Tarjan, Šenk, Tegeltija, Stankovski, and Ostojić (2014) proposed recording product data as a QR code for a food traceability system and tested how well Android smartphones could read the codes. They found that readability depended on the module size of the code, the material on which it was printed, geometric deformation, and the error correction level used. Their results show that a QR code is a practical way to transfer an identifier and a small amount of data to a phone in the field, provided that its size and printing are suited to the reading conditions.</w:t>
      </w:r>
    </w:p>
    <w:p w:rsidR="00000000" w:rsidDel="00000000" w:rsidP="00000000" w:rsidRDefault="00000000" w:rsidRPr="00000000" w14:paraId="00000010">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Attaching a location to an asset depends on the accuracy of the GPS receiver. According to the official GPS.gov (n.d.) information page, the accuracy a user actually obtains depends on satellite geometry, signal blockage, atmospheric conditions, and the quality of the receiver; GPS-enabled smartphones are typically accurate to within a 4.9 m radius under open sky, and accuracy worsens near buildings, bridges, and trees. In a UAV context, Wubben et al. (2019) noted that traditional GPS-based landing typically deviates from the intended target by 1 to 3 m. A GPS coordinate is therefore enough to locate a tower within a farm, but it is not precise enough to identify a single pot. Averaging several readings from a stationary receiver can reduce random scatter in the recorded position, but it cannot remove errors caused by obstructions or satellite geometry, so an averaged coordinate should still be treated as accurate only to a few meters.</w:t>
      </w:r>
    </w:p>
    <w:p w:rsidR="00000000" w:rsidDel="00000000" w:rsidP="00000000" w:rsidRDefault="00000000" w:rsidRPr="00000000" w14:paraId="00000011">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display that carries the code must also remain readable outdoors. In their review of electronic paper, Heikenfeld, Drzaic, Yeo, and Koch (2011) described e-paper as a reflective display technology with low power requirements; unlike backlit screens, reflective displays use ambient light, which makes them suited to bright outdoor conditions. Because e-paper retains its image without continuous power, a code generated once can remain on the screen for scanning.</w:t>
      </w:r>
    </w:p>
    <w:p w:rsidR="00000000" w:rsidDel="00000000" w:rsidP="00000000" w:rsidRDefault="00000000" w:rsidRPr="00000000" w14:paraId="00000012">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sources support the design of the tower unit and of QR code registration. The QR code carries the tower ID, latitude, longitude, and a checksum so that a phone can register the tower without manual typing, and the readability findings of Tarjan et al. (2014) guide the size and placement of the displayed code. The GPS accuracy limits explain why the tower coordinates are used only to bring the drone to an approach point and why the final alignment is done visually. The same QR code is also used as the reference that marks face A of the tower.</w:t>
      </w:r>
    </w:p>
    <w:p w:rsidR="00000000" w:rsidDel="00000000" w:rsidP="00000000" w:rsidRDefault="00000000" w:rsidRPr="00000000" w14:paraId="00000013">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y3bddrufl2ol" w:id="5"/>
      <w:bookmarkEnd w:id="5"/>
      <w:r w:rsidDel="00000000" w:rsidR="00000000" w:rsidRPr="00000000">
        <w:rPr>
          <w:rFonts w:ascii="Cambria" w:cs="Cambria" w:eastAsia="Cambria" w:hAnsi="Cambria"/>
          <w:b w:val="1"/>
          <w:bCs w:val="1"/>
          <w:i w:val="0"/>
          <w:iCs w:val="0"/>
          <w:color w:val="000000"/>
          <w:sz w:val="22"/>
          <w:szCs w:val="22"/>
          <w:rtl w:val="0"/>
        </w:rPr>
        <w:t xml:space="preserve">Computer Vision for Crop Detection</w:t>
      </w:r>
    </w:p>
    <w:p w:rsidR="00000000" w:rsidDel="00000000" w:rsidP="00000000" w:rsidRDefault="00000000" w:rsidRPr="00000000" w14:paraId="00000014">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Computer vision allows a computer to interpret images, and most modern crop detection systems use convolutional neural networks (CNNs), which learn visual features directly from labeled images. Object detectors built on CNNs output a bounding box and a class label for each object they find. Redmon, Divvala, Girshick, and Farhadi (2016) introduced You Only Look Once (YOLO), which treats detection as a single regression problem solved in one pass of the network, making it fast enough for real-time use. In a review of the YOLO family from its first version to YOLOv8, Terven, Córdova-Esparza, and Romero-González (2023) described YOLO as a central real-time object detection system for robotics and video monitoring and explained the standard evaluation metrics used for detectors, including precision, recall, and mean average precision (mAP). According to its developer, YOLOv8 was released in January 2023 with an anchor-free detection head and a design aimed at balancing accuracy and speed for real-time tasks (Ultralytics, n.d.).</w:t>
      </w:r>
    </w:p>
    <w:p w:rsidR="00000000" w:rsidDel="00000000" w:rsidP="00000000" w:rsidRDefault="00000000" w:rsidRPr="00000000" w14:paraId="00000015">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YOLO models have been applied to lettuce in hydroponic settings. Wang, Wu, and Shen (2024) extracted frames from videos of hydroponic lettuce, built a dataset of 2,240 images, and trained YOLOv8n to detect the position of each lettuce head, reporting precision and recall of around 99%; the detected plants were then cropped and classified by a second network. Petropoulou et al. (2023) also used imaging and computer vision to monitor lettuce in an autonomous greenhouse challenge. These results show that lettuce heads can be detected reliably when images are taken under consistent conditions. However, both studies focused on the plants themselves; neither treated an empty growing position as a class to be detected, and both worked with cameras and viewpoints far more stable than those of a moving drone.</w:t>
      </w:r>
    </w:p>
    <w:p w:rsidR="00000000" w:rsidDel="00000000" w:rsidP="00000000" w:rsidRDefault="00000000" w:rsidRPr="00000000" w14:paraId="00000016">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Aerial images add further difficulty because targets can appear small and partly hidden. Zhu and Chen (2026) observed that lightweight CNN detectors deployed on UAVs struggle with small object recognition. Detection quality also depends on the training data: a detector learns only the classes and conditions present in its labeled dataset, so images must be collected from the angles, distances, and lighting under which the model will be used. The Ultralytics framework trains models from a dataset configuration that points to labeled images and their bounding boxes (Ultralytics, n.d.).</w:t>
      </w:r>
    </w:p>
    <w:p w:rsidR="00000000" w:rsidDel="00000000" w:rsidP="00000000" w:rsidRDefault="00000000" w:rsidRPr="00000000" w14:paraId="00000017">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studies justify the choice of YOLOv8 for detecting lettuce, empty pots, and the tower frame, and they establish precision, recall, and mAP@50 as appropriate measures of detection performance. The lack of an empty-pot class in previous lettuce studies is part of the gap the study addresses. The difficulties reported for aerial and small-object detection explain why the dataset is labeled in Supabox from multiple sides, distances, and lighting conditions and exported in YOLO format.</w:t>
      </w:r>
    </w:p>
    <w:p w:rsidR="00000000" w:rsidDel="00000000" w:rsidP="00000000" w:rsidRDefault="00000000" w:rsidRPr="00000000" w14:paraId="00000018">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kdzmubtcg41" w:id="6"/>
      <w:bookmarkEnd w:id="6"/>
      <w:r w:rsidDel="00000000" w:rsidR="00000000" w:rsidRPr="00000000">
        <w:rPr>
          <w:rFonts w:ascii="Cambria" w:cs="Cambria" w:eastAsia="Cambria" w:hAnsi="Cambria"/>
          <w:b w:val="1"/>
          <w:bCs w:val="1"/>
          <w:i w:val="0"/>
          <w:iCs w:val="0"/>
          <w:color w:val="000000"/>
          <w:sz w:val="22"/>
          <w:szCs w:val="22"/>
          <w:rtl w:val="0"/>
        </w:rPr>
        <w:t xml:space="preserve">Object Tracking and Counting from Video</w:t>
      </w:r>
    </w:p>
    <w:p w:rsidR="00000000" w:rsidDel="00000000" w:rsidP="00000000" w:rsidRDefault="00000000" w:rsidRPr="00000000" w14:paraId="00000019">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A detector that runs on every frame of a video will see the same lettuce head many times. Counting objects from video therefore requires multi-object tracking, which links detections across frames and gives each physical object a single identity. Zhang et al. (2022) proposed ByteTrack, which associates every detection box with existing tracks instead of discarding detections with low confidence scores. Because low-score boxes are often objects that are partly occluded, keeping them reduces missing objects and fragmented trajectories, which are two common causes of over-counting and under-counting. ByteTrack uses a motion model to predict where each tracked object should appear in the next frame and matches the predictions to new detections.</w:t>
      </w:r>
    </w:p>
    <w:p w:rsidR="00000000" w:rsidDel="00000000" w:rsidP="00000000" w:rsidRDefault="00000000" w:rsidRPr="00000000" w14:paraId="0000001A">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Agricultural studies show that tracking quality strongly affects counting accuracy. Villacrés, Viscaino, Delpiano, Vougioukas, and Auat Cheein (2023) compared several tracking-by-detection algorithms for counting apples from orchard videos. With perfect detections, Multiple Hypothesis Tracking and DeepSORT reached multi-object tracking accuracies of 97% and 93%, respectively; when real deep learning detectors were used, DeepSORT obtained the lowest counting error, averaging 20.07% with YOLOv5 and 31.52% with Faster R-CNN. Hossain and Lee (2019) likewise combined deep learning detection with DeepSORT and Kalman filtering to track targets from a flying robot. These findings show that a tracker cannot fully compensate for a weak detector, and that counting error should be measured against a manual ground truth rather than assumed from detection metrics alone.</w:t>
      </w:r>
    </w:p>
    <w:p w:rsidR="00000000" w:rsidDel="00000000" w:rsidP="00000000" w:rsidRDefault="00000000" w:rsidRPr="00000000" w14:paraId="0000001B">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studies support the use of ByteTrack on the ground laptop so that each pot is counted only once as the drone climbs along a face. The study goes one step further than the reviewed work by matching each tracked detection to a specific slot by face, level, and position using the marker positions, and by deciding the final status of a slot from all frames in which it appeared. Following Villacrés et al. (2023), the counting error per tower is computed by comparing the system counts with manual counts of lettuce and empty pots.</w:t>
      </w:r>
    </w:p>
    <w:p w:rsidR="00000000" w:rsidDel="00000000" w:rsidP="00000000" w:rsidRDefault="00000000" w:rsidRPr="00000000" w14:paraId="0000001C">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i5nqw178xhwr" w:id="7"/>
      <w:bookmarkEnd w:id="7"/>
      <w:r w:rsidDel="00000000" w:rsidR="00000000" w:rsidRPr="00000000">
        <w:rPr>
          <w:rFonts w:ascii="Cambria" w:cs="Cambria" w:eastAsia="Cambria" w:hAnsi="Cambria"/>
          <w:b w:val="1"/>
          <w:bCs w:val="1"/>
          <w:i w:val="0"/>
          <w:iCs w:val="0"/>
          <w:color w:val="000000"/>
          <w:sz w:val="22"/>
          <w:szCs w:val="22"/>
          <w:rtl w:val="0"/>
        </w:rPr>
        <w:t xml:space="preserve">UAVs in Precision Agriculture and Greenhouse Inspection</w:t>
      </w:r>
    </w:p>
    <w:p w:rsidR="00000000" w:rsidDel="00000000" w:rsidP="00000000" w:rsidRDefault="00000000" w:rsidRPr="00000000" w14:paraId="0000001D">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UAVs are now common in precision agriculture, but mostly in open fields. In a survey of recent UAV studies, Aslan, Durdu, Sabanci, Ropelewska, and Gültekin (2022) observed that there were almost no UAV-based applications in greenhouses, where all-season crop production takes place. Close-range work near plants is also harder than mapping from altitude. Stefas, Bayram, and Isler (2019) developed a UAV system for monitoring apple orchards and reported that GPS can be unreliable close to the ground and that tree branches can block a planned path; their system therefore required vision-based navigation, obstacle detection and avoidance, and coverage path planning. Their work shows the value of close-range aerial imaging of crops, but it was designed for cluttered orchard rows rather than for single structures in an open area.</w:t>
      </w:r>
    </w:p>
    <w:p w:rsidR="00000000" w:rsidDel="00000000" w:rsidP="00000000" w:rsidRDefault="00000000" w:rsidRPr="00000000" w14:paraId="0000001E">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Small, low-cost airframes make close-range work safer. De Azambuja, Fouad, Bouteiller, Sol, and Beltrame (2022) designed CogniFly, an open-source quadcopter under 250 g that combines carbon fiber or bamboo rods with 3D-printed soft joints; it survived multiple collisions at speeds of up to 7 m/s, flew for about 17 minutes without GPS, and had enough computing power to run deep neural network models on board. The present design takes its frame concept from CogniFly but differs in size, flight controller, and sensors.</w:t>
      </w:r>
    </w:p>
    <w:p w:rsidR="00000000" w:rsidDel="00000000" w:rsidP="00000000" w:rsidRDefault="00000000" w:rsidRPr="00000000" w14:paraId="0000001F">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Most research drones of this kind run open-source autopilots. Aliane (2024) compared prominent open-source UAV autopilots in terms of hardware compatibility, software features, and communication protocols and assessed their support for companion computers, the Robot Operating System, and software-in-the-loop (SITL) simulation; ArduPilot was listed as using the MAVLink protocol. Koubâa et al. (2019) described MAVLink as a lightweight binary protocol that carries messages in both directions between a ground station and an unmanned system and noted that MAVLink 2 added message signing to address security weaknesses. ArduPilot documentation describes a companion computer as a small onboard computer that receives all the MAVLink data produced by the autopilot, including GPS data, and can use it to make decisions during flight (ArduPilot Dev Team, n.d.-b). The same documentation describes how Gazebo can be used as an external simulator for ArduPilot Copter through SITL, including the streaming of simulated camera video (ArduPilot Dev Team, n.d.-c).</w:t>
      </w:r>
    </w:p>
    <w:p w:rsidR="00000000" w:rsidDel="00000000" w:rsidP="00000000" w:rsidRDefault="00000000" w:rsidRPr="00000000" w14:paraId="00000020">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sources support the choice of a CogniFly-inspired micro-drone running ArduPilot on the SpeedyBee F405 Mini, with the Raspberry Pi Zero 2 W as a companion computer that exchanges MAVLink messages with the flight controller. They also support testing the full-tower scanning sequence in Gazebo with ArduPilot SITL before any real flight. Unlike Stefas et al. (2019), the study does not perform obstacle avoidance; it limits flights to an open, obstacle-free area.</w:t>
      </w:r>
    </w:p>
    <w:p w:rsidR="00000000" w:rsidDel="00000000" w:rsidP="00000000" w:rsidRDefault="00000000" w:rsidRPr="00000000" w14:paraId="00000021">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9tl2gi7atx7i" w:id="8"/>
      <w:bookmarkEnd w:id="8"/>
      <w:r w:rsidDel="00000000" w:rsidR="00000000" w:rsidRPr="00000000">
        <w:rPr>
          <w:rFonts w:ascii="Cambria" w:cs="Cambria" w:eastAsia="Cambria" w:hAnsi="Cambria"/>
          <w:b w:val="1"/>
          <w:bCs w:val="1"/>
          <w:i w:val="0"/>
          <w:iCs w:val="0"/>
          <w:color w:val="000000"/>
          <w:sz w:val="22"/>
          <w:szCs w:val="22"/>
          <w:rtl w:val="0"/>
        </w:rPr>
        <w:t xml:space="preserve">GPS Limitations and Visual Fiducial Markers for Drone Positioning</w:t>
      </w:r>
    </w:p>
    <w:p w:rsidR="00000000" w:rsidDel="00000000" w:rsidP="00000000" w:rsidRDefault="00000000" w:rsidRPr="00000000" w14:paraId="00000022">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GPS alone cannot position a small drone precisely enough to inspect individual pots. Consumer receivers are typically accurate only to a few meters (GPS.gov, n.d.), and Wubben et al. (2019) noted that GPS-based landing procedures are associated with errors of a few meters even under ideal satellite reception, performing worse in many cases. Stefas et al. (2019) found GPS unreliable close to the ground. Andrzejewski, Dziewoński, Kierzkowski, Szewczyk, and Kaliszuk (2026) described this as a positioning gap for precise near-ground flight and compared GNSS navigation with optical navigation based on ArUco and AprilTag markers on real small UAVs running ArduPilot. Across these studies, the common response to the limits of satellite positioning is to add a visual reference near the target.</w:t>
      </w:r>
    </w:p>
    <w:p w:rsidR="00000000" w:rsidDel="00000000" w:rsidP="00000000" w:rsidRDefault="00000000" w:rsidRPr="00000000" w14:paraId="00000023">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Visual fiducial markers provide such a reference. A fiducial marker is a printed pattern with a known size and a unique ID that a camera can detect and use to compute its position relative to the marker. Garrido-Jurado, Muñoz-Salinas, Madrid-Cuevas, and Marín-Jiménez (2014) introduced the ArUco system, which generates marker dictionaries designed to be reliably distinguished and detected even when markers are partly occluded. Wang and Olson (2016) presented AprilTag 2, an improved detector designed to be efficient and robust. Kalaitzakis et al. (2021) compared ARTag, AprilTag, ArUco, and STag in terms of accuracy, detection rate, and computational cost under conditions that included shadows and motion blur, and concluded that fiducial markers can increase the accuracy and robustness of a localization system by providing an easily recognizable feature with embedded error detection. OpenCV documentation describes how ArUco markers are detected by thresholding the image, finding square contours, and reading the inner bits against a dictionary, and notes that estimating pose requires the camera matrix and distortion coefficients obtained from calibration (OpenCV, n.d.).</w:t>
      </w:r>
    </w:p>
    <w:p w:rsidR="00000000" w:rsidDel="00000000" w:rsidP="00000000" w:rsidRDefault="00000000" w:rsidRPr="00000000" w14:paraId="00000024">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position of the camera relative to a marker is found by solving the Perspective-n-Point (PnP) problem. Lepetit, Moreno-Noguer, and Fua (2009) proposed EPnP, a non-iterative method that estimates the pose of a calibrated camera from four or more correspondences between known 3D points and their 2D image positions, for both planar and non-planar arrangements. The four corners of a square marker provide exactly such correspondences, which is why the solvePnP function in OpenCV can return the distance, height, and angle of a drone from a marker in a single frame. Using such measurements to steer a robot is called visual servoing. Chaumette and Hutchinson (2006) described visual servo control as the use of computer vision data in the control loop of a robot and distinguished image-based schemes, which act directly on image features, from position-based schemes, which first estimate the pose of the camera and then act on that estimate.</w:t>
      </w:r>
    </w:p>
    <w:p w:rsidR="00000000" w:rsidDel="00000000" w:rsidP="00000000" w:rsidRDefault="00000000" w:rsidRPr="00000000" w14:paraId="00000025">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Most marker-based UAV studies have addressed precision landing. Wubben et al. (2019) showed that a UAV with a low-cost Raspberry Pi camera could detect 56 cm by 56 cm ArUco markers from an altitude of up to 30 m and then change its flight behavior to land on the marker, validating the approach in the ArduSim simulator and in real flights. Andrzejewski et al. (2026) mounted a camera on a Raspberry Pi 5 companion computer that communicated with an ArduPilot flight controller over MAVLink 2 and compared touchdown precision under GPS and under optical navigation. These studies confirm that a Raspberry Pi companion computer can detect markers and feed corrections to ArduPilot. They also share two limitations relevant to the present study: their markers lay flat on the ground below a descending drone, and their task ended with a single landing. Holding a constant distance from a vertical structure while climbing and moving around it, as tower scanning requires, is a different problem that the reviewed studies did not test.</w:t>
      </w:r>
    </w:p>
    <w:p w:rsidR="00000000" w:rsidDel="00000000" w:rsidP="00000000" w:rsidRDefault="00000000" w:rsidRPr="00000000" w14:paraId="00000026">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studies also suggest a division of roles between marker types. ArUco and AprilTag were designed for pose estimation, while QR codes were designed to carry data and to be read by phones (Tarjan et al., 2014). A system that needs both identity and pose can therefore use a QR code to identify a structure and its reference face and use square fiducial markers for the geometric alignment.</w:t>
      </w:r>
    </w:p>
    <w:p w:rsidR="00000000" w:rsidDel="00000000" w:rsidP="00000000" w:rsidRDefault="00000000" w:rsidRPr="00000000" w14:paraId="00000027">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This literature is the basis of the layered navigation used in the study. GPS waypoints bring the drone to an approach point, YOLOv8 finds the tower frame, and the Raspberry Pi then detects the QR code and ArUco markers and uses solvePnP to estimate its pose, sending small MAVLink velocity corrections several times per second in a position-based visual servoing loop. Camera calibration with a checkerboard pattern is required by this method (OpenCV, n.d.). The QR code identifies the tower and face A, while the ArUco markers placed at known positions on each face provide the pose and the slot reference. Extending marker-based alignment from landing pads to the vertical faces of a tower is part of the contribution of the study.</w:t>
      </w:r>
    </w:p>
    <w:p w:rsidR="00000000" w:rsidDel="00000000" w:rsidP="00000000" w:rsidRDefault="00000000" w:rsidRPr="00000000" w14:paraId="00000028">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vb0apgu8hk75" w:id="9"/>
      <w:bookmarkEnd w:id="9"/>
      <w:r w:rsidDel="00000000" w:rsidR="00000000" w:rsidRPr="00000000">
        <w:rPr>
          <w:rFonts w:ascii="Cambria" w:cs="Cambria" w:eastAsia="Cambria" w:hAnsi="Cambria"/>
          <w:b w:val="1"/>
          <w:bCs w:val="1"/>
          <w:i w:val="0"/>
          <w:iCs w:val="0"/>
          <w:color w:val="000000"/>
          <w:sz w:val="22"/>
          <w:szCs w:val="22"/>
          <w:rtl w:val="0"/>
        </w:rPr>
        <w:t xml:space="preserve">Edge Versus Offboard Processing and Live Video Streaming</w:t>
      </w:r>
    </w:p>
    <w:p w:rsidR="00000000" w:rsidDel="00000000" w:rsidP="00000000" w:rsidRDefault="00000000" w:rsidRPr="00000000" w14:paraId="00000029">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Running deep learning models on small onboard computers is limited by heat as well as by speed. Benoit-Cattin, Velasco-Montero, and Fernández-Berni (2020) ran five CNN models on four software frameworks on a Raspberry Pi 4B and found that the heavy computational load of CNNs can cause thermal throttling and reduce performance within a few seconds. Active cooling prevented throttling in all cases and improved throughput by up to about 90% compared with no cooling, and outdoor ambient temperatures between 22 °C and 36 °C caused throughput variations of up to 27.7%. Their study did not test the smaller Raspberry Pi Zero 2 W, and they reported slower performance rather than system failure, but their results suggest that sustained detection on a small, passively cooled board in the sun is likely to be throttled. Hossain and Lee (2019) reported that real-time onboard detection and tracking on a small drone required dedicated GPU modules or a neural compute stick.</w:t>
      </w:r>
    </w:p>
    <w:p w:rsidR="00000000" w:rsidDel="00000000" w:rsidP="00000000" w:rsidRDefault="00000000" w:rsidRPr="00000000" w14:paraId="0000002A">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An alternative is to send the video to a more capable computer on the ground. Zhu and Chen (2026) proposed a UAV architecture that switches between onboard processing and server-assisted processing; in their tests, communication over 5 GHz Wi-Fi had a latency of 15 to 45 ms depending on distance and interference, and frames were offloaded to the ground server only when the connection was strong. The same work shows the main weakness of offloading: when the link degrades, results arrive late or not at all. This suggests that time-critical control should stay on the drone, while heavier analysis can be done on the ground.</w:t>
      </w:r>
    </w:p>
    <w:p w:rsidR="00000000" w:rsidDel="00000000" w:rsidP="00000000" w:rsidRDefault="00000000" w:rsidRPr="00000000" w14:paraId="0000002B">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findings support running YOLOv8, ByteTrack, and slot mapping on the ground laptop while keeping only light QR code and ArUco detection on the Raspberry Pi. Because Benoit-Cattin et al. (2020) tested a different board, thermal throttling is regarded as a likely risk for the Pi Zero 2 W rather than a demonstrated limit. The latency reported by Zhu and Chen (2026) explains why close-range corrections are computed on the Pi instead of being sent back over Wi-Fi, and it makes the delay and frame loss of the live video stream important measures of system performance. The backup recording saved on the Pi addresses the loss of frames when the link degrades.</w:t>
      </w:r>
    </w:p>
    <w:p w:rsidR="00000000" w:rsidDel="00000000" w:rsidP="00000000" w:rsidRDefault="00000000" w:rsidRPr="00000000" w14:paraId="0000002C">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sqpq1wqu6jpt" w:id="10"/>
      <w:bookmarkEnd w:id="10"/>
      <w:r w:rsidDel="00000000" w:rsidR="00000000" w:rsidRPr="00000000">
        <w:rPr>
          <w:rFonts w:ascii="Cambria" w:cs="Cambria" w:eastAsia="Cambria" w:hAnsi="Cambria"/>
          <w:b w:val="1"/>
          <w:bCs w:val="1"/>
          <w:i w:val="0"/>
          <w:iCs w:val="0"/>
          <w:color w:val="000000"/>
          <w:sz w:val="22"/>
          <w:szCs w:val="22"/>
          <w:rtl w:val="0"/>
        </w:rPr>
        <w:t xml:space="preserve">Offline-First Systems and Connectivity in Rural Farms</w:t>
      </w:r>
    </w:p>
    <w:p w:rsidR="00000000" w:rsidDel="00000000" w:rsidP="00000000" w:rsidRDefault="00000000" w:rsidRPr="00000000" w14:paraId="0000002D">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Connectivity in the Philippines remains uneven. Using data from the National ICT Household Survey, Mirandilla-Santos (2021) reported that cellular signal reached 92% of surveyed barangays, that 3G technology was still prevalent in rural areas, that urban barangays had about 10% more cellular coverage than rural ones, and that some communities had low access to telecommunication towers, fiber optic cable, and free Wi-Fi. Serafica, Francisco, and Oren (2023) reviewed Philippine broadband policies and concluded that the implementation of government programs had been less than satisfactory, although satellite services have made connecting geographically isolated and disadvantaged areas more feasible. For a farm in a rural province, these findings mean that a reliable internet connection during field work cannot be assumed.</w:t>
      </w:r>
    </w:p>
    <w:p w:rsidR="00000000" w:rsidDel="00000000" w:rsidP="00000000" w:rsidRDefault="00000000" w:rsidRPr="00000000" w14:paraId="0000002E">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Software design offers a way around this problem. Kleppmann, Wiggins, van Hardenberg, and McGranaghan (2019) proposed local-first software, which prioritizes local storage and local networks over servers in remote data centers and gives servers a supporting role rather than making them the only source of truth. They noted that cloud-only applications stop working when the service is unavailable. A local-first system can keep working offline and synchronize with the server later.</w:t>
      </w:r>
    </w:p>
    <w:p w:rsidR="00000000" w:rsidDel="00000000" w:rsidP="00000000" w:rsidRDefault="00000000" w:rsidRPr="00000000" w14:paraId="0000002F">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sources support the use of an offline cache and a Sync Center in the present study. Scan results are saved first in a local SQLite database on the ground laptop, the scan itself needs only the local Wi-Fi link between the drone and the laptop, and the farmer chooses when to upload results to Supabase. Following the local-first principle, the cache uses the same structure as the online database so that uploads can be repeated safely without creating duplicates.</w:t>
      </w:r>
    </w:p>
    <w:p w:rsidR="00000000" w:rsidDel="00000000" w:rsidP="00000000" w:rsidRDefault="00000000" w:rsidRPr="00000000" w14:paraId="00000030">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f8to0kf3uvsm" w:id="11"/>
      <w:bookmarkEnd w:id="11"/>
      <w:r w:rsidDel="00000000" w:rsidR="00000000" w:rsidRPr="00000000">
        <w:rPr>
          <w:rFonts w:ascii="Cambria" w:cs="Cambria" w:eastAsia="Cambria" w:hAnsi="Cambria"/>
          <w:b w:val="1"/>
          <w:bCs w:val="1"/>
          <w:i w:val="0"/>
          <w:iCs w:val="0"/>
          <w:color w:val="000000"/>
          <w:sz w:val="22"/>
          <w:szCs w:val="22"/>
          <w:rtl w:val="0"/>
        </w:rPr>
        <w:t xml:space="preserve">Web Dashboards and Farm Management Information Systems</w:t>
      </w:r>
    </w:p>
    <w:p w:rsidR="00000000" w:rsidDel="00000000" w:rsidP="00000000" w:rsidRDefault="00000000" w:rsidRPr="00000000" w14:paraId="00000031">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Farm data becomes useful only when growers can see and act on it. Fountas et al. (2015) reviewed academic and commercial farm management information systems (FMIS) and reported that they have evolved from simple record keeping into systems that support production management, with commercial products focusing on everyday tasks such as record keeping and documentation and newer products adding traceability and quality assurance. In hydroponics, Chowdhury et al. (2020) presented their sensor readings through a web interface and a mobile application so that the system could be monitored easily. Modern backend platforms make such dashboards easier to build: Supabase documentation describes a Realtime feature that lets an application listen for inserts, updates, and deletions in a PostgreSQL database as they happen (Supabase, n.d.). A relational database of this kind can represent the links between farms, towers, slots, and scan missions directly.</w:t>
      </w:r>
    </w:p>
    <w:p w:rsidR="00000000" w:rsidDel="00000000" w:rsidP="00000000" w:rsidRDefault="00000000" w:rsidRPr="00000000" w14:paraId="00000032">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sources support the use of Supabase (PostgreSQL) and a Next.js web dashboard as a small FMIS centered on tower records. In line with Fountas et al. (2015), the dashboard keeps the occupancy and inspection history of each tower, and the realtime feature lets the dashboard update when new scan results are uploaded. The map view built with Leaflet places each registered tower at the coordinates stored during QR code registration, which links the asset records to their physical locations.</w:t>
      </w:r>
    </w:p>
    <w:p w:rsidR="00000000" w:rsidDel="00000000" w:rsidP="00000000" w:rsidRDefault="00000000" w:rsidRPr="00000000" w14:paraId="00000033">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qhhoqme1qak0" w:id="12"/>
      <w:bookmarkEnd w:id="12"/>
      <w:r w:rsidDel="00000000" w:rsidR="00000000" w:rsidRPr="00000000">
        <w:rPr>
          <w:rFonts w:ascii="Cambria" w:cs="Cambria" w:eastAsia="Cambria" w:hAnsi="Cambria"/>
          <w:b w:val="1"/>
          <w:bCs w:val="1"/>
          <w:i w:val="0"/>
          <w:iCs w:val="0"/>
          <w:color w:val="000000"/>
          <w:sz w:val="22"/>
          <w:szCs w:val="22"/>
          <w:rtl w:val="0"/>
        </w:rPr>
        <w:t xml:space="preserve">Two-Dimensional Imaging Versus 3D LiDAR Reconstruction</w:t>
      </w:r>
    </w:p>
    <w:p w:rsidR="00000000" w:rsidDel="00000000" w:rsidP="00000000" w:rsidRDefault="00000000" w:rsidRPr="00000000" w14:paraId="00000034">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Three-dimensional sensing provides geometry that two-dimensional images do not. Petropoulou et al. (2023) used 3D imaging to estimate lettuce growth and support plant spacing decisions, a task that depends on plant size and canopy shape. When the question is only whether a plant is present, however, two-dimensional RGB images have been sufficient: Wang et al. (2024) detected individual hydroponic lettuce heads from ordinary video frames with high precision and recall. Depth and LiDAR sensors also add weight, power demand, and processing load, which matter on a micro-drone whose total mass is around 200 to 240 g.</w:t>
      </w:r>
    </w:p>
    <w:p w:rsidR="00000000" w:rsidDel="00000000" w:rsidP="00000000" w:rsidRDefault="00000000" w:rsidRPr="00000000" w14:paraId="00000035">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Because each face of the tower is close to a flat plane and the task is to classify each slot as occupied or empty, the study uses standard 2D RGB video from the Raspberry Pi Camera Module V2. Measurements of plant size, volume, or growth stage, which would justify 3D sensing, are outside the scope of the study.</w:t>
      </w:r>
    </w:p>
    <w:p w:rsidR="00000000" w:rsidDel="00000000" w:rsidP="00000000" w:rsidRDefault="00000000" w:rsidRPr="00000000" w14:paraId="00000036">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nobon4lskjgi" w:id="13"/>
      <w:bookmarkEnd w:id="13"/>
      <w:r w:rsidDel="00000000" w:rsidR="00000000" w:rsidRPr="00000000">
        <w:rPr>
          <w:rFonts w:ascii="Cambria" w:cs="Cambria" w:eastAsia="Cambria" w:hAnsi="Cambria"/>
          <w:b w:val="1"/>
          <w:bCs w:val="1"/>
          <w:i w:val="0"/>
          <w:iCs w:val="0"/>
          <w:color w:val="000000"/>
          <w:sz w:val="22"/>
          <w:szCs w:val="22"/>
          <w:rtl w:val="0"/>
        </w:rPr>
        <w:t xml:space="preserve">Flight Safety, Wind Effects, and Drone Regulations</w:t>
      </w:r>
    </w:p>
    <w:p w:rsidR="00000000" w:rsidDel="00000000" w:rsidP="00000000" w:rsidRDefault="00000000" w:rsidRPr="00000000" w14:paraId="00000037">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Wind is a major limit for small drones. Abichandani, Lobo, Ford, Bucci, and Kam (2020) stated that wind disturbance presents a formidable challenge to the flight performance of multirotor small UAVs. They reviewed three ways of measuring or estimating wind, namely flow sensors, anemometers, and the tilt-angle method, which infers wind from how far the vehicle must tilt to hold its position, and they described the Dryden turbulence model as a way to simulate wind in open, uncluttered environments. A lighter vehicle needs less wind force to be displaced, so wind tolerance is an especially important limit for a micro-drone.</w:t>
      </w:r>
    </w:p>
    <w:p w:rsidR="00000000" w:rsidDel="00000000" w:rsidP="00000000" w:rsidRDefault="00000000" w:rsidRPr="00000000" w14:paraId="00000038">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Autopilot failsafes reduce the risk when conditions change. ArduPilot documentation describes a battery failsafe that can switch a copter to Return to Launch (RTL) or Land when the battery voltage stays below a set level for 10 seconds or when the estimated remaining capacity falls below a threshold, with RTL recommended (ArduPilot Dev Team, n.d.-a). Drone operations are also regulated. The Philippine Civil Aviation Regulations Part 11 of the Civil Aviation Authority of the Philippines (CAAP) applies to both commercial and non-commercial operations of remotely piloted aircraft and requires that a powered aircraft stay at least 30 m away from anyone not directly associated with its operation (CAAP, 2023). The January 2026 edition reorganized the rules for remotely piloted aircraft into open and specific categories with a special permit process (CAAP, 2026).</w:t>
      </w:r>
    </w:p>
    <w:p w:rsidR="00000000" w:rsidDel="00000000" w:rsidP="00000000" w:rsidRDefault="00000000" w:rsidRPr="00000000" w14:paraId="00000039">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sources inform the safety design of the present study: tests are limited to fair weather and low wind, ArduPilot stabilization and GPS position hold are tuned with AutoTune, and the scan is cancelled and the drone returns to launch when the wind estimated by the flight controller, the battery level, or marker tracking passes a set limit. The CAAP rules guide the choice of an open testing area away from people, supervised flights within sight of the pilot, and a manual RC override.</w:t>
      </w:r>
    </w:p>
    <w:p w:rsidR="00000000" w:rsidDel="00000000" w:rsidP="00000000" w:rsidRDefault="00000000" w:rsidRPr="00000000" w14:paraId="0000003A">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tyai9eimjwlg" w:id="14"/>
      <w:bookmarkEnd w:id="14"/>
      <w:r w:rsidDel="00000000" w:rsidR="00000000" w:rsidRPr="00000000">
        <w:rPr>
          <w:rFonts w:ascii="Cambria" w:cs="Cambria" w:eastAsia="Cambria" w:hAnsi="Cambria"/>
          <w:b w:val="1"/>
          <w:bCs w:val="1"/>
          <w:i w:val="0"/>
          <w:iCs w:val="0"/>
          <w:color w:val="000000"/>
          <w:sz w:val="22"/>
          <w:szCs w:val="22"/>
          <w:rtl w:val="0"/>
        </w:rPr>
        <w:t xml:space="preserve">Development Methodology and User Evaluation</w:t>
      </w:r>
    </w:p>
    <w:p w:rsidR="00000000" w:rsidDel="00000000" w:rsidP="00000000" w:rsidRDefault="00000000" w:rsidRPr="00000000" w14:paraId="0000003B">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Rapid Application Development (RAD) was described by Martin (1991) as a way of building information systems quickly through prototyping and close user involvement rather than through long, fixed planning. The model is commonly organized into requirements planning, user design, rapid construction, and cutover, with the design and construction phases repeated until users accept the prototype. This cycle suits systems whose parts must be built and tested together several times before they work as a whole.</w:t>
      </w:r>
    </w:p>
    <w:p w:rsidR="00000000" w:rsidDel="00000000" w:rsidP="00000000" w:rsidRDefault="00000000" w:rsidRPr="00000000" w14:paraId="0000003C">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User evaluation of new systems often focuses on usefulness and ease of use. Davis (1989) developed and validated scales for perceived usefulness and perceived ease of use, which became the basis of the Technology Acceptance Model (TAM); in his studies, usefulness was more strongly related to system use than ease of use, and ease of use appeared to influence use mainly through usefulness. Lund (2001) developed the USE Questionnaire, named for usefulness, satisfaction, and ease of use, the three dimensions that emerged most strongly in its development. He found that usefulness and ease of use were correlated and that each drove user satisfaction. The original questionnaire used seven-point Likert rating scales. Joshi, Kale, Chandel, and Pal (2015) described the Likert scale as one of the most frequently used psychometric tools in research and discussed the continuing debate over how its responses should be analyzed. Reporting the weighted mean together with the standard deviation, and interpreting means through a fixed verbal scale, is a common way of summarizing such ratings.</w:t>
      </w:r>
    </w:p>
    <w:p w:rsidR="00000000" w:rsidDel="00000000" w:rsidP="00000000" w:rsidRDefault="00000000" w:rsidRPr="00000000" w14:paraId="0000003D">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These sources support the use of RAD in the present study, including the repeated cycle of user design and rapid construction before cutover. They also support evaluating the system in terms of usefulness, ease of use, and user satisfaction using an instrument based on the USE Questionnaire. Since the instrument uses a five-point scale and three categories instead of the original seven-point format, it is adapted from, rather than identical to, the USE Questionnaire (Lund, 2001), and its results are summarized using the weighted mean and standard deviation.</w:t>
      </w:r>
    </w:p>
    <w:p w:rsidR="00000000" w:rsidDel="00000000" w:rsidP="00000000" w:rsidRDefault="00000000" w:rsidRPr="00000000" w14:paraId="0000003E">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pwn79lvplh5" w:id="15"/>
      <w:bookmarkEnd w:id="15"/>
      <w:r w:rsidDel="00000000" w:rsidR="00000000" w:rsidRPr="00000000">
        <w:rPr>
          <w:rFonts w:ascii="Cambria" w:cs="Cambria" w:eastAsia="Cambria" w:hAnsi="Cambria"/>
          <w:b w:val="1"/>
          <w:bCs w:val="1"/>
          <w:i w:val="0"/>
          <w:iCs w:val="0"/>
          <w:color w:val="000000"/>
          <w:sz w:val="22"/>
          <w:szCs w:val="22"/>
          <w:rtl w:val="0"/>
        </w:rPr>
        <w:t xml:space="preserve">Synthesis</w:t>
      </w:r>
    </w:p>
    <w:p w:rsidR="00000000" w:rsidDel="00000000" w:rsidP="00000000" w:rsidRDefault="00000000" w:rsidRPr="00000000" w14:paraId="0000003F">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reviewed literature agrees that vertical hydroponic farming can make better use of limited land, but only if it is managed efficiently (Despommier, 2010; van Delden et al., 2021). Most technology support for hydroponics has taken the form of IoT systems that monitor the air and the nutrient solution (Chowdhury et al., 2020; Dhanaraju et al., 2022), and Philippine projects have followed the same path (Domingo, 2022; Santiago et al., 2025). These systems reduce the work of maintaining growing conditions but do not record whether each pot holds a plant. At the same time, local farms still rely on manual observation, and the time and accuracy of manual slot counting have received little attention in published research.</w:t>
      </w:r>
    </w:p>
    <w:p w:rsidR="00000000" w:rsidDel="00000000" w:rsidP="00000000" w:rsidRDefault="00000000" w:rsidRPr="00000000" w14:paraId="00000040">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Computer vision offers a way to fill this gap. YOLO detectors, and YOLOv8 in particular, have been shown to detect individual lettuce heads with high precision and recall (Terven et al., 2023; Wang et al., 2024), and multi-object trackers such as ByteTrack reduce double counting when the same plant appears in many frames (Villacrés et al., 2023; Zhang et al., 2022). Previous lettuce studies, however, detected plants rather than empty positions and used stable viewpoints. Detecting both occupied and empty slots from a moving camera, and linking each detection to a specific slot, has not been reported.</w:t>
      </w:r>
    </w:p>
    <w:p w:rsidR="00000000" w:rsidDel="00000000" w:rsidP="00000000" w:rsidRDefault="00000000" w:rsidRPr="00000000" w14:paraId="00000041">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Bringing the camera to the tower is a positioning problem. Studies of agricultural UAVs have concentrated on open fields and orchards (Aslan et al., 2022; Stefas et al., 2019), and the literature consistently reports that GPS is accurate only to a few meters (GPS.gov, n.d.; Wubben et al., 2019). Fiducial markers such as ArUco and AprilTag, combined with PnP pose estimation, provide the missing precision (Garrido-Jurado et al., 2014; Kalaitzakis et al., 2021; Lepetit et al., 2009), and recent studies have used them with Raspberry Pi companion computers and ArduPilot (Andrzejewski et al., 2026; Wubben et al., 2019). These studies, however, used markers mainly for landing on horizontal pads rather than for holding position beside a vertical structure.</w:t>
      </w:r>
    </w:p>
    <w:p w:rsidR="00000000" w:rsidDel="00000000" w:rsidP="00000000" w:rsidRDefault="00000000" w:rsidRPr="00000000" w14:paraId="00000042">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literature on computing and connectivity points to a split design. Small onboard boards can be slowed by thermal throttling under sustained neural network load (Benoit-Cattin et al., 2020), while offloading to a ground computer depends on the quality of the wireless link (Zhu &amp; Chen, 2026). Philippine connectivity data show that a reliable internet connection cannot be assumed in rural farms (Mirandilla-Santos, 2021; Serafica et al., 2023), which favors local-first designs that store data locally and synchronize later (Kleppmann et al., 2019). Finally, established models of usefulness, ease of use, and satisfaction provide a basis for evaluating whether farmers would accept such a system (Davis, 1989; Lund, 2001).</w:t>
      </w:r>
    </w:p>
    <w:p w:rsidR="00000000" w:rsidDel="00000000" w:rsidP="00000000" w:rsidRDefault="00000000" w:rsidRPr="00000000" w14:paraId="00000043">
      <w:pPr>
        <w:pStyle w:val="Heading2"/>
        <w:spacing w:after="0" w:before="0" w:line="480" w:lineRule="auto"/>
        <w:ind w:left="0" w:firstLine="0"/>
        <w:jc w:val="both"/>
        <w:rPr>
          <w:rFonts w:ascii="Cambria" w:cs="Cambria" w:eastAsia="Cambria" w:hAnsi="Cambria"/>
          <w:b w:val="1"/>
          <w:bCs w:val="1"/>
          <w:i w:val="0"/>
          <w:iCs w:val="0"/>
          <w:color w:val="000000"/>
          <w:sz w:val="22"/>
          <w:szCs w:val="22"/>
        </w:rPr>
      </w:pPr>
      <w:bookmarkStart w:colFirst="0" w:colLast="0" w:name="_3bllil8bbcn3" w:id="16"/>
      <w:bookmarkEnd w:id="16"/>
      <w:r w:rsidDel="00000000" w:rsidR="00000000" w:rsidRPr="00000000">
        <w:rPr>
          <w:rFonts w:ascii="Cambria" w:cs="Cambria" w:eastAsia="Cambria" w:hAnsi="Cambria"/>
          <w:b w:val="1"/>
          <w:bCs w:val="1"/>
          <w:i w:val="0"/>
          <w:iCs w:val="0"/>
          <w:color w:val="000000"/>
          <w:sz w:val="22"/>
          <w:szCs w:val="22"/>
          <w:rtl w:val="0"/>
        </w:rPr>
        <w:t xml:space="preserve">Research Gap</w:t>
      </w:r>
    </w:p>
    <w:p w:rsidR="00000000" w:rsidDel="00000000" w:rsidP="00000000" w:rsidRDefault="00000000" w:rsidRPr="00000000" w14:paraId="00000044">
      <w:pPr>
        <w:spacing w:after="0" w:before="0" w:line="480" w:lineRule="auto"/>
        <w:ind w:left="0" w:firstLine="720"/>
        <w:jc w:val="both"/>
        <w:rPr>
          <w:rFonts w:ascii="Cambria" w:cs="Cambria" w:eastAsia="Cambria" w:hAnsi="Cambria"/>
          <w:b w:val="0"/>
          <w:bCs w:val="0"/>
          <w:i w:val="0"/>
          <w:iCs w:val="0"/>
          <w:color w:val="000000"/>
          <w:sz w:val="22"/>
          <w:szCs w:val="22"/>
        </w:rPr>
      </w:pPr>
      <w:r w:rsidDel="00000000" w:rsidR="00000000" w:rsidRPr="00000000">
        <w:rPr>
          <w:rFonts w:ascii="Cambria" w:cs="Cambria" w:eastAsia="Cambria" w:hAnsi="Cambria"/>
          <w:b w:val="0"/>
          <w:bCs w:val="0"/>
          <w:i w:val="0"/>
          <w:iCs w:val="0"/>
          <w:color w:val="000000"/>
          <w:sz w:val="22"/>
          <w:szCs w:val="22"/>
          <w:rtl w:val="0"/>
        </w:rPr>
        <w:t xml:space="preserve">The reviewed studies address parts of the problem but do not combine them. IoT studies monitor growing conditions but not pot occupancy; lettuce detection studies detect plants from fixed or stable viewpoints but not empty pots or slot positions; UAV studies in agriculture focus on fields and orchards rather than on individual vertical structures; and marker-based UAV studies focus on precision landing rather than on alignment with the faces of a tower. No reviewed study combined a low-cost micro-drone; QR code and GPS registration of each tower through a tower unit; layered navigation that moves from GPS waypoints to YOLOv8 tower detection and then to QR code and ArUco marker alignment; a full-tower, face-by-face scan that classifies every pot as occupied or empty and maps it to its slot; live processing on a ground laptop with an onboard backup recording; and an offline-first web dashboard designed for farms with intermittent internet. The present study addresses this gap by developing and evaluating such a system for vertical hydroponic towers holding lettuce, tested in an open outdoor area in the Philippine setting.</w:t>
      </w:r>
    </w:p>
    <w:p w:rsidR="00000000" w:rsidDel="00000000" w:rsidP="00000000" w:rsidRDefault="00000000" w:rsidRPr="00000000" w14:paraId="00000045">
      <w:pPr>
        <w:spacing w:after="0" w:before="0" w:line="480" w:lineRule="auto"/>
        <w:ind w:lef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46">
      <w:pPr>
        <w:pStyle w:val="Heading2"/>
        <w:spacing w:after="0" w:before="0" w:line="480" w:lineRule="auto"/>
        <w:ind w:firstLine="0"/>
        <w:jc w:val="both"/>
        <w:rPr>
          <w:rFonts w:ascii="Cambria" w:cs="Cambria" w:eastAsia="Cambria" w:hAnsi="Cambria"/>
          <w:b w:val="1"/>
          <w:bCs w:val="1"/>
          <w:i w:val="0"/>
          <w:iCs w:val="0"/>
          <w:color w:val="000000"/>
          <w:sz w:val="22"/>
          <w:szCs w:val="22"/>
        </w:rPr>
      </w:pPr>
      <w:bookmarkStart w:colFirst="0" w:colLast="0" w:name="_w9scrdom00ax" w:id="17"/>
      <w:bookmarkEnd w:id="17"/>
      <w:r w:rsidDel="00000000" w:rsidR="00000000" w:rsidRPr="00000000">
        <w:rPr>
          <w:rFonts w:ascii="Cambria" w:cs="Cambria" w:eastAsia="Cambria" w:hAnsi="Cambria"/>
          <w:b w:val="1"/>
          <w:bCs w:val="1"/>
          <w:i w:val="0"/>
          <w:iCs w:val="0"/>
          <w:color w:val="000000"/>
          <w:sz w:val="22"/>
          <w:szCs w:val="22"/>
          <w:rtl w:val="0"/>
        </w:rPr>
        <w:t xml:space="preserve">References</w:t>
      </w:r>
    </w:p>
    <w:p w:rsidR="00000000" w:rsidDel="00000000" w:rsidP="00000000" w:rsidRDefault="00000000" w:rsidRPr="00000000" w14:paraId="00000047">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Abichandani, P., Lobo, D., Ford, G., Bucci, D., &amp; Kam, M. (2020). Wind measurement and simulation techniques in multi-rotor small unmanned aerial vehicles. </w:t>
      </w:r>
      <w:r w:rsidDel="00000000" w:rsidR="00000000" w:rsidRPr="00000000">
        <w:rPr>
          <w:rFonts w:ascii="Cambria" w:cs="Cambria" w:eastAsia="Cambria" w:hAnsi="Cambria"/>
          <w:b w:val="0"/>
          <w:bCs w:val="0"/>
          <w:i w:val="1"/>
          <w:iCs w:val="1"/>
          <w:sz w:val="22"/>
          <w:szCs w:val="22"/>
          <w:u w:val="none"/>
          <w:rtl w:val="0"/>
        </w:rPr>
        <w:t xml:space="preserve">IEEE Access, 8</w:t>
      </w:r>
      <w:r w:rsidDel="00000000" w:rsidR="00000000" w:rsidRPr="00000000">
        <w:rPr>
          <w:rFonts w:ascii="Cambria" w:cs="Cambria" w:eastAsia="Cambria" w:hAnsi="Cambria"/>
          <w:b w:val="0"/>
          <w:bCs w:val="0"/>
          <w:i w:val="0"/>
          <w:iCs w:val="0"/>
          <w:sz w:val="22"/>
          <w:szCs w:val="22"/>
          <w:u w:val="none"/>
          <w:rtl w:val="0"/>
        </w:rPr>
        <w:t xml:space="preserve">, 54910–54927. </w:t>
      </w:r>
      <w:hyperlink r:id="rId6">
        <w:r w:rsidDel="00000000" w:rsidR="00000000" w:rsidRPr="00000000">
          <w:rPr>
            <w:rFonts w:ascii="Cambria" w:cs="Cambria" w:eastAsia="Cambria" w:hAnsi="Cambria"/>
            <w:b w:val="0"/>
            <w:bCs w:val="0"/>
            <w:i w:val="0"/>
            <w:iCs w:val="0"/>
            <w:sz w:val="22"/>
            <w:szCs w:val="22"/>
            <w:u w:val="single"/>
            <w:rtl w:val="0"/>
          </w:rPr>
          <w:t xml:space="preserve">https://doi.org/10.1109/ACCESS.2020.2977693</w:t>
        </w:r>
      </w:hyperlink>
      <w:r w:rsidDel="00000000" w:rsidR="00000000" w:rsidRPr="00000000">
        <w:rPr>
          <w:rtl w:val="0"/>
        </w:rPr>
      </w:r>
    </w:p>
    <w:p w:rsidR="00000000" w:rsidDel="00000000" w:rsidP="00000000" w:rsidRDefault="00000000" w:rsidRPr="00000000" w14:paraId="00000048">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Aliane, N. (2024). A survey of open-source UAV autopilots. </w:t>
      </w:r>
      <w:r w:rsidDel="00000000" w:rsidR="00000000" w:rsidRPr="00000000">
        <w:rPr>
          <w:rFonts w:ascii="Cambria" w:cs="Cambria" w:eastAsia="Cambria" w:hAnsi="Cambria"/>
          <w:b w:val="0"/>
          <w:bCs w:val="0"/>
          <w:i w:val="1"/>
          <w:iCs w:val="1"/>
          <w:sz w:val="22"/>
          <w:szCs w:val="22"/>
          <w:u w:val="none"/>
          <w:rtl w:val="0"/>
        </w:rPr>
        <w:t xml:space="preserve">Electronics, 13</w:t>
      </w:r>
      <w:r w:rsidDel="00000000" w:rsidR="00000000" w:rsidRPr="00000000">
        <w:rPr>
          <w:rFonts w:ascii="Cambria" w:cs="Cambria" w:eastAsia="Cambria" w:hAnsi="Cambria"/>
          <w:b w:val="0"/>
          <w:bCs w:val="0"/>
          <w:i w:val="0"/>
          <w:iCs w:val="0"/>
          <w:sz w:val="22"/>
          <w:szCs w:val="22"/>
          <w:u w:val="none"/>
          <w:rtl w:val="0"/>
        </w:rPr>
        <w:t xml:space="preserve">(23), 4785. </w:t>
      </w:r>
      <w:hyperlink r:id="rId7">
        <w:r w:rsidDel="00000000" w:rsidR="00000000" w:rsidRPr="00000000">
          <w:rPr>
            <w:rFonts w:ascii="Cambria" w:cs="Cambria" w:eastAsia="Cambria" w:hAnsi="Cambria"/>
            <w:b w:val="0"/>
            <w:bCs w:val="0"/>
            <w:i w:val="0"/>
            <w:iCs w:val="0"/>
            <w:sz w:val="22"/>
            <w:szCs w:val="22"/>
            <w:u w:val="single"/>
            <w:rtl w:val="0"/>
          </w:rPr>
          <w:t xml:space="preserve">https://doi.org/10.3390/electronics13234785</w:t>
        </w:r>
      </w:hyperlink>
      <w:r w:rsidDel="00000000" w:rsidR="00000000" w:rsidRPr="00000000">
        <w:rPr>
          <w:rtl w:val="0"/>
        </w:rPr>
      </w:r>
    </w:p>
    <w:p w:rsidR="00000000" w:rsidDel="00000000" w:rsidP="00000000" w:rsidRDefault="00000000" w:rsidRPr="00000000" w14:paraId="00000049">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Andrzejewski, K., Dziewoński, B., Kierzkowski, A., Szewczyk, M., &amp; Kaliszuk, K. (2026). Experimental evaluation of precision positioning in unmanned aerial systems using fiducial markers. </w:t>
      </w:r>
      <w:r w:rsidDel="00000000" w:rsidR="00000000" w:rsidRPr="00000000">
        <w:rPr>
          <w:rFonts w:ascii="Cambria" w:cs="Cambria" w:eastAsia="Cambria" w:hAnsi="Cambria"/>
          <w:b w:val="0"/>
          <w:bCs w:val="0"/>
          <w:i w:val="1"/>
          <w:iCs w:val="1"/>
          <w:sz w:val="22"/>
          <w:szCs w:val="22"/>
          <w:u w:val="none"/>
          <w:rtl w:val="0"/>
        </w:rPr>
        <w:t xml:space="preserve">Electronics, 15</w:t>
      </w:r>
      <w:r w:rsidDel="00000000" w:rsidR="00000000" w:rsidRPr="00000000">
        <w:rPr>
          <w:rFonts w:ascii="Cambria" w:cs="Cambria" w:eastAsia="Cambria" w:hAnsi="Cambria"/>
          <w:b w:val="0"/>
          <w:bCs w:val="0"/>
          <w:i w:val="0"/>
          <w:iCs w:val="0"/>
          <w:sz w:val="22"/>
          <w:szCs w:val="22"/>
          <w:u w:val="none"/>
          <w:rtl w:val="0"/>
        </w:rPr>
        <w:t xml:space="preserve">(8), 1582. </w:t>
      </w:r>
      <w:hyperlink r:id="rId8">
        <w:r w:rsidDel="00000000" w:rsidR="00000000" w:rsidRPr="00000000">
          <w:rPr>
            <w:rFonts w:ascii="Cambria" w:cs="Cambria" w:eastAsia="Cambria" w:hAnsi="Cambria"/>
            <w:b w:val="0"/>
            <w:bCs w:val="0"/>
            <w:i w:val="0"/>
            <w:iCs w:val="0"/>
            <w:sz w:val="22"/>
            <w:szCs w:val="22"/>
            <w:u w:val="single"/>
            <w:rtl w:val="0"/>
          </w:rPr>
          <w:t xml:space="preserve">https://doi.org/10.3390/electronics15081582</w:t>
        </w:r>
      </w:hyperlink>
      <w:r w:rsidDel="00000000" w:rsidR="00000000" w:rsidRPr="00000000">
        <w:rPr>
          <w:rtl w:val="0"/>
        </w:rPr>
      </w:r>
    </w:p>
    <w:p w:rsidR="00000000" w:rsidDel="00000000" w:rsidP="00000000" w:rsidRDefault="00000000" w:rsidRPr="00000000" w14:paraId="0000004A">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ArduPilot Dev Team. (n.d.-a). </w:t>
      </w:r>
      <w:r w:rsidDel="00000000" w:rsidR="00000000" w:rsidRPr="00000000">
        <w:rPr>
          <w:rFonts w:ascii="Cambria" w:cs="Cambria" w:eastAsia="Cambria" w:hAnsi="Cambria"/>
          <w:b w:val="0"/>
          <w:bCs w:val="0"/>
          <w:i w:val="1"/>
          <w:iCs w:val="1"/>
          <w:sz w:val="22"/>
          <w:szCs w:val="22"/>
          <w:u w:val="none"/>
          <w:rtl w:val="0"/>
        </w:rPr>
        <w:t xml:space="preserve">Battery failsafe</w:t>
      </w:r>
      <w:r w:rsidDel="00000000" w:rsidR="00000000" w:rsidRPr="00000000">
        <w:rPr>
          <w:rFonts w:ascii="Cambria" w:cs="Cambria" w:eastAsia="Cambria" w:hAnsi="Cambria"/>
          <w:b w:val="0"/>
          <w:bCs w:val="0"/>
          <w:i w:val="0"/>
          <w:iCs w:val="0"/>
          <w:sz w:val="22"/>
          <w:szCs w:val="22"/>
          <w:u w:val="none"/>
          <w:rtl w:val="0"/>
        </w:rPr>
        <w:t xml:space="preserve">. ArduPilot Copter documentation. Retrieved October 14, 2026, from </w:t>
      </w:r>
      <w:hyperlink r:id="rId9">
        <w:r w:rsidDel="00000000" w:rsidR="00000000" w:rsidRPr="00000000">
          <w:rPr>
            <w:rFonts w:ascii="Cambria" w:cs="Cambria" w:eastAsia="Cambria" w:hAnsi="Cambria"/>
            <w:b w:val="0"/>
            <w:bCs w:val="0"/>
            <w:i w:val="0"/>
            <w:iCs w:val="0"/>
            <w:sz w:val="22"/>
            <w:szCs w:val="22"/>
            <w:u w:val="single"/>
            <w:rtl w:val="0"/>
          </w:rPr>
          <w:t xml:space="preserve">https://ardupilot.org/copter/docs/failsafe-battery.html</w:t>
        </w:r>
      </w:hyperlink>
      <w:r w:rsidDel="00000000" w:rsidR="00000000" w:rsidRPr="00000000">
        <w:rPr>
          <w:rtl w:val="0"/>
        </w:rPr>
      </w:r>
    </w:p>
    <w:p w:rsidR="00000000" w:rsidDel="00000000" w:rsidP="00000000" w:rsidRDefault="00000000" w:rsidRPr="00000000" w14:paraId="0000004B">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ArduPilot Dev Team. (n.d.-b). </w:t>
      </w:r>
      <w:r w:rsidDel="00000000" w:rsidR="00000000" w:rsidRPr="00000000">
        <w:rPr>
          <w:rFonts w:ascii="Cambria" w:cs="Cambria" w:eastAsia="Cambria" w:hAnsi="Cambria"/>
          <w:b w:val="0"/>
          <w:bCs w:val="0"/>
          <w:i w:val="1"/>
          <w:iCs w:val="1"/>
          <w:sz w:val="22"/>
          <w:szCs w:val="22"/>
          <w:u w:val="none"/>
          <w:rtl w:val="0"/>
        </w:rPr>
        <w:t xml:space="preserve">Companion computers</w:t>
      </w:r>
      <w:r w:rsidDel="00000000" w:rsidR="00000000" w:rsidRPr="00000000">
        <w:rPr>
          <w:rFonts w:ascii="Cambria" w:cs="Cambria" w:eastAsia="Cambria" w:hAnsi="Cambria"/>
          <w:b w:val="0"/>
          <w:bCs w:val="0"/>
          <w:i w:val="0"/>
          <w:iCs w:val="0"/>
          <w:sz w:val="22"/>
          <w:szCs w:val="22"/>
          <w:u w:val="none"/>
          <w:rtl w:val="0"/>
        </w:rPr>
        <w:t xml:space="preserve">. ArduPilot Dev documentation. Retrieved October 14, 2026, from </w:t>
      </w:r>
      <w:hyperlink r:id="rId10">
        <w:r w:rsidDel="00000000" w:rsidR="00000000" w:rsidRPr="00000000">
          <w:rPr>
            <w:rFonts w:ascii="Cambria" w:cs="Cambria" w:eastAsia="Cambria" w:hAnsi="Cambria"/>
            <w:b w:val="0"/>
            <w:bCs w:val="0"/>
            <w:i w:val="0"/>
            <w:iCs w:val="0"/>
            <w:sz w:val="22"/>
            <w:szCs w:val="22"/>
            <w:u w:val="single"/>
            <w:rtl w:val="0"/>
          </w:rPr>
          <w:t xml:space="preserve">https://ardupilot.org/dev/docs/companion-computers.html</w:t>
        </w:r>
      </w:hyperlink>
      <w:r w:rsidDel="00000000" w:rsidR="00000000" w:rsidRPr="00000000">
        <w:rPr>
          <w:rtl w:val="0"/>
        </w:rPr>
      </w:r>
    </w:p>
    <w:p w:rsidR="00000000" w:rsidDel="00000000" w:rsidP="00000000" w:rsidRDefault="00000000" w:rsidRPr="00000000" w14:paraId="0000004C">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ArduPilot Dev Team. (n.d.-c). </w:t>
      </w:r>
      <w:r w:rsidDel="00000000" w:rsidR="00000000" w:rsidRPr="00000000">
        <w:rPr>
          <w:rFonts w:ascii="Cambria" w:cs="Cambria" w:eastAsia="Cambria" w:hAnsi="Cambria"/>
          <w:b w:val="0"/>
          <w:bCs w:val="0"/>
          <w:i w:val="1"/>
          <w:iCs w:val="1"/>
          <w:sz w:val="22"/>
          <w:szCs w:val="22"/>
          <w:u w:val="none"/>
          <w:rtl w:val="0"/>
        </w:rPr>
        <w:t xml:space="preserve">Using SITL with Gazebo</w:t>
      </w:r>
      <w:r w:rsidDel="00000000" w:rsidR="00000000" w:rsidRPr="00000000">
        <w:rPr>
          <w:rFonts w:ascii="Cambria" w:cs="Cambria" w:eastAsia="Cambria" w:hAnsi="Cambria"/>
          <w:b w:val="0"/>
          <w:bCs w:val="0"/>
          <w:i w:val="0"/>
          <w:iCs w:val="0"/>
          <w:sz w:val="22"/>
          <w:szCs w:val="22"/>
          <w:u w:val="none"/>
          <w:rtl w:val="0"/>
        </w:rPr>
        <w:t xml:space="preserve">. ArduPilot Dev documentation. Retrieved October 14, 2026, from </w:t>
      </w:r>
      <w:hyperlink r:id="rId11">
        <w:r w:rsidDel="00000000" w:rsidR="00000000" w:rsidRPr="00000000">
          <w:rPr>
            <w:rFonts w:ascii="Cambria" w:cs="Cambria" w:eastAsia="Cambria" w:hAnsi="Cambria"/>
            <w:b w:val="0"/>
            <w:bCs w:val="0"/>
            <w:i w:val="0"/>
            <w:iCs w:val="0"/>
            <w:sz w:val="22"/>
            <w:szCs w:val="22"/>
            <w:u w:val="single"/>
            <w:rtl w:val="0"/>
          </w:rPr>
          <w:t xml:space="preserve">https://ardupilot.org/dev/docs/sitl-with-gazebo.html</w:t>
        </w:r>
      </w:hyperlink>
      <w:r w:rsidDel="00000000" w:rsidR="00000000" w:rsidRPr="00000000">
        <w:rPr>
          <w:rtl w:val="0"/>
        </w:rPr>
      </w:r>
    </w:p>
    <w:p w:rsidR="00000000" w:rsidDel="00000000" w:rsidP="00000000" w:rsidRDefault="00000000" w:rsidRPr="00000000" w14:paraId="0000004D">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Aslan, M. F., Durdu, A., Sabanci, K., Ropelewska, E., &amp; Gültekin, S. S. (2022). A comprehensive survey of the recent studies with UAV for precision agriculture in open fields and greenhouses. </w:t>
      </w:r>
      <w:r w:rsidDel="00000000" w:rsidR="00000000" w:rsidRPr="00000000">
        <w:rPr>
          <w:rFonts w:ascii="Cambria" w:cs="Cambria" w:eastAsia="Cambria" w:hAnsi="Cambria"/>
          <w:b w:val="0"/>
          <w:bCs w:val="0"/>
          <w:i w:val="1"/>
          <w:iCs w:val="1"/>
          <w:sz w:val="22"/>
          <w:szCs w:val="22"/>
          <w:u w:val="none"/>
          <w:rtl w:val="0"/>
        </w:rPr>
        <w:t xml:space="preserve">Applied Sciences, 12</w:t>
      </w:r>
      <w:r w:rsidDel="00000000" w:rsidR="00000000" w:rsidRPr="00000000">
        <w:rPr>
          <w:rFonts w:ascii="Cambria" w:cs="Cambria" w:eastAsia="Cambria" w:hAnsi="Cambria"/>
          <w:b w:val="0"/>
          <w:bCs w:val="0"/>
          <w:i w:val="0"/>
          <w:iCs w:val="0"/>
          <w:sz w:val="22"/>
          <w:szCs w:val="22"/>
          <w:u w:val="none"/>
          <w:rtl w:val="0"/>
        </w:rPr>
        <w:t xml:space="preserve">(3), 1047. </w:t>
      </w:r>
      <w:hyperlink r:id="rId12">
        <w:r w:rsidDel="00000000" w:rsidR="00000000" w:rsidRPr="00000000">
          <w:rPr>
            <w:rFonts w:ascii="Cambria" w:cs="Cambria" w:eastAsia="Cambria" w:hAnsi="Cambria"/>
            <w:b w:val="0"/>
            <w:bCs w:val="0"/>
            <w:i w:val="0"/>
            <w:iCs w:val="0"/>
            <w:sz w:val="22"/>
            <w:szCs w:val="22"/>
            <w:u w:val="single"/>
            <w:rtl w:val="0"/>
          </w:rPr>
          <w:t xml:space="preserve">https://doi.org/10.3390/app12031047</w:t>
        </w:r>
      </w:hyperlink>
      <w:r w:rsidDel="00000000" w:rsidR="00000000" w:rsidRPr="00000000">
        <w:rPr>
          <w:rtl w:val="0"/>
        </w:rPr>
      </w:r>
    </w:p>
    <w:p w:rsidR="00000000" w:rsidDel="00000000" w:rsidP="00000000" w:rsidRDefault="00000000" w:rsidRPr="00000000" w14:paraId="0000004E">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Bendanillo, A. (2023). A review of the integration of hydroponic agricultural gardening in urban areas and construction technology towards sustainability. </w:t>
      </w:r>
      <w:r w:rsidDel="00000000" w:rsidR="00000000" w:rsidRPr="00000000">
        <w:rPr>
          <w:rFonts w:ascii="Cambria" w:cs="Cambria" w:eastAsia="Cambria" w:hAnsi="Cambria"/>
          <w:b w:val="0"/>
          <w:bCs w:val="0"/>
          <w:i w:val="1"/>
          <w:iCs w:val="1"/>
          <w:sz w:val="22"/>
          <w:szCs w:val="22"/>
          <w:u w:val="none"/>
          <w:rtl w:val="0"/>
        </w:rPr>
        <w:t xml:space="preserve">International Journal of Arts, Sciences and Education, 4</w:t>
      </w:r>
      <w:r w:rsidDel="00000000" w:rsidR="00000000" w:rsidRPr="00000000">
        <w:rPr>
          <w:rFonts w:ascii="Cambria" w:cs="Cambria" w:eastAsia="Cambria" w:hAnsi="Cambria"/>
          <w:b w:val="0"/>
          <w:bCs w:val="0"/>
          <w:i w:val="0"/>
          <w:iCs w:val="0"/>
          <w:sz w:val="22"/>
          <w:szCs w:val="22"/>
          <w:u w:val="none"/>
          <w:rtl w:val="0"/>
        </w:rPr>
        <w:t xml:space="preserve">(3). </w:t>
      </w:r>
      <w:hyperlink r:id="rId13">
        <w:r w:rsidDel="00000000" w:rsidR="00000000" w:rsidRPr="00000000">
          <w:rPr>
            <w:rFonts w:ascii="Cambria" w:cs="Cambria" w:eastAsia="Cambria" w:hAnsi="Cambria"/>
            <w:b w:val="0"/>
            <w:bCs w:val="0"/>
            <w:i w:val="0"/>
            <w:iCs w:val="0"/>
            <w:sz w:val="22"/>
            <w:szCs w:val="22"/>
            <w:u w:val="single"/>
            <w:rtl w:val="0"/>
          </w:rPr>
          <w:t xml:space="preserve">https://ijase.org/index.php/ijase/article/view/267</w:t>
        </w:r>
      </w:hyperlink>
      <w:r w:rsidDel="00000000" w:rsidR="00000000" w:rsidRPr="00000000">
        <w:rPr>
          <w:rtl w:val="0"/>
        </w:rPr>
      </w:r>
    </w:p>
    <w:p w:rsidR="00000000" w:rsidDel="00000000" w:rsidP="00000000" w:rsidRDefault="00000000" w:rsidRPr="00000000" w14:paraId="0000004F">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Benoit-Cattin, T., Velasco-Montero, D., &amp; Fernández-Berni, J. (2020). Impact of thermal throttling on long-term visual inference in a CPU-based edge device. </w:t>
      </w:r>
      <w:r w:rsidDel="00000000" w:rsidR="00000000" w:rsidRPr="00000000">
        <w:rPr>
          <w:rFonts w:ascii="Cambria" w:cs="Cambria" w:eastAsia="Cambria" w:hAnsi="Cambria"/>
          <w:b w:val="0"/>
          <w:bCs w:val="0"/>
          <w:i w:val="1"/>
          <w:iCs w:val="1"/>
          <w:sz w:val="22"/>
          <w:szCs w:val="22"/>
          <w:u w:val="none"/>
          <w:rtl w:val="0"/>
        </w:rPr>
        <w:t xml:space="preserve">Electronics, 9</w:t>
      </w:r>
      <w:r w:rsidDel="00000000" w:rsidR="00000000" w:rsidRPr="00000000">
        <w:rPr>
          <w:rFonts w:ascii="Cambria" w:cs="Cambria" w:eastAsia="Cambria" w:hAnsi="Cambria"/>
          <w:b w:val="0"/>
          <w:bCs w:val="0"/>
          <w:i w:val="0"/>
          <w:iCs w:val="0"/>
          <w:sz w:val="22"/>
          <w:szCs w:val="22"/>
          <w:u w:val="none"/>
          <w:rtl w:val="0"/>
        </w:rPr>
        <w:t xml:space="preserve">(12), 2106. </w:t>
      </w:r>
      <w:hyperlink r:id="rId14">
        <w:r w:rsidDel="00000000" w:rsidR="00000000" w:rsidRPr="00000000">
          <w:rPr>
            <w:rFonts w:ascii="Cambria" w:cs="Cambria" w:eastAsia="Cambria" w:hAnsi="Cambria"/>
            <w:b w:val="0"/>
            <w:bCs w:val="0"/>
            <w:i w:val="0"/>
            <w:iCs w:val="0"/>
            <w:sz w:val="22"/>
            <w:szCs w:val="22"/>
            <w:u w:val="single"/>
            <w:rtl w:val="0"/>
          </w:rPr>
          <w:t xml:space="preserve">https://doi.org/10.3390/electronics9122106</w:t>
        </w:r>
      </w:hyperlink>
      <w:r w:rsidDel="00000000" w:rsidR="00000000" w:rsidRPr="00000000">
        <w:rPr>
          <w:rtl w:val="0"/>
        </w:rPr>
      </w:r>
    </w:p>
    <w:p w:rsidR="00000000" w:rsidDel="00000000" w:rsidP="00000000" w:rsidRDefault="00000000" w:rsidRPr="00000000" w14:paraId="00000050">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Chaumette, F., &amp; Hutchinson, S. (2006). Visual servo control. I. Basic approaches. </w:t>
      </w:r>
      <w:r w:rsidDel="00000000" w:rsidR="00000000" w:rsidRPr="00000000">
        <w:rPr>
          <w:rFonts w:ascii="Cambria" w:cs="Cambria" w:eastAsia="Cambria" w:hAnsi="Cambria"/>
          <w:b w:val="0"/>
          <w:bCs w:val="0"/>
          <w:i w:val="1"/>
          <w:iCs w:val="1"/>
          <w:sz w:val="22"/>
          <w:szCs w:val="22"/>
          <w:u w:val="none"/>
          <w:rtl w:val="0"/>
        </w:rPr>
        <w:t xml:space="preserve">IEEE Robotics &amp; Automation Magazine, 13</w:t>
      </w:r>
      <w:r w:rsidDel="00000000" w:rsidR="00000000" w:rsidRPr="00000000">
        <w:rPr>
          <w:rFonts w:ascii="Cambria" w:cs="Cambria" w:eastAsia="Cambria" w:hAnsi="Cambria"/>
          <w:b w:val="0"/>
          <w:bCs w:val="0"/>
          <w:i w:val="0"/>
          <w:iCs w:val="0"/>
          <w:sz w:val="22"/>
          <w:szCs w:val="22"/>
          <w:u w:val="none"/>
          <w:rtl w:val="0"/>
        </w:rPr>
        <w:t xml:space="preserve">(4), 82–90. </w:t>
      </w:r>
      <w:hyperlink r:id="rId15">
        <w:r w:rsidDel="00000000" w:rsidR="00000000" w:rsidRPr="00000000">
          <w:rPr>
            <w:rFonts w:ascii="Cambria" w:cs="Cambria" w:eastAsia="Cambria" w:hAnsi="Cambria"/>
            <w:b w:val="0"/>
            <w:bCs w:val="0"/>
            <w:i w:val="0"/>
            <w:iCs w:val="0"/>
            <w:sz w:val="22"/>
            <w:szCs w:val="22"/>
            <w:u w:val="single"/>
            <w:rtl w:val="0"/>
          </w:rPr>
          <w:t xml:space="preserve">https://doi.org/10.1109/MRA.2006.250573</w:t>
        </w:r>
      </w:hyperlink>
      <w:r w:rsidDel="00000000" w:rsidR="00000000" w:rsidRPr="00000000">
        <w:rPr>
          <w:rtl w:val="0"/>
        </w:rPr>
      </w:r>
    </w:p>
    <w:p w:rsidR="00000000" w:rsidDel="00000000" w:rsidP="00000000" w:rsidRDefault="00000000" w:rsidRPr="00000000" w14:paraId="00000051">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Chowdhury, M. E. H., Khandakar, A., Ahmed, S., Al-Khuzaei, F., Hamdalla, J., Haque, F., Reaz, M. B. I., Al Shafei, A., &amp; Al-Emadi, N. (2020). Design, construction and testing of IoT based automated indoor vertical hydroponics farming test-bed in Qatar. </w:t>
      </w:r>
      <w:r w:rsidDel="00000000" w:rsidR="00000000" w:rsidRPr="00000000">
        <w:rPr>
          <w:rFonts w:ascii="Cambria" w:cs="Cambria" w:eastAsia="Cambria" w:hAnsi="Cambria"/>
          <w:b w:val="0"/>
          <w:bCs w:val="0"/>
          <w:i w:val="1"/>
          <w:iCs w:val="1"/>
          <w:sz w:val="22"/>
          <w:szCs w:val="22"/>
          <w:u w:val="none"/>
          <w:rtl w:val="0"/>
        </w:rPr>
        <w:t xml:space="preserve">Sensors, 20</w:t>
      </w:r>
      <w:r w:rsidDel="00000000" w:rsidR="00000000" w:rsidRPr="00000000">
        <w:rPr>
          <w:rFonts w:ascii="Cambria" w:cs="Cambria" w:eastAsia="Cambria" w:hAnsi="Cambria"/>
          <w:b w:val="0"/>
          <w:bCs w:val="0"/>
          <w:i w:val="0"/>
          <w:iCs w:val="0"/>
          <w:sz w:val="22"/>
          <w:szCs w:val="22"/>
          <w:u w:val="none"/>
          <w:rtl w:val="0"/>
        </w:rPr>
        <w:t xml:space="preserve">(19), 5637. </w:t>
      </w:r>
      <w:hyperlink r:id="rId16">
        <w:r w:rsidDel="00000000" w:rsidR="00000000" w:rsidRPr="00000000">
          <w:rPr>
            <w:rFonts w:ascii="Cambria" w:cs="Cambria" w:eastAsia="Cambria" w:hAnsi="Cambria"/>
            <w:b w:val="0"/>
            <w:bCs w:val="0"/>
            <w:i w:val="0"/>
            <w:iCs w:val="0"/>
            <w:sz w:val="22"/>
            <w:szCs w:val="22"/>
            <w:u w:val="single"/>
            <w:rtl w:val="0"/>
          </w:rPr>
          <w:t xml:space="preserve">https://doi.org/10.3390/s20195637</w:t>
        </w:r>
      </w:hyperlink>
      <w:r w:rsidDel="00000000" w:rsidR="00000000" w:rsidRPr="00000000">
        <w:rPr>
          <w:rtl w:val="0"/>
        </w:rPr>
      </w:r>
    </w:p>
    <w:p w:rsidR="00000000" w:rsidDel="00000000" w:rsidP="00000000" w:rsidRDefault="00000000" w:rsidRPr="00000000" w14:paraId="00000052">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Civil Aviation Authority of the Philippines. (2023). </w:t>
      </w:r>
      <w:r w:rsidDel="00000000" w:rsidR="00000000" w:rsidRPr="00000000">
        <w:rPr>
          <w:rFonts w:ascii="Cambria" w:cs="Cambria" w:eastAsia="Cambria" w:hAnsi="Cambria"/>
          <w:b w:val="0"/>
          <w:bCs w:val="0"/>
          <w:i w:val="1"/>
          <w:iCs w:val="1"/>
          <w:sz w:val="22"/>
          <w:szCs w:val="22"/>
          <w:u w:val="none"/>
          <w:rtl w:val="0"/>
        </w:rPr>
        <w:t xml:space="preserve">Philippine civil aviation regulations Part 11: Aerial work and operating limitations for non-type certificated aircraft</w:t>
      </w:r>
      <w:r w:rsidDel="00000000" w:rsidR="00000000" w:rsidRPr="00000000">
        <w:rPr>
          <w:rFonts w:ascii="Cambria" w:cs="Cambria" w:eastAsia="Cambria" w:hAnsi="Cambria"/>
          <w:b w:val="0"/>
          <w:bCs w:val="0"/>
          <w:i w:val="0"/>
          <w:iCs w:val="0"/>
          <w:sz w:val="22"/>
          <w:szCs w:val="22"/>
          <w:u w:val="none"/>
          <w:rtl w:val="0"/>
        </w:rPr>
        <w:t xml:space="preserve"> (July 2023 ed.). </w:t>
      </w:r>
      <w:hyperlink r:id="rId17">
        <w:r w:rsidDel="00000000" w:rsidR="00000000" w:rsidRPr="00000000">
          <w:rPr>
            <w:rFonts w:ascii="Cambria" w:cs="Cambria" w:eastAsia="Cambria" w:hAnsi="Cambria"/>
            <w:b w:val="0"/>
            <w:bCs w:val="0"/>
            <w:i w:val="0"/>
            <w:iCs w:val="0"/>
            <w:sz w:val="22"/>
            <w:szCs w:val="22"/>
            <w:u w:val="single"/>
            <w:rtl w:val="0"/>
          </w:rPr>
          <w:t xml:space="preserve">https://www.caap.gov.ph/wp-content/uploads/2023/09/PART-11-Aerial-Work-and-Operating-Limitations-for-Non-Type-Certificated-Aircraft.pdf</w:t>
        </w:r>
      </w:hyperlink>
      <w:r w:rsidDel="00000000" w:rsidR="00000000" w:rsidRPr="00000000">
        <w:rPr>
          <w:rtl w:val="0"/>
        </w:rPr>
      </w:r>
    </w:p>
    <w:p w:rsidR="00000000" w:rsidDel="00000000" w:rsidP="00000000" w:rsidRDefault="00000000" w:rsidRPr="00000000" w14:paraId="00000053">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Civil Aviation Authority of the Philippines. (2026). </w:t>
      </w:r>
      <w:r w:rsidDel="00000000" w:rsidR="00000000" w:rsidRPr="00000000">
        <w:rPr>
          <w:rFonts w:ascii="Cambria" w:cs="Cambria" w:eastAsia="Cambria" w:hAnsi="Cambria"/>
          <w:b w:val="0"/>
          <w:bCs w:val="0"/>
          <w:i w:val="1"/>
          <w:iCs w:val="1"/>
          <w:sz w:val="22"/>
          <w:szCs w:val="22"/>
          <w:u w:val="none"/>
          <w:rtl w:val="0"/>
        </w:rPr>
        <w:t xml:space="preserve">Philippine civil aviation regulations Part 11: Aerial work and operating limitations for non-type certificated aircraft</w:t>
      </w:r>
      <w:r w:rsidDel="00000000" w:rsidR="00000000" w:rsidRPr="00000000">
        <w:rPr>
          <w:rFonts w:ascii="Cambria" w:cs="Cambria" w:eastAsia="Cambria" w:hAnsi="Cambria"/>
          <w:b w:val="0"/>
          <w:bCs w:val="0"/>
          <w:i w:val="0"/>
          <w:iCs w:val="0"/>
          <w:sz w:val="22"/>
          <w:szCs w:val="22"/>
          <w:u w:val="none"/>
          <w:rtl w:val="0"/>
        </w:rPr>
        <w:t xml:space="preserve"> (January 2026 ed.). </w:t>
      </w:r>
      <w:hyperlink r:id="rId18">
        <w:r w:rsidDel="00000000" w:rsidR="00000000" w:rsidRPr="00000000">
          <w:rPr>
            <w:rFonts w:ascii="Cambria" w:cs="Cambria" w:eastAsia="Cambria" w:hAnsi="Cambria"/>
            <w:b w:val="0"/>
            <w:bCs w:val="0"/>
            <w:i w:val="0"/>
            <w:iCs w:val="0"/>
            <w:sz w:val="22"/>
            <w:szCs w:val="22"/>
            <w:u w:val="single"/>
            <w:rtl w:val="0"/>
          </w:rPr>
          <w:t xml:space="preserve">https://www.caap.gov.ph/wp-content/uploads/2026/01/PART-11-Aerial-Work-and-Operating-Limitations-for-Non-Type-Certificated-Aircraft.pdf</w:t>
        </w:r>
      </w:hyperlink>
      <w:r w:rsidDel="00000000" w:rsidR="00000000" w:rsidRPr="00000000">
        <w:rPr>
          <w:rtl w:val="0"/>
        </w:rPr>
      </w:r>
    </w:p>
    <w:p w:rsidR="00000000" w:rsidDel="00000000" w:rsidP="00000000" w:rsidRDefault="00000000" w:rsidRPr="00000000" w14:paraId="00000054">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Davis, F. D. (1989). Perceived usefulness, perceived ease of use, and user acceptance of information technology. </w:t>
      </w:r>
      <w:r w:rsidDel="00000000" w:rsidR="00000000" w:rsidRPr="00000000">
        <w:rPr>
          <w:rFonts w:ascii="Cambria" w:cs="Cambria" w:eastAsia="Cambria" w:hAnsi="Cambria"/>
          <w:b w:val="0"/>
          <w:bCs w:val="0"/>
          <w:i w:val="1"/>
          <w:iCs w:val="1"/>
          <w:sz w:val="22"/>
          <w:szCs w:val="22"/>
          <w:u w:val="none"/>
          <w:rtl w:val="0"/>
        </w:rPr>
        <w:t xml:space="preserve">MIS Quarterly, 13</w:t>
      </w:r>
      <w:r w:rsidDel="00000000" w:rsidR="00000000" w:rsidRPr="00000000">
        <w:rPr>
          <w:rFonts w:ascii="Cambria" w:cs="Cambria" w:eastAsia="Cambria" w:hAnsi="Cambria"/>
          <w:b w:val="0"/>
          <w:bCs w:val="0"/>
          <w:i w:val="0"/>
          <w:iCs w:val="0"/>
          <w:sz w:val="22"/>
          <w:szCs w:val="22"/>
          <w:u w:val="none"/>
          <w:rtl w:val="0"/>
        </w:rPr>
        <w:t xml:space="preserve">(3), 319–340. </w:t>
      </w:r>
      <w:hyperlink r:id="rId19">
        <w:r w:rsidDel="00000000" w:rsidR="00000000" w:rsidRPr="00000000">
          <w:rPr>
            <w:rFonts w:ascii="Cambria" w:cs="Cambria" w:eastAsia="Cambria" w:hAnsi="Cambria"/>
            <w:b w:val="0"/>
            <w:bCs w:val="0"/>
            <w:i w:val="0"/>
            <w:iCs w:val="0"/>
            <w:sz w:val="22"/>
            <w:szCs w:val="22"/>
            <w:u w:val="single"/>
            <w:rtl w:val="0"/>
          </w:rPr>
          <w:t xml:space="preserve">https://doi.org/10.2307/249008</w:t>
        </w:r>
      </w:hyperlink>
      <w:r w:rsidDel="00000000" w:rsidR="00000000" w:rsidRPr="00000000">
        <w:rPr>
          <w:rtl w:val="0"/>
        </w:rPr>
      </w:r>
    </w:p>
    <w:p w:rsidR="00000000" w:rsidDel="00000000" w:rsidP="00000000" w:rsidRDefault="00000000" w:rsidRPr="00000000" w14:paraId="00000055">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de Azambuja, R., Fouad, H., Bouteiller, Y., Sol, C., &amp; Beltrame, G. (2022). When being soft makes you tough: A collision-resilient quadcopter inspired by arthropods’ exoskeletons. In </w:t>
      </w:r>
      <w:r w:rsidDel="00000000" w:rsidR="00000000" w:rsidRPr="00000000">
        <w:rPr>
          <w:rFonts w:ascii="Cambria" w:cs="Cambria" w:eastAsia="Cambria" w:hAnsi="Cambria"/>
          <w:b w:val="0"/>
          <w:bCs w:val="0"/>
          <w:i w:val="1"/>
          <w:iCs w:val="1"/>
          <w:sz w:val="22"/>
          <w:szCs w:val="22"/>
          <w:u w:val="none"/>
          <w:rtl w:val="0"/>
        </w:rPr>
        <w:t xml:space="preserve">2022 IEEE International Conference on Robotics and Automation (ICRA)</w:t>
      </w:r>
      <w:r w:rsidDel="00000000" w:rsidR="00000000" w:rsidRPr="00000000">
        <w:rPr>
          <w:rFonts w:ascii="Cambria" w:cs="Cambria" w:eastAsia="Cambria" w:hAnsi="Cambria"/>
          <w:b w:val="0"/>
          <w:bCs w:val="0"/>
          <w:i w:val="0"/>
          <w:iCs w:val="0"/>
          <w:sz w:val="22"/>
          <w:szCs w:val="22"/>
          <w:u w:val="none"/>
          <w:rtl w:val="0"/>
        </w:rPr>
        <w:t xml:space="preserve"> (pp. 7854–7860). IEEE. </w:t>
      </w:r>
      <w:hyperlink r:id="rId20">
        <w:r w:rsidDel="00000000" w:rsidR="00000000" w:rsidRPr="00000000">
          <w:rPr>
            <w:rFonts w:ascii="Cambria" w:cs="Cambria" w:eastAsia="Cambria" w:hAnsi="Cambria"/>
            <w:b w:val="0"/>
            <w:bCs w:val="0"/>
            <w:i w:val="0"/>
            <w:iCs w:val="0"/>
            <w:sz w:val="22"/>
            <w:szCs w:val="22"/>
            <w:u w:val="single"/>
            <w:rtl w:val="0"/>
          </w:rPr>
          <w:t xml:space="preserve">https://doi.org/10.1109/ICRA46639.2022.9811841</w:t>
        </w:r>
      </w:hyperlink>
      <w:r w:rsidDel="00000000" w:rsidR="00000000" w:rsidRPr="00000000">
        <w:rPr>
          <w:rtl w:val="0"/>
        </w:rPr>
      </w:r>
    </w:p>
    <w:p w:rsidR="00000000" w:rsidDel="00000000" w:rsidP="00000000" w:rsidRDefault="00000000" w:rsidRPr="00000000" w14:paraId="00000056">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Despommier, D. (2010). </w:t>
      </w:r>
      <w:r w:rsidDel="00000000" w:rsidR="00000000" w:rsidRPr="00000000">
        <w:rPr>
          <w:rFonts w:ascii="Cambria" w:cs="Cambria" w:eastAsia="Cambria" w:hAnsi="Cambria"/>
          <w:b w:val="0"/>
          <w:bCs w:val="0"/>
          <w:i w:val="1"/>
          <w:iCs w:val="1"/>
          <w:sz w:val="22"/>
          <w:szCs w:val="22"/>
          <w:u w:val="none"/>
          <w:rtl w:val="0"/>
        </w:rPr>
        <w:t xml:space="preserve">The vertical farm: Feeding the world in the 21st century</w:t>
      </w:r>
      <w:r w:rsidDel="00000000" w:rsidR="00000000" w:rsidRPr="00000000">
        <w:rPr>
          <w:rFonts w:ascii="Cambria" w:cs="Cambria" w:eastAsia="Cambria" w:hAnsi="Cambria"/>
          <w:b w:val="0"/>
          <w:bCs w:val="0"/>
          <w:i w:val="0"/>
          <w:iCs w:val="0"/>
          <w:sz w:val="22"/>
          <w:szCs w:val="22"/>
          <w:u w:val="none"/>
          <w:rtl w:val="0"/>
        </w:rPr>
        <w:t xml:space="preserve">. Thomas Dunne Books.</w:t>
      </w:r>
    </w:p>
    <w:p w:rsidR="00000000" w:rsidDel="00000000" w:rsidP="00000000" w:rsidRDefault="00000000" w:rsidRPr="00000000" w14:paraId="00000057">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Dhanaraju, M., Chenniappan, P., Ramalingam, K., Pazhanivelan, S., &amp; Kaliaperumal, R. (2022). Smart farming: Internet of Things (IoT)-based sustainable agriculture. </w:t>
      </w:r>
      <w:r w:rsidDel="00000000" w:rsidR="00000000" w:rsidRPr="00000000">
        <w:rPr>
          <w:rFonts w:ascii="Cambria" w:cs="Cambria" w:eastAsia="Cambria" w:hAnsi="Cambria"/>
          <w:b w:val="0"/>
          <w:bCs w:val="0"/>
          <w:i w:val="1"/>
          <w:iCs w:val="1"/>
          <w:sz w:val="22"/>
          <w:szCs w:val="22"/>
          <w:u w:val="none"/>
          <w:rtl w:val="0"/>
        </w:rPr>
        <w:t xml:space="preserve">Agriculture, 12</w:t>
      </w:r>
      <w:r w:rsidDel="00000000" w:rsidR="00000000" w:rsidRPr="00000000">
        <w:rPr>
          <w:rFonts w:ascii="Cambria" w:cs="Cambria" w:eastAsia="Cambria" w:hAnsi="Cambria"/>
          <w:b w:val="0"/>
          <w:bCs w:val="0"/>
          <w:i w:val="0"/>
          <w:iCs w:val="0"/>
          <w:sz w:val="22"/>
          <w:szCs w:val="22"/>
          <w:u w:val="none"/>
          <w:rtl w:val="0"/>
        </w:rPr>
        <w:t xml:space="preserve">(10), 1745. </w:t>
      </w:r>
      <w:hyperlink r:id="rId21">
        <w:r w:rsidDel="00000000" w:rsidR="00000000" w:rsidRPr="00000000">
          <w:rPr>
            <w:rFonts w:ascii="Cambria" w:cs="Cambria" w:eastAsia="Cambria" w:hAnsi="Cambria"/>
            <w:b w:val="0"/>
            <w:bCs w:val="0"/>
            <w:i w:val="0"/>
            <w:iCs w:val="0"/>
            <w:sz w:val="22"/>
            <w:szCs w:val="22"/>
            <w:u w:val="single"/>
            <w:rtl w:val="0"/>
          </w:rPr>
          <w:t xml:space="preserve">https://doi.org/10.3390/agriculture12101745</w:t>
        </w:r>
      </w:hyperlink>
      <w:r w:rsidDel="00000000" w:rsidR="00000000" w:rsidRPr="00000000">
        <w:rPr>
          <w:rtl w:val="0"/>
        </w:rPr>
      </w:r>
    </w:p>
    <w:p w:rsidR="00000000" w:rsidDel="00000000" w:rsidP="00000000" w:rsidRDefault="00000000" w:rsidRPr="00000000" w14:paraId="00000058">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Domingo, O. F. (2022, January 7). </w:t>
      </w:r>
      <w:r w:rsidDel="00000000" w:rsidR="00000000" w:rsidRPr="00000000">
        <w:rPr>
          <w:rFonts w:ascii="Cambria" w:cs="Cambria" w:eastAsia="Cambria" w:hAnsi="Cambria"/>
          <w:b w:val="0"/>
          <w:bCs w:val="0"/>
          <w:i w:val="1"/>
          <w:iCs w:val="1"/>
          <w:sz w:val="22"/>
          <w:szCs w:val="22"/>
          <w:u w:val="none"/>
          <w:rtl w:val="0"/>
        </w:rPr>
        <w:t xml:space="preserve">IoT-smart greenhouse hydroponics for lettuce makes its way to farm enterprise</w:t>
      </w:r>
      <w:r w:rsidDel="00000000" w:rsidR="00000000" w:rsidRPr="00000000">
        <w:rPr>
          <w:rFonts w:ascii="Cambria" w:cs="Cambria" w:eastAsia="Cambria" w:hAnsi="Cambria"/>
          <w:b w:val="0"/>
          <w:bCs w:val="0"/>
          <w:i w:val="0"/>
          <w:iCs w:val="0"/>
          <w:sz w:val="22"/>
          <w:szCs w:val="22"/>
          <w:u w:val="none"/>
          <w:rtl w:val="0"/>
        </w:rPr>
        <w:t xml:space="preserve">. DOST-PCAARRD. </w:t>
      </w:r>
      <w:hyperlink r:id="rId22">
        <w:r w:rsidDel="00000000" w:rsidR="00000000" w:rsidRPr="00000000">
          <w:rPr>
            <w:rFonts w:ascii="Cambria" w:cs="Cambria" w:eastAsia="Cambria" w:hAnsi="Cambria"/>
            <w:b w:val="0"/>
            <w:bCs w:val="0"/>
            <w:i w:val="0"/>
            <w:iCs w:val="0"/>
            <w:sz w:val="22"/>
            <w:szCs w:val="22"/>
            <w:u w:val="single"/>
            <w:rtl w:val="0"/>
          </w:rPr>
          <w:t xml:space="preserve">https://pcaarrd.dost.gov.ph/index.php/quick-information-dispatch-qid-articles/iot-smart-greenhouse-hydroponics-for-lettuce-makes-its-way-to-farm-enterprise</w:t>
        </w:r>
      </w:hyperlink>
      <w:r w:rsidDel="00000000" w:rsidR="00000000" w:rsidRPr="00000000">
        <w:rPr>
          <w:rtl w:val="0"/>
        </w:rPr>
      </w:r>
    </w:p>
    <w:p w:rsidR="00000000" w:rsidDel="00000000" w:rsidP="00000000" w:rsidRDefault="00000000" w:rsidRPr="00000000" w14:paraId="00000059">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DOST-PCAARRD. (n.d.). </w:t>
      </w:r>
      <w:r w:rsidDel="00000000" w:rsidR="00000000" w:rsidRPr="00000000">
        <w:rPr>
          <w:rFonts w:ascii="Cambria" w:cs="Cambria" w:eastAsia="Cambria" w:hAnsi="Cambria"/>
          <w:b w:val="0"/>
          <w:bCs w:val="0"/>
          <w:i w:val="1"/>
          <w:iCs w:val="1"/>
          <w:sz w:val="22"/>
          <w:szCs w:val="22"/>
          <w:u w:val="none"/>
          <w:rtl w:val="0"/>
        </w:rPr>
        <w:t xml:space="preserve">DOST-PCAARRD, UPLB research on indoor farming opens opportunities for the industry</w:t>
      </w:r>
      <w:r w:rsidDel="00000000" w:rsidR="00000000" w:rsidRPr="00000000">
        <w:rPr>
          <w:rFonts w:ascii="Cambria" w:cs="Cambria" w:eastAsia="Cambria" w:hAnsi="Cambria"/>
          <w:b w:val="0"/>
          <w:bCs w:val="0"/>
          <w:i w:val="0"/>
          <w:iCs w:val="0"/>
          <w:sz w:val="22"/>
          <w:szCs w:val="22"/>
          <w:u w:val="none"/>
          <w:rtl w:val="0"/>
        </w:rPr>
        <w:t xml:space="preserve">. </w:t>
      </w:r>
      <w:hyperlink r:id="rId23">
        <w:r w:rsidDel="00000000" w:rsidR="00000000" w:rsidRPr="00000000">
          <w:rPr>
            <w:rFonts w:ascii="Cambria" w:cs="Cambria" w:eastAsia="Cambria" w:hAnsi="Cambria"/>
            <w:b w:val="0"/>
            <w:bCs w:val="0"/>
            <w:i w:val="0"/>
            <w:iCs w:val="0"/>
            <w:sz w:val="22"/>
            <w:szCs w:val="22"/>
            <w:u w:val="single"/>
            <w:rtl w:val="0"/>
          </w:rPr>
          <w:t xml:space="preserve">https://www.pcaarrd.dost.gov.ph/index.php/quick-information-dispatch-qid-articles/dost-pcaarrd-uplb-research-on-indoor-farming-opens-opportunities-for-the-industry</w:t>
        </w:r>
      </w:hyperlink>
      <w:r w:rsidDel="00000000" w:rsidR="00000000" w:rsidRPr="00000000">
        <w:rPr>
          <w:rtl w:val="0"/>
        </w:rPr>
      </w:r>
    </w:p>
    <w:p w:rsidR="00000000" w:rsidDel="00000000" w:rsidP="00000000" w:rsidRDefault="00000000" w:rsidRPr="00000000" w14:paraId="0000005A">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Fountas, S., Carli, G., Sørensen, C. G., Tsiropoulos, Z., Cavalaris, C., Vatsanidou, A., Liakos, B., Canavari, M., Wiebensohn, J., &amp; Tisserye, B. (2015). Farm management information systems: Current situation and future perspectives. </w:t>
      </w:r>
      <w:r w:rsidDel="00000000" w:rsidR="00000000" w:rsidRPr="00000000">
        <w:rPr>
          <w:rFonts w:ascii="Cambria" w:cs="Cambria" w:eastAsia="Cambria" w:hAnsi="Cambria"/>
          <w:b w:val="0"/>
          <w:bCs w:val="0"/>
          <w:i w:val="1"/>
          <w:iCs w:val="1"/>
          <w:sz w:val="22"/>
          <w:szCs w:val="22"/>
          <w:u w:val="none"/>
          <w:rtl w:val="0"/>
        </w:rPr>
        <w:t xml:space="preserve">Computers and Electronics in Agriculture, 115</w:t>
      </w:r>
      <w:r w:rsidDel="00000000" w:rsidR="00000000" w:rsidRPr="00000000">
        <w:rPr>
          <w:rFonts w:ascii="Cambria" w:cs="Cambria" w:eastAsia="Cambria" w:hAnsi="Cambria"/>
          <w:b w:val="0"/>
          <w:bCs w:val="0"/>
          <w:i w:val="0"/>
          <w:iCs w:val="0"/>
          <w:sz w:val="22"/>
          <w:szCs w:val="22"/>
          <w:u w:val="none"/>
          <w:rtl w:val="0"/>
        </w:rPr>
        <w:t xml:space="preserve">, 40–50. </w:t>
      </w:r>
      <w:hyperlink r:id="rId24">
        <w:r w:rsidDel="00000000" w:rsidR="00000000" w:rsidRPr="00000000">
          <w:rPr>
            <w:rFonts w:ascii="Cambria" w:cs="Cambria" w:eastAsia="Cambria" w:hAnsi="Cambria"/>
            <w:b w:val="0"/>
            <w:bCs w:val="0"/>
            <w:i w:val="0"/>
            <w:iCs w:val="0"/>
            <w:sz w:val="22"/>
            <w:szCs w:val="22"/>
            <w:u w:val="single"/>
            <w:rtl w:val="0"/>
          </w:rPr>
          <w:t xml:space="preserve">https://doi.org/10.1016/j.compag.2015.05.011</w:t>
        </w:r>
      </w:hyperlink>
      <w:r w:rsidDel="00000000" w:rsidR="00000000" w:rsidRPr="00000000">
        <w:rPr>
          <w:rtl w:val="0"/>
        </w:rPr>
      </w:r>
    </w:p>
    <w:p w:rsidR="00000000" w:rsidDel="00000000" w:rsidP="00000000" w:rsidRDefault="00000000" w:rsidRPr="00000000" w14:paraId="0000005B">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Garrido-Jurado, S., Muñoz-Salinas, R., Madrid-Cuevas, F. J., &amp; Marín-Jiménez, M. J. (2014). Automatic generation and detection of highly reliable fiducial markers under occlusion. </w:t>
      </w:r>
      <w:r w:rsidDel="00000000" w:rsidR="00000000" w:rsidRPr="00000000">
        <w:rPr>
          <w:rFonts w:ascii="Cambria" w:cs="Cambria" w:eastAsia="Cambria" w:hAnsi="Cambria"/>
          <w:b w:val="0"/>
          <w:bCs w:val="0"/>
          <w:i w:val="1"/>
          <w:iCs w:val="1"/>
          <w:sz w:val="22"/>
          <w:szCs w:val="22"/>
          <w:u w:val="none"/>
          <w:rtl w:val="0"/>
        </w:rPr>
        <w:t xml:space="preserve">Pattern Recognition, 47</w:t>
      </w:r>
      <w:r w:rsidDel="00000000" w:rsidR="00000000" w:rsidRPr="00000000">
        <w:rPr>
          <w:rFonts w:ascii="Cambria" w:cs="Cambria" w:eastAsia="Cambria" w:hAnsi="Cambria"/>
          <w:b w:val="0"/>
          <w:bCs w:val="0"/>
          <w:i w:val="0"/>
          <w:iCs w:val="0"/>
          <w:sz w:val="22"/>
          <w:szCs w:val="22"/>
          <w:u w:val="none"/>
          <w:rtl w:val="0"/>
        </w:rPr>
        <w:t xml:space="preserve">(6), 2280–2292. </w:t>
      </w:r>
      <w:hyperlink r:id="rId25">
        <w:r w:rsidDel="00000000" w:rsidR="00000000" w:rsidRPr="00000000">
          <w:rPr>
            <w:rFonts w:ascii="Cambria" w:cs="Cambria" w:eastAsia="Cambria" w:hAnsi="Cambria"/>
            <w:b w:val="0"/>
            <w:bCs w:val="0"/>
            <w:i w:val="0"/>
            <w:iCs w:val="0"/>
            <w:sz w:val="22"/>
            <w:szCs w:val="22"/>
            <w:u w:val="single"/>
            <w:rtl w:val="0"/>
          </w:rPr>
          <w:t xml:space="preserve">https://doi.org/10.1016/j.patcog.2014.01.005</w:t>
        </w:r>
      </w:hyperlink>
      <w:r w:rsidDel="00000000" w:rsidR="00000000" w:rsidRPr="00000000">
        <w:rPr>
          <w:rtl w:val="0"/>
        </w:rPr>
      </w:r>
    </w:p>
    <w:p w:rsidR="00000000" w:rsidDel="00000000" w:rsidP="00000000" w:rsidRDefault="00000000" w:rsidRPr="00000000" w14:paraId="0000005C">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GPS.gov. (n.d.). </w:t>
      </w:r>
      <w:r w:rsidDel="00000000" w:rsidR="00000000" w:rsidRPr="00000000">
        <w:rPr>
          <w:rFonts w:ascii="Cambria" w:cs="Cambria" w:eastAsia="Cambria" w:hAnsi="Cambria"/>
          <w:b w:val="0"/>
          <w:bCs w:val="0"/>
          <w:i w:val="1"/>
          <w:iCs w:val="1"/>
          <w:sz w:val="22"/>
          <w:szCs w:val="22"/>
          <w:u w:val="none"/>
          <w:rtl w:val="0"/>
        </w:rPr>
        <w:t xml:space="preserve">GPS accuracy</w:t>
      </w:r>
      <w:r w:rsidDel="00000000" w:rsidR="00000000" w:rsidRPr="00000000">
        <w:rPr>
          <w:rFonts w:ascii="Cambria" w:cs="Cambria" w:eastAsia="Cambria" w:hAnsi="Cambria"/>
          <w:b w:val="0"/>
          <w:bCs w:val="0"/>
          <w:i w:val="0"/>
          <w:iCs w:val="0"/>
          <w:sz w:val="22"/>
          <w:szCs w:val="22"/>
          <w:u w:val="none"/>
          <w:rtl w:val="0"/>
        </w:rPr>
        <w:t xml:space="preserve">. Retrieved October 14, 2026, from </w:t>
      </w:r>
      <w:hyperlink r:id="rId26">
        <w:r w:rsidDel="00000000" w:rsidR="00000000" w:rsidRPr="00000000">
          <w:rPr>
            <w:rFonts w:ascii="Cambria" w:cs="Cambria" w:eastAsia="Cambria" w:hAnsi="Cambria"/>
            <w:b w:val="0"/>
            <w:bCs w:val="0"/>
            <w:i w:val="0"/>
            <w:iCs w:val="0"/>
            <w:sz w:val="22"/>
            <w:szCs w:val="22"/>
            <w:u w:val="single"/>
            <w:rtl w:val="0"/>
          </w:rPr>
          <w:t xml:space="preserve">https://www.gps.gov/systems/gps/performance/accuracy/</w:t>
        </w:r>
      </w:hyperlink>
      <w:r w:rsidDel="00000000" w:rsidR="00000000" w:rsidRPr="00000000">
        <w:rPr>
          <w:rtl w:val="0"/>
        </w:rPr>
      </w:r>
    </w:p>
    <w:p w:rsidR="00000000" w:rsidDel="00000000" w:rsidP="00000000" w:rsidRDefault="00000000" w:rsidRPr="00000000" w14:paraId="0000005D">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Heikenfeld, J., Drzaic, P., Yeo, J.-S., &amp; Koch, T. (2011). Review paper: A critical review of the present and future prospects for electronic paper. </w:t>
      </w:r>
      <w:r w:rsidDel="00000000" w:rsidR="00000000" w:rsidRPr="00000000">
        <w:rPr>
          <w:rFonts w:ascii="Cambria" w:cs="Cambria" w:eastAsia="Cambria" w:hAnsi="Cambria"/>
          <w:b w:val="0"/>
          <w:bCs w:val="0"/>
          <w:i w:val="1"/>
          <w:iCs w:val="1"/>
          <w:sz w:val="22"/>
          <w:szCs w:val="22"/>
          <w:u w:val="none"/>
          <w:rtl w:val="0"/>
        </w:rPr>
        <w:t xml:space="preserve">Journal of the Society for Information Display, 19</w:t>
      </w:r>
      <w:r w:rsidDel="00000000" w:rsidR="00000000" w:rsidRPr="00000000">
        <w:rPr>
          <w:rFonts w:ascii="Cambria" w:cs="Cambria" w:eastAsia="Cambria" w:hAnsi="Cambria"/>
          <w:b w:val="0"/>
          <w:bCs w:val="0"/>
          <w:i w:val="0"/>
          <w:iCs w:val="0"/>
          <w:sz w:val="22"/>
          <w:szCs w:val="22"/>
          <w:u w:val="none"/>
          <w:rtl w:val="0"/>
        </w:rPr>
        <w:t xml:space="preserve">(2), 129–156. </w:t>
      </w:r>
      <w:hyperlink r:id="rId27">
        <w:r w:rsidDel="00000000" w:rsidR="00000000" w:rsidRPr="00000000">
          <w:rPr>
            <w:rFonts w:ascii="Cambria" w:cs="Cambria" w:eastAsia="Cambria" w:hAnsi="Cambria"/>
            <w:b w:val="0"/>
            <w:bCs w:val="0"/>
            <w:i w:val="0"/>
            <w:iCs w:val="0"/>
            <w:sz w:val="22"/>
            <w:szCs w:val="22"/>
            <w:u w:val="single"/>
            <w:rtl w:val="0"/>
          </w:rPr>
          <w:t xml:space="preserve">https://doi.org/10.1889/JSID19.2.129</w:t>
        </w:r>
      </w:hyperlink>
      <w:r w:rsidDel="00000000" w:rsidR="00000000" w:rsidRPr="00000000">
        <w:rPr>
          <w:rtl w:val="0"/>
        </w:rPr>
      </w:r>
    </w:p>
    <w:p w:rsidR="00000000" w:rsidDel="00000000" w:rsidP="00000000" w:rsidRDefault="00000000" w:rsidRPr="00000000" w14:paraId="0000005E">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Hossain, S., &amp; Lee, D.-J. (2019). Deep learning-based real-time multiple-object detection and tracking from aerial imagery via a flying robot with GPU-based embedded devices. </w:t>
      </w:r>
      <w:r w:rsidDel="00000000" w:rsidR="00000000" w:rsidRPr="00000000">
        <w:rPr>
          <w:rFonts w:ascii="Cambria" w:cs="Cambria" w:eastAsia="Cambria" w:hAnsi="Cambria"/>
          <w:b w:val="0"/>
          <w:bCs w:val="0"/>
          <w:i w:val="1"/>
          <w:iCs w:val="1"/>
          <w:sz w:val="22"/>
          <w:szCs w:val="22"/>
          <w:u w:val="none"/>
          <w:rtl w:val="0"/>
        </w:rPr>
        <w:t xml:space="preserve">Sensors, 19</w:t>
      </w:r>
      <w:r w:rsidDel="00000000" w:rsidR="00000000" w:rsidRPr="00000000">
        <w:rPr>
          <w:rFonts w:ascii="Cambria" w:cs="Cambria" w:eastAsia="Cambria" w:hAnsi="Cambria"/>
          <w:b w:val="0"/>
          <w:bCs w:val="0"/>
          <w:i w:val="0"/>
          <w:iCs w:val="0"/>
          <w:sz w:val="22"/>
          <w:szCs w:val="22"/>
          <w:u w:val="none"/>
          <w:rtl w:val="0"/>
        </w:rPr>
        <w:t xml:space="preserve">(15), 3371. </w:t>
      </w:r>
      <w:hyperlink r:id="rId28">
        <w:r w:rsidDel="00000000" w:rsidR="00000000" w:rsidRPr="00000000">
          <w:rPr>
            <w:rFonts w:ascii="Cambria" w:cs="Cambria" w:eastAsia="Cambria" w:hAnsi="Cambria"/>
            <w:b w:val="0"/>
            <w:bCs w:val="0"/>
            <w:i w:val="0"/>
            <w:iCs w:val="0"/>
            <w:sz w:val="22"/>
            <w:szCs w:val="22"/>
            <w:u w:val="single"/>
            <w:rtl w:val="0"/>
          </w:rPr>
          <w:t xml:space="preserve">https://doi.org/10.3390/s19153371</w:t>
        </w:r>
      </w:hyperlink>
      <w:r w:rsidDel="00000000" w:rsidR="00000000" w:rsidRPr="00000000">
        <w:rPr>
          <w:rtl w:val="0"/>
        </w:rPr>
      </w:r>
    </w:p>
    <w:p w:rsidR="00000000" w:rsidDel="00000000" w:rsidP="00000000" w:rsidRDefault="00000000" w:rsidRPr="00000000" w14:paraId="0000005F">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Joshi, A., Kale, S., Chandel, S., &amp; Pal, D. K. (2015). Likert scale: Explored and explained. </w:t>
      </w:r>
      <w:r w:rsidDel="00000000" w:rsidR="00000000" w:rsidRPr="00000000">
        <w:rPr>
          <w:rFonts w:ascii="Cambria" w:cs="Cambria" w:eastAsia="Cambria" w:hAnsi="Cambria"/>
          <w:b w:val="0"/>
          <w:bCs w:val="0"/>
          <w:i w:val="1"/>
          <w:iCs w:val="1"/>
          <w:sz w:val="22"/>
          <w:szCs w:val="22"/>
          <w:u w:val="none"/>
          <w:rtl w:val="0"/>
        </w:rPr>
        <w:t xml:space="preserve">British Journal of Applied Science &amp; Technology, 7</w:t>
      </w:r>
      <w:r w:rsidDel="00000000" w:rsidR="00000000" w:rsidRPr="00000000">
        <w:rPr>
          <w:rFonts w:ascii="Cambria" w:cs="Cambria" w:eastAsia="Cambria" w:hAnsi="Cambria"/>
          <w:b w:val="0"/>
          <w:bCs w:val="0"/>
          <w:i w:val="0"/>
          <w:iCs w:val="0"/>
          <w:sz w:val="22"/>
          <w:szCs w:val="22"/>
          <w:u w:val="none"/>
          <w:rtl w:val="0"/>
        </w:rPr>
        <w:t xml:space="preserve">(4), 396–403. </w:t>
      </w:r>
      <w:hyperlink r:id="rId29">
        <w:r w:rsidDel="00000000" w:rsidR="00000000" w:rsidRPr="00000000">
          <w:rPr>
            <w:rFonts w:ascii="Cambria" w:cs="Cambria" w:eastAsia="Cambria" w:hAnsi="Cambria"/>
            <w:b w:val="0"/>
            <w:bCs w:val="0"/>
            <w:i w:val="0"/>
            <w:iCs w:val="0"/>
            <w:sz w:val="22"/>
            <w:szCs w:val="22"/>
            <w:u w:val="single"/>
            <w:rtl w:val="0"/>
          </w:rPr>
          <w:t xml:space="preserve">https://doi.org/10.9734/BJAST/2015/14975</w:t>
        </w:r>
      </w:hyperlink>
      <w:r w:rsidDel="00000000" w:rsidR="00000000" w:rsidRPr="00000000">
        <w:rPr>
          <w:rtl w:val="0"/>
        </w:rPr>
      </w:r>
    </w:p>
    <w:p w:rsidR="00000000" w:rsidDel="00000000" w:rsidP="00000000" w:rsidRDefault="00000000" w:rsidRPr="00000000" w14:paraId="00000060">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Kalaitzakis, M., Cain, B., Carroll, S., Ambrosi, A., Whitehead, C., &amp; Vitzilaios, N. (2021). Fiducial markers for pose estimation: Overview, applications and experimental comparison of the ARTag, AprilTag, ArUco and STag markers. </w:t>
      </w:r>
      <w:r w:rsidDel="00000000" w:rsidR="00000000" w:rsidRPr="00000000">
        <w:rPr>
          <w:rFonts w:ascii="Cambria" w:cs="Cambria" w:eastAsia="Cambria" w:hAnsi="Cambria"/>
          <w:b w:val="0"/>
          <w:bCs w:val="0"/>
          <w:i w:val="1"/>
          <w:iCs w:val="1"/>
          <w:sz w:val="22"/>
          <w:szCs w:val="22"/>
          <w:u w:val="none"/>
          <w:rtl w:val="0"/>
        </w:rPr>
        <w:t xml:space="preserve">Journal of Intelligent &amp; Robotic Systems, 101</w:t>
      </w:r>
      <w:r w:rsidDel="00000000" w:rsidR="00000000" w:rsidRPr="00000000">
        <w:rPr>
          <w:rFonts w:ascii="Cambria" w:cs="Cambria" w:eastAsia="Cambria" w:hAnsi="Cambria"/>
          <w:b w:val="0"/>
          <w:bCs w:val="0"/>
          <w:i w:val="0"/>
          <w:iCs w:val="0"/>
          <w:sz w:val="22"/>
          <w:szCs w:val="22"/>
          <w:u w:val="none"/>
          <w:rtl w:val="0"/>
        </w:rPr>
        <w:t xml:space="preserve">(4), Article 71. </w:t>
      </w:r>
      <w:hyperlink r:id="rId30">
        <w:r w:rsidDel="00000000" w:rsidR="00000000" w:rsidRPr="00000000">
          <w:rPr>
            <w:rFonts w:ascii="Cambria" w:cs="Cambria" w:eastAsia="Cambria" w:hAnsi="Cambria"/>
            <w:b w:val="0"/>
            <w:bCs w:val="0"/>
            <w:i w:val="0"/>
            <w:iCs w:val="0"/>
            <w:sz w:val="22"/>
            <w:szCs w:val="22"/>
            <w:u w:val="single"/>
            <w:rtl w:val="0"/>
          </w:rPr>
          <w:t xml:space="preserve">https://doi.org/10.1007/s10846-020-01307-9</w:t>
        </w:r>
      </w:hyperlink>
      <w:r w:rsidDel="00000000" w:rsidR="00000000" w:rsidRPr="00000000">
        <w:rPr>
          <w:rtl w:val="0"/>
        </w:rPr>
      </w:r>
    </w:p>
    <w:p w:rsidR="00000000" w:rsidDel="00000000" w:rsidP="00000000" w:rsidRDefault="00000000" w:rsidRPr="00000000" w14:paraId="00000061">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Kleppmann, M., Wiggins, A., van Hardenberg, P., &amp; McGranaghan, M. (2019). Local-first software: You own your data, in spite of the cloud. In </w:t>
      </w:r>
      <w:r w:rsidDel="00000000" w:rsidR="00000000" w:rsidRPr="00000000">
        <w:rPr>
          <w:rFonts w:ascii="Cambria" w:cs="Cambria" w:eastAsia="Cambria" w:hAnsi="Cambria"/>
          <w:b w:val="0"/>
          <w:bCs w:val="0"/>
          <w:i w:val="1"/>
          <w:iCs w:val="1"/>
          <w:sz w:val="22"/>
          <w:szCs w:val="22"/>
          <w:u w:val="none"/>
          <w:rtl w:val="0"/>
        </w:rPr>
        <w:t xml:space="preserve">Proceedings of the 2019 ACM SIGPLAN International Symposium on New Ideas, New Paradigms, and Reflections on Programming and Software</w:t>
      </w:r>
      <w:r w:rsidDel="00000000" w:rsidR="00000000" w:rsidRPr="00000000">
        <w:rPr>
          <w:rFonts w:ascii="Cambria" w:cs="Cambria" w:eastAsia="Cambria" w:hAnsi="Cambria"/>
          <w:b w:val="0"/>
          <w:bCs w:val="0"/>
          <w:i w:val="0"/>
          <w:iCs w:val="0"/>
          <w:sz w:val="22"/>
          <w:szCs w:val="22"/>
          <w:u w:val="none"/>
          <w:rtl w:val="0"/>
        </w:rPr>
        <w:t xml:space="preserve"> (Onward! ’19) (pp. 154–178). ACM. </w:t>
      </w:r>
      <w:hyperlink r:id="rId31">
        <w:r w:rsidDel="00000000" w:rsidR="00000000" w:rsidRPr="00000000">
          <w:rPr>
            <w:rFonts w:ascii="Cambria" w:cs="Cambria" w:eastAsia="Cambria" w:hAnsi="Cambria"/>
            <w:b w:val="0"/>
            <w:bCs w:val="0"/>
            <w:i w:val="0"/>
            <w:iCs w:val="0"/>
            <w:sz w:val="22"/>
            <w:szCs w:val="22"/>
            <w:u w:val="single"/>
            <w:rtl w:val="0"/>
          </w:rPr>
          <w:t xml:space="preserve">https://doi.org/10.1145/3359591.3359737</w:t>
        </w:r>
      </w:hyperlink>
      <w:r w:rsidDel="00000000" w:rsidR="00000000" w:rsidRPr="00000000">
        <w:rPr>
          <w:rtl w:val="0"/>
        </w:rPr>
      </w:r>
    </w:p>
    <w:p w:rsidR="00000000" w:rsidDel="00000000" w:rsidP="00000000" w:rsidRDefault="00000000" w:rsidRPr="00000000" w14:paraId="00000062">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Koubâa, A., Allouch, A., Alajlan, M., Javed, Y., Belghith, A., &amp; Khalgui, M. (2019). Micro Air Vehicle Link (MAVLink) in a nutshell: A survey. </w:t>
      </w:r>
      <w:r w:rsidDel="00000000" w:rsidR="00000000" w:rsidRPr="00000000">
        <w:rPr>
          <w:rFonts w:ascii="Cambria" w:cs="Cambria" w:eastAsia="Cambria" w:hAnsi="Cambria"/>
          <w:b w:val="0"/>
          <w:bCs w:val="0"/>
          <w:i w:val="1"/>
          <w:iCs w:val="1"/>
          <w:sz w:val="22"/>
          <w:szCs w:val="22"/>
          <w:u w:val="none"/>
          <w:rtl w:val="0"/>
        </w:rPr>
        <w:t xml:space="preserve">IEEE Access, 7</w:t>
      </w:r>
      <w:r w:rsidDel="00000000" w:rsidR="00000000" w:rsidRPr="00000000">
        <w:rPr>
          <w:rFonts w:ascii="Cambria" w:cs="Cambria" w:eastAsia="Cambria" w:hAnsi="Cambria"/>
          <w:b w:val="0"/>
          <w:bCs w:val="0"/>
          <w:i w:val="0"/>
          <w:iCs w:val="0"/>
          <w:sz w:val="22"/>
          <w:szCs w:val="22"/>
          <w:u w:val="none"/>
          <w:rtl w:val="0"/>
        </w:rPr>
        <w:t xml:space="preserve">, 87658–87680. </w:t>
      </w:r>
      <w:hyperlink r:id="rId32">
        <w:r w:rsidDel="00000000" w:rsidR="00000000" w:rsidRPr="00000000">
          <w:rPr>
            <w:rFonts w:ascii="Cambria" w:cs="Cambria" w:eastAsia="Cambria" w:hAnsi="Cambria"/>
            <w:b w:val="0"/>
            <w:bCs w:val="0"/>
            <w:i w:val="0"/>
            <w:iCs w:val="0"/>
            <w:sz w:val="22"/>
            <w:szCs w:val="22"/>
            <w:u w:val="single"/>
            <w:rtl w:val="0"/>
          </w:rPr>
          <w:t xml:space="preserve">https://doi.org/10.1109/ACCESS.2019.2924410</w:t>
        </w:r>
      </w:hyperlink>
      <w:r w:rsidDel="00000000" w:rsidR="00000000" w:rsidRPr="00000000">
        <w:rPr>
          <w:rtl w:val="0"/>
        </w:rPr>
      </w:r>
    </w:p>
    <w:p w:rsidR="00000000" w:rsidDel="00000000" w:rsidP="00000000" w:rsidRDefault="00000000" w:rsidRPr="00000000" w14:paraId="00000063">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Kozai, T., Niu, G., &amp; Takagaki, M. (Eds.). (2020). </w:t>
      </w:r>
      <w:r w:rsidDel="00000000" w:rsidR="00000000" w:rsidRPr="00000000">
        <w:rPr>
          <w:rFonts w:ascii="Cambria" w:cs="Cambria" w:eastAsia="Cambria" w:hAnsi="Cambria"/>
          <w:b w:val="0"/>
          <w:bCs w:val="0"/>
          <w:i w:val="1"/>
          <w:iCs w:val="1"/>
          <w:sz w:val="22"/>
          <w:szCs w:val="22"/>
          <w:u w:val="none"/>
          <w:rtl w:val="0"/>
        </w:rPr>
        <w:t xml:space="preserve">Plant factory: An indoor vertical farming system for efficient quality food production</w:t>
      </w:r>
      <w:r w:rsidDel="00000000" w:rsidR="00000000" w:rsidRPr="00000000">
        <w:rPr>
          <w:rFonts w:ascii="Cambria" w:cs="Cambria" w:eastAsia="Cambria" w:hAnsi="Cambria"/>
          <w:b w:val="0"/>
          <w:bCs w:val="0"/>
          <w:i w:val="0"/>
          <w:iCs w:val="0"/>
          <w:sz w:val="22"/>
          <w:szCs w:val="22"/>
          <w:u w:val="none"/>
          <w:rtl w:val="0"/>
        </w:rPr>
        <w:t xml:space="preserve"> (2nd ed.). Academic Press. </w:t>
      </w:r>
      <w:hyperlink r:id="rId33">
        <w:r w:rsidDel="00000000" w:rsidR="00000000" w:rsidRPr="00000000">
          <w:rPr>
            <w:rFonts w:ascii="Cambria" w:cs="Cambria" w:eastAsia="Cambria" w:hAnsi="Cambria"/>
            <w:b w:val="0"/>
            <w:bCs w:val="0"/>
            <w:i w:val="0"/>
            <w:iCs w:val="0"/>
            <w:sz w:val="22"/>
            <w:szCs w:val="22"/>
            <w:u w:val="single"/>
            <w:rtl w:val="0"/>
          </w:rPr>
          <w:t xml:space="preserve">https://doi.org/10.1016/C2018-0-00969-X</w:t>
        </w:r>
      </w:hyperlink>
      <w:r w:rsidDel="00000000" w:rsidR="00000000" w:rsidRPr="00000000">
        <w:rPr>
          <w:rtl w:val="0"/>
        </w:rPr>
      </w:r>
    </w:p>
    <w:p w:rsidR="00000000" w:rsidDel="00000000" w:rsidP="00000000" w:rsidRDefault="00000000" w:rsidRPr="00000000" w14:paraId="00000064">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Lepetit, V., Moreno-Noguer, F., &amp; Fua, P. (2009). EPnP: An accurate O(n) solution to the PnP problem. </w:t>
      </w:r>
      <w:r w:rsidDel="00000000" w:rsidR="00000000" w:rsidRPr="00000000">
        <w:rPr>
          <w:rFonts w:ascii="Cambria" w:cs="Cambria" w:eastAsia="Cambria" w:hAnsi="Cambria"/>
          <w:b w:val="0"/>
          <w:bCs w:val="0"/>
          <w:i w:val="1"/>
          <w:iCs w:val="1"/>
          <w:sz w:val="22"/>
          <w:szCs w:val="22"/>
          <w:u w:val="none"/>
          <w:rtl w:val="0"/>
        </w:rPr>
        <w:t xml:space="preserve">International Journal of Computer Vision, 81</w:t>
      </w:r>
      <w:r w:rsidDel="00000000" w:rsidR="00000000" w:rsidRPr="00000000">
        <w:rPr>
          <w:rFonts w:ascii="Cambria" w:cs="Cambria" w:eastAsia="Cambria" w:hAnsi="Cambria"/>
          <w:b w:val="0"/>
          <w:bCs w:val="0"/>
          <w:i w:val="0"/>
          <w:iCs w:val="0"/>
          <w:sz w:val="22"/>
          <w:szCs w:val="22"/>
          <w:u w:val="none"/>
          <w:rtl w:val="0"/>
        </w:rPr>
        <w:t xml:space="preserve">(2), 155–166. </w:t>
      </w:r>
      <w:hyperlink r:id="rId34">
        <w:r w:rsidDel="00000000" w:rsidR="00000000" w:rsidRPr="00000000">
          <w:rPr>
            <w:rFonts w:ascii="Cambria" w:cs="Cambria" w:eastAsia="Cambria" w:hAnsi="Cambria"/>
            <w:b w:val="0"/>
            <w:bCs w:val="0"/>
            <w:i w:val="0"/>
            <w:iCs w:val="0"/>
            <w:sz w:val="22"/>
            <w:szCs w:val="22"/>
            <w:u w:val="single"/>
            <w:rtl w:val="0"/>
          </w:rPr>
          <w:t xml:space="preserve">https://doi.org/10.1007/s11263-008-0152-6</w:t>
        </w:r>
      </w:hyperlink>
      <w:r w:rsidDel="00000000" w:rsidR="00000000" w:rsidRPr="00000000">
        <w:rPr>
          <w:rtl w:val="0"/>
        </w:rPr>
      </w:r>
    </w:p>
    <w:p w:rsidR="00000000" w:rsidDel="00000000" w:rsidP="00000000" w:rsidRDefault="00000000" w:rsidRPr="00000000" w14:paraId="00000065">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Lund, A. M. (2001). Measuring usability with the USE questionnaire. </w:t>
      </w:r>
      <w:r w:rsidDel="00000000" w:rsidR="00000000" w:rsidRPr="00000000">
        <w:rPr>
          <w:rFonts w:ascii="Cambria" w:cs="Cambria" w:eastAsia="Cambria" w:hAnsi="Cambria"/>
          <w:b w:val="0"/>
          <w:bCs w:val="0"/>
          <w:i w:val="1"/>
          <w:iCs w:val="1"/>
          <w:sz w:val="22"/>
          <w:szCs w:val="22"/>
          <w:u w:val="none"/>
          <w:rtl w:val="0"/>
        </w:rPr>
        <w:t xml:space="preserve">STC Usability SIG Newsletter, 8</w:t>
      </w:r>
      <w:r w:rsidDel="00000000" w:rsidR="00000000" w:rsidRPr="00000000">
        <w:rPr>
          <w:rFonts w:ascii="Cambria" w:cs="Cambria" w:eastAsia="Cambria" w:hAnsi="Cambria"/>
          <w:b w:val="0"/>
          <w:bCs w:val="0"/>
          <w:i w:val="0"/>
          <w:iCs w:val="0"/>
          <w:sz w:val="22"/>
          <w:szCs w:val="22"/>
          <w:u w:val="none"/>
          <w:rtl w:val="0"/>
        </w:rPr>
        <w:t xml:space="preserve">(2), 3–6.</w:t>
      </w:r>
    </w:p>
    <w:p w:rsidR="00000000" w:rsidDel="00000000" w:rsidP="00000000" w:rsidRDefault="00000000" w:rsidRPr="00000000" w14:paraId="00000066">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Martin, J. (1991). </w:t>
      </w:r>
      <w:r w:rsidDel="00000000" w:rsidR="00000000" w:rsidRPr="00000000">
        <w:rPr>
          <w:rFonts w:ascii="Cambria" w:cs="Cambria" w:eastAsia="Cambria" w:hAnsi="Cambria"/>
          <w:b w:val="0"/>
          <w:bCs w:val="0"/>
          <w:i w:val="1"/>
          <w:iCs w:val="1"/>
          <w:sz w:val="22"/>
          <w:szCs w:val="22"/>
          <w:u w:val="none"/>
          <w:rtl w:val="0"/>
        </w:rPr>
        <w:t xml:space="preserve">Rapid application development</w:t>
      </w:r>
      <w:r w:rsidDel="00000000" w:rsidR="00000000" w:rsidRPr="00000000">
        <w:rPr>
          <w:rFonts w:ascii="Cambria" w:cs="Cambria" w:eastAsia="Cambria" w:hAnsi="Cambria"/>
          <w:b w:val="0"/>
          <w:bCs w:val="0"/>
          <w:i w:val="0"/>
          <w:iCs w:val="0"/>
          <w:sz w:val="22"/>
          <w:szCs w:val="22"/>
          <w:u w:val="none"/>
          <w:rtl w:val="0"/>
        </w:rPr>
        <w:t xml:space="preserve">. Macmillan.</w:t>
      </w:r>
    </w:p>
    <w:p w:rsidR="00000000" w:rsidDel="00000000" w:rsidP="00000000" w:rsidRDefault="00000000" w:rsidRPr="00000000" w14:paraId="00000067">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Mirandilla-Santos, M. G. (2021). </w:t>
      </w:r>
      <w:r w:rsidDel="00000000" w:rsidR="00000000" w:rsidRPr="00000000">
        <w:rPr>
          <w:rFonts w:ascii="Cambria" w:cs="Cambria" w:eastAsia="Cambria" w:hAnsi="Cambria"/>
          <w:b w:val="0"/>
          <w:bCs w:val="0"/>
          <w:i w:val="1"/>
          <w:iCs w:val="1"/>
          <w:sz w:val="22"/>
          <w:szCs w:val="22"/>
          <w:u w:val="none"/>
          <w:rtl w:val="0"/>
        </w:rPr>
        <w:t xml:space="preserve">Bridging the digital infrastructure gap: Policy options for connecting Filipinos</w:t>
      </w:r>
      <w:r w:rsidDel="00000000" w:rsidR="00000000" w:rsidRPr="00000000">
        <w:rPr>
          <w:rFonts w:ascii="Cambria" w:cs="Cambria" w:eastAsia="Cambria" w:hAnsi="Cambria"/>
          <w:b w:val="0"/>
          <w:bCs w:val="0"/>
          <w:i w:val="0"/>
          <w:iCs w:val="0"/>
          <w:sz w:val="22"/>
          <w:szCs w:val="22"/>
          <w:u w:val="none"/>
          <w:rtl w:val="0"/>
        </w:rPr>
        <w:t xml:space="preserve"> (PIDS Policy Note No. 2021-07). Philippine Institute for Development Studies. </w:t>
      </w:r>
      <w:hyperlink r:id="rId35">
        <w:r w:rsidDel="00000000" w:rsidR="00000000" w:rsidRPr="00000000">
          <w:rPr>
            <w:rFonts w:ascii="Cambria" w:cs="Cambria" w:eastAsia="Cambria" w:hAnsi="Cambria"/>
            <w:b w:val="0"/>
            <w:bCs w:val="0"/>
            <w:i w:val="0"/>
            <w:iCs w:val="0"/>
            <w:sz w:val="22"/>
            <w:szCs w:val="22"/>
            <w:u w:val="single"/>
            <w:rtl w:val="0"/>
          </w:rPr>
          <w:t xml:space="preserve">https://doi.org/10.62986/pn2021.07</w:t>
        </w:r>
      </w:hyperlink>
      <w:r w:rsidDel="00000000" w:rsidR="00000000" w:rsidRPr="00000000">
        <w:rPr>
          <w:rtl w:val="0"/>
        </w:rPr>
      </w:r>
    </w:p>
    <w:p w:rsidR="00000000" w:rsidDel="00000000" w:rsidP="00000000" w:rsidRDefault="00000000" w:rsidRPr="00000000" w14:paraId="00000068">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OpenCV. (n.d.). </w:t>
      </w:r>
      <w:r w:rsidDel="00000000" w:rsidR="00000000" w:rsidRPr="00000000">
        <w:rPr>
          <w:rFonts w:ascii="Cambria" w:cs="Cambria" w:eastAsia="Cambria" w:hAnsi="Cambria"/>
          <w:b w:val="0"/>
          <w:bCs w:val="0"/>
          <w:i w:val="1"/>
          <w:iCs w:val="1"/>
          <w:sz w:val="22"/>
          <w:szCs w:val="22"/>
          <w:u w:val="none"/>
          <w:rtl w:val="0"/>
        </w:rPr>
        <w:t xml:space="preserve">Detection of ArUco markers</w:t>
      </w:r>
      <w:r w:rsidDel="00000000" w:rsidR="00000000" w:rsidRPr="00000000">
        <w:rPr>
          <w:rFonts w:ascii="Cambria" w:cs="Cambria" w:eastAsia="Cambria" w:hAnsi="Cambria"/>
          <w:b w:val="0"/>
          <w:bCs w:val="0"/>
          <w:i w:val="0"/>
          <w:iCs w:val="0"/>
          <w:sz w:val="22"/>
          <w:szCs w:val="22"/>
          <w:u w:val="none"/>
          <w:rtl w:val="0"/>
        </w:rPr>
        <w:t xml:space="preserve">. OpenCV documentation. Retrieved October 14, 2026, from </w:t>
      </w:r>
      <w:hyperlink r:id="rId36">
        <w:r w:rsidDel="00000000" w:rsidR="00000000" w:rsidRPr="00000000">
          <w:rPr>
            <w:rFonts w:ascii="Cambria" w:cs="Cambria" w:eastAsia="Cambria" w:hAnsi="Cambria"/>
            <w:b w:val="0"/>
            <w:bCs w:val="0"/>
            <w:i w:val="0"/>
            <w:iCs w:val="0"/>
            <w:sz w:val="22"/>
            <w:szCs w:val="22"/>
            <w:u w:val="single"/>
            <w:rtl w:val="0"/>
          </w:rPr>
          <w:t xml:space="preserve">https://docs.opencv.org/4.13.0/d5/dae/tutorial_aruco_detection.html</w:t>
        </w:r>
      </w:hyperlink>
      <w:r w:rsidDel="00000000" w:rsidR="00000000" w:rsidRPr="00000000">
        <w:rPr>
          <w:rtl w:val="0"/>
        </w:rPr>
      </w:r>
    </w:p>
    <w:p w:rsidR="00000000" w:rsidDel="00000000" w:rsidP="00000000" w:rsidRDefault="00000000" w:rsidRPr="00000000" w14:paraId="00000069">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Petropoulou, A. S., van Marrewijk, B., de Zwart, F., Elings, A., Bijlaard, M., van Daalen, T., Jansen, G., &amp; Hemming, S. (2023). Lettuce production in intelligent greenhouses—3D imaging and computer vision for plant spacing decisions. </w:t>
      </w:r>
      <w:r w:rsidDel="00000000" w:rsidR="00000000" w:rsidRPr="00000000">
        <w:rPr>
          <w:rFonts w:ascii="Cambria" w:cs="Cambria" w:eastAsia="Cambria" w:hAnsi="Cambria"/>
          <w:b w:val="0"/>
          <w:bCs w:val="0"/>
          <w:i w:val="1"/>
          <w:iCs w:val="1"/>
          <w:sz w:val="22"/>
          <w:szCs w:val="22"/>
          <w:u w:val="none"/>
          <w:rtl w:val="0"/>
        </w:rPr>
        <w:t xml:space="preserve">Sensors, 23</w:t>
      </w:r>
      <w:r w:rsidDel="00000000" w:rsidR="00000000" w:rsidRPr="00000000">
        <w:rPr>
          <w:rFonts w:ascii="Cambria" w:cs="Cambria" w:eastAsia="Cambria" w:hAnsi="Cambria"/>
          <w:b w:val="0"/>
          <w:bCs w:val="0"/>
          <w:i w:val="0"/>
          <w:iCs w:val="0"/>
          <w:sz w:val="22"/>
          <w:szCs w:val="22"/>
          <w:u w:val="none"/>
          <w:rtl w:val="0"/>
        </w:rPr>
        <w:t xml:space="preserve">(6), 2929. </w:t>
      </w:r>
      <w:hyperlink r:id="rId37">
        <w:r w:rsidDel="00000000" w:rsidR="00000000" w:rsidRPr="00000000">
          <w:rPr>
            <w:rFonts w:ascii="Cambria" w:cs="Cambria" w:eastAsia="Cambria" w:hAnsi="Cambria"/>
            <w:b w:val="0"/>
            <w:bCs w:val="0"/>
            <w:i w:val="0"/>
            <w:iCs w:val="0"/>
            <w:sz w:val="22"/>
            <w:szCs w:val="22"/>
            <w:u w:val="single"/>
            <w:rtl w:val="0"/>
          </w:rPr>
          <w:t xml:space="preserve">https://doi.org/10.3390/s23062929</w:t>
        </w:r>
      </w:hyperlink>
      <w:r w:rsidDel="00000000" w:rsidR="00000000" w:rsidRPr="00000000">
        <w:rPr>
          <w:rtl w:val="0"/>
        </w:rPr>
      </w:r>
    </w:p>
    <w:p w:rsidR="00000000" w:rsidDel="00000000" w:rsidP="00000000" w:rsidRDefault="00000000" w:rsidRPr="00000000" w14:paraId="0000006A">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Redmon, J., Divvala, S., Girshick, R., &amp; Farhadi, A. (2016). You only look once: Unified, real-time object detection. In </w:t>
      </w:r>
      <w:r w:rsidDel="00000000" w:rsidR="00000000" w:rsidRPr="00000000">
        <w:rPr>
          <w:rFonts w:ascii="Cambria" w:cs="Cambria" w:eastAsia="Cambria" w:hAnsi="Cambria"/>
          <w:b w:val="0"/>
          <w:bCs w:val="0"/>
          <w:i w:val="1"/>
          <w:iCs w:val="1"/>
          <w:sz w:val="22"/>
          <w:szCs w:val="22"/>
          <w:u w:val="none"/>
          <w:rtl w:val="0"/>
        </w:rPr>
        <w:t xml:space="preserve">Proceedings of the IEEE Conference on Computer Vision and Pattern Recognition (CVPR)</w:t>
      </w:r>
      <w:r w:rsidDel="00000000" w:rsidR="00000000" w:rsidRPr="00000000">
        <w:rPr>
          <w:rFonts w:ascii="Cambria" w:cs="Cambria" w:eastAsia="Cambria" w:hAnsi="Cambria"/>
          <w:b w:val="0"/>
          <w:bCs w:val="0"/>
          <w:i w:val="0"/>
          <w:iCs w:val="0"/>
          <w:sz w:val="22"/>
          <w:szCs w:val="22"/>
          <w:u w:val="none"/>
          <w:rtl w:val="0"/>
        </w:rPr>
        <w:t xml:space="preserve"> (pp. 779–788). </w:t>
      </w:r>
      <w:hyperlink r:id="rId38">
        <w:r w:rsidDel="00000000" w:rsidR="00000000" w:rsidRPr="00000000">
          <w:rPr>
            <w:rFonts w:ascii="Cambria" w:cs="Cambria" w:eastAsia="Cambria" w:hAnsi="Cambria"/>
            <w:b w:val="0"/>
            <w:bCs w:val="0"/>
            <w:i w:val="0"/>
            <w:iCs w:val="0"/>
            <w:sz w:val="22"/>
            <w:szCs w:val="22"/>
            <w:u w:val="single"/>
            <w:rtl w:val="0"/>
          </w:rPr>
          <w:t xml:space="preserve">https://doi.org/10.1109/CVPR.2016.91</w:t>
        </w:r>
      </w:hyperlink>
      <w:r w:rsidDel="00000000" w:rsidR="00000000" w:rsidRPr="00000000">
        <w:rPr>
          <w:rtl w:val="0"/>
        </w:rPr>
      </w:r>
    </w:p>
    <w:p w:rsidR="00000000" w:rsidDel="00000000" w:rsidP="00000000" w:rsidRDefault="00000000" w:rsidRPr="00000000" w14:paraId="0000006B">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Saad, M. H. M., Hamdan, N. M., &amp; Sarker, M. R. (2021). State of the art of urban smart vertical farming automation system: Advanced topologies, issues and recommendations. </w:t>
      </w:r>
      <w:r w:rsidDel="00000000" w:rsidR="00000000" w:rsidRPr="00000000">
        <w:rPr>
          <w:rFonts w:ascii="Cambria" w:cs="Cambria" w:eastAsia="Cambria" w:hAnsi="Cambria"/>
          <w:b w:val="0"/>
          <w:bCs w:val="0"/>
          <w:i w:val="1"/>
          <w:iCs w:val="1"/>
          <w:sz w:val="22"/>
          <w:szCs w:val="22"/>
          <w:u w:val="none"/>
          <w:rtl w:val="0"/>
        </w:rPr>
        <w:t xml:space="preserve">Electronics, 10</w:t>
      </w:r>
      <w:r w:rsidDel="00000000" w:rsidR="00000000" w:rsidRPr="00000000">
        <w:rPr>
          <w:rFonts w:ascii="Cambria" w:cs="Cambria" w:eastAsia="Cambria" w:hAnsi="Cambria"/>
          <w:b w:val="0"/>
          <w:bCs w:val="0"/>
          <w:i w:val="0"/>
          <w:iCs w:val="0"/>
          <w:sz w:val="22"/>
          <w:szCs w:val="22"/>
          <w:u w:val="none"/>
          <w:rtl w:val="0"/>
        </w:rPr>
        <w:t xml:space="preserve">(12), 1422. </w:t>
      </w:r>
      <w:hyperlink r:id="rId39">
        <w:r w:rsidDel="00000000" w:rsidR="00000000" w:rsidRPr="00000000">
          <w:rPr>
            <w:rFonts w:ascii="Cambria" w:cs="Cambria" w:eastAsia="Cambria" w:hAnsi="Cambria"/>
            <w:b w:val="0"/>
            <w:bCs w:val="0"/>
            <w:i w:val="0"/>
            <w:iCs w:val="0"/>
            <w:sz w:val="22"/>
            <w:szCs w:val="22"/>
            <w:u w:val="single"/>
            <w:rtl w:val="0"/>
          </w:rPr>
          <w:t xml:space="preserve">https://doi.org/10.3390/electronics10121422</w:t>
        </w:r>
      </w:hyperlink>
      <w:r w:rsidDel="00000000" w:rsidR="00000000" w:rsidRPr="00000000">
        <w:rPr>
          <w:rtl w:val="0"/>
        </w:rPr>
      </w:r>
    </w:p>
    <w:p w:rsidR="00000000" w:rsidDel="00000000" w:rsidP="00000000" w:rsidRDefault="00000000" w:rsidRPr="00000000" w14:paraId="0000006C">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Santiago, Y. C., Forbes, E., Sial, I. M., Santonil, H. S. P., Canela, D. N., &amp; Maaño, R. C. (2025). IoT-based monitoring and automatic fertilizer for Olmetie lettuce growth in greenhouse environments. </w:t>
      </w:r>
      <w:r w:rsidDel="00000000" w:rsidR="00000000" w:rsidRPr="00000000">
        <w:rPr>
          <w:rFonts w:ascii="Cambria" w:cs="Cambria" w:eastAsia="Cambria" w:hAnsi="Cambria"/>
          <w:b w:val="0"/>
          <w:bCs w:val="0"/>
          <w:i w:val="1"/>
          <w:iCs w:val="1"/>
          <w:sz w:val="22"/>
          <w:szCs w:val="22"/>
          <w:u w:val="none"/>
          <w:rtl w:val="0"/>
        </w:rPr>
        <w:t xml:space="preserve">IOP Conference Series: Earth and Environmental Science, 1572</w:t>
      </w:r>
      <w:r w:rsidDel="00000000" w:rsidR="00000000" w:rsidRPr="00000000">
        <w:rPr>
          <w:rFonts w:ascii="Cambria" w:cs="Cambria" w:eastAsia="Cambria" w:hAnsi="Cambria"/>
          <w:b w:val="0"/>
          <w:bCs w:val="0"/>
          <w:i w:val="0"/>
          <w:iCs w:val="0"/>
          <w:sz w:val="22"/>
          <w:szCs w:val="22"/>
          <w:u w:val="none"/>
          <w:rtl w:val="0"/>
        </w:rPr>
        <w:t xml:space="preserve">, Article 012020. </w:t>
      </w:r>
      <w:hyperlink r:id="rId40">
        <w:r w:rsidDel="00000000" w:rsidR="00000000" w:rsidRPr="00000000">
          <w:rPr>
            <w:rFonts w:ascii="Cambria" w:cs="Cambria" w:eastAsia="Cambria" w:hAnsi="Cambria"/>
            <w:b w:val="0"/>
            <w:bCs w:val="0"/>
            <w:i w:val="0"/>
            <w:iCs w:val="0"/>
            <w:sz w:val="22"/>
            <w:szCs w:val="22"/>
            <w:u w:val="single"/>
            <w:rtl w:val="0"/>
          </w:rPr>
          <w:t xml:space="preserve">https://doi.org/10.1088/1755-1315/1572/1/012020</w:t>
        </w:r>
      </w:hyperlink>
      <w:r w:rsidDel="00000000" w:rsidR="00000000" w:rsidRPr="00000000">
        <w:rPr>
          <w:rtl w:val="0"/>
        </w:rPr>
      </w:r>
    </w:p>
    <w:p w:rsidR="00000000" w:rsidDel="00000000" w:rsidP="00000000" w:rsidRDefault="00000000" w:rsidRPr="00000000" w14:paraId="0000006D">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Serafica, R. B., Francisco, K. A., &amp; Oren, Q. C. A. (2023). </w:t>
      </w:r>
      <w:r w:rsidDel="00000000" w:rsidR="00000000" w:rsidRPr="00000000">
        <w:rPr>
          <w:rFonts w:ascii="Cambria" w:cs="Cambria" w:eastAsia="Cambria" w:hAnsi="Cambria"/>
          <w:b w:val="0"/>
          <w:bCs w:val="0"/>
          <w:i w:val="1"/>
          <w:iCs w:val="1"/>
          <w:sz w:val="22"/>
          <w:szCs w:val="22"/>
          <w:u w:val="none"/>
          <w:rtl w:val="0"/>
        </w:rPr>
        <w:t xml:space="preserve">Making broadband universal: A review of Philippine policies and strategies</w:t>
      </w:r>
      <w:r w:rsidDel="00000000" w:rsidR="00000000" w:rsidRPr="00000000">
        <w:rPr>
          <w:rFonts w:ascii="Cambria" w:cs="Cambria" w:eastAsia="Cambria" w:hAnsi="Cambria"/>
          <w:b w:val="0"/>
          <w:bCs w:val="0"/>
          <w:i w:val="0"/>
          <w:iCs w:val="0"/>
          <w:sz w:val="22"/>
          <w:szCs w:val="22"/>
          <w:u w:val="none"/>
          <w:rtl w:val="0"/>
        </w:rPr>
        <w:t xml:space="preserve"> (PIDS Discussion Paper Series No. 2023-31). Philippine Institute for Development Studies. </w:t>
      </w:r>
      <w:hyperlink r:id="rId41">
        <w:r w:rsidDel="00000000" w:rsidR="00000000" w:rsidRPr="00000000">
          <w:rPr>
            <w:rFonts w:ascii="Cambria" w:cs="Cambria" w:eastAsia="Cambria" w:hAnsi="Cambria"/>
            <w:b w:val="0"/>
            <w:bCs w:val="0"/>
            <w:i w:val="0"/>
            <w:iCs w:val="0"/>
            <w:sz w:val="22"/>
            <w:szCs w:val="22"/>
            <w:u w:val="single"/>
            <w:rtl w:val="0"/>
          </w:rPr>
          <w:t xml:space="preserve">https://doi.org/10.62986/dp2023.31</w:t>
        </w:r>
      </w:hyperlink>
      <w:r w:rsidDel="00000000" w:rsidR="00000000" w:rsidRPr="00000000">
        <w:rPr>
          <w:rtl w:val="0"/>
        </w:rPr>
      </w:r>
    </w:p>
    <w:p w:rsidR="00000000" w:rsidDel="00000000" w:rsidP="00000000" w:rsidRDefault="00000000" w:rsidRPr="00000000" w14:paraId="0000006E">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Siregar, R. R. A., Seminar, K. B., Wahjuni, S., &amp; Santosa, E. (2022). Vertical farming perspectives in support of precision agriculture using artificial intelligence: A review. </w:t>
      </w:r>
      <w:r w:rsidDel="00000000" w:rsidR="00000000" w:rsidRPr="00000000">
        <w:rPr>
          <w:rFonts w:ascii="Cambria" w:cs="Cambria" w:eastAsia="Cambria" w:hAnsi="Cambria"/>
          <w:b w:val="0"/>
          <w:bCs w:val="0"/>
          <w:i w:val="1"/>
          <w:iCs w:val="1"/>
          <w:sz w:val="22"/>
          <w:szCs w:val="22"/>
          <w:u w:val="none"/>
          <w:rtl w:val="0"/>
        </w:rPr>
        <w:t xml:space="preserve">Computers, 11</w:t>
      </w:r>
      <w:r w:rsidDel="00000000" w:rsidR="00000000" w:rsidRPr="00000000">
        <w:rPr>
          <w:rFonts w:ascii="Cambria" w:cs="Cambria" w:eastAsia="Cambria" w:hAnsi="Cambria"/>
          <w:b w:val="0"/>
          <w:bCs w:val="0"/>
          <w:i w:val="0"/>
          <w:iCs w:val="0"/>
          <w:sz w:val="22"/>
          <w:szCs w:val="22"/>
          <w:u w:val="none"/>
          <w:rtl w:val="0"/>
        </w:rPr>
        <w:t xml:space="preserve">(9), 135. </w:t>
      </w:r>
      <w:hyperlink r:id="rId42">
        <w:r w:rsidDel="00000000" w:rsidR="00000000" w:rsidRPr="00000000">
          <w:rPr>
            <w:rFonts w:ascii="Cambria" w:cs="Cambria" w:eastAsia="Cambria" w:hAnsi="Cambria"/>
            <w:b w:val="0"/>
            <w:bCs w:val="0"/>
            <w:i w:val="0"/>
            <w:iCs w:val="0"/>
            <w:sz w:val="22"/>
            <w:szCs w:val="22"/>
            <w:u w:val="single"/>
            <w:rtl w:val="0"/>
          </w:rPr>
          <w:t xml:space="preserve">https://doi.org/10.3390/computers11090135</w:t>
        </w:r>
      </w:hyperlink>
      <w:r w:rsidDel="00000000" w:rsidR="00000000" w:rsidRPr="00000000">
        <w:rPr>
          <w:rtl w:val="0"/>
        </w:rPr>
      </w:r>
    </w:p>
    <w:p w:rsidR="00000000" w:rsidDel="00000000" w:rsidP="00000000" w:rsidRDefault="00000000" w:rsidRPr="00000000" w14:paraId="0000006F">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Stefas, N., Bayram, H., &amp; Isler, V. (2019). Vision-based monitoring of orchards with UAVs. </w:t>
      </w:r>
      <w:r w:rsidDel="00000000" w:rsidR="00000000" w:rsidRPr="00000000">
        <w:rPr>
          <w:rFonts w:ascii="Cambria" w:cs="Cambria" w:eastAsia="Cambria" w:hAnsi="Cambria"/>
          <w:b w:val="0"/>
          <w:bCs w:val="0"/>
          <w:i w:val="1"/>
          <w:iCs w:val="1"/>
          <w:sz w:val="22"/>
          <w:szCs w:val="22"/>
          <w:u w:val="none"/>
          <w:rtl w:val="0"/>
        </w:rPr>
        <w:t xml:space="preserve">Computers and Electronics in Agriculture, 163</w:t>
      </w:r>
      <w:r w:rsidDel="00000000" w:rsidR="00000000" w:rsidRPr="00000000">
        <w:rPr>
          <w:rFonts w:ascii="Cambria" w:cs="Cambria" w:eastAsia="Cambria" w:hAnsi="Cambria"/>
          <w:b w:val="0"/>
          <w:bCs w:val="0"/>
          <w:i w:val="0"/>
          <w:iCs w:val="0"/>
          <w:sz w:val="22"/>
          <w:szCs w:val="22"/>
          <w:u w:val="none"/>
          <w:rtl w:val="0"/>
        </w:rPr>
        <w:t xml:space="preserve">, Article 104814. </w:t>
      </w:r>
      <w:hyperlink r:id="rId43">
        <w:r w:rsidDel="00000000" w:rsidR="00000000" w:rsidRPr="00000000">
          <w:rPr>
            <w:rFonts w:ascii="Cambria" w:cs="Cambria" w:eastAsia="Cambria" w:hAnsi="Cambria"/>
            <w:b w:val="0"/>
            <w:bCs w:val="0"/>
            <w:i w:val="0"/>
            <w:iCs w:val="0"/>
            <w:sz w:val="22"/>
            <w:szCs w:val="22"/>
            <w:u w:val="single"/>
            <w:rtl w:val="0"/>
          </w:rPr>
          <w:t xml:space="preserve">https://doi.org/10.1016/j.compag.2019.05.023</w:t>
        </w:r>
      </w:hyperlink>
      <w:r w:rsidDel="00000000" w:rsidR="00000000" w:rsidRPr="00000000">
        <w:rPr>
          <w:rtl w:val="0"/>
        </w:rPr>
      </w:r>
    </w:p>
    <w:p w:rsidR="00000000" w:rsidDel="00000000" w:rsidP="00000000" w:rsidRDefault="00000000" w:rsidRPr="00000000" w14:paraId="00000070">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Supabase. (n.d.). </w:t>
      </w:r>
      <w:r w:rsidDel="00000000" w:rsidR="00000000" w:rsidRPr="00000000">
        <w:rPr>
          <w:rFonts w:ascii="Cambria" w:cs="Cambria" w:eastAsia="Cambria" w:hAnsi="Cambria"/>
          <w:b w:val="0"/>
          <w:bCs w:val="0"/>
          <w:i w:val="1"/>
          <w:iCs w:val="1"/>
          <w:sz w:val="22"/>
          <w:szCs w:val="22"/>
          <w:u w:val="none"/>
          <w:rtl w:val="0"/>
        </w:rPr>
        <w:t xml:space="preserve">Postgres changes</w:t>
      </w:r>
      <w:r w:rsidDel="00000000" w:rsidR="00000000" w:rsidRPr="00000000">
        <w:rPr>
          <w:rFonts w:ascii="Cambria" w:cs="Cambria" w:eastAsia="Cambria" w:hAnsi="Cambria"/>
          <w:b w:val="0"/>
          <w:bCs w:val="0"/>
          <w:i w:val="0"/>
          <w:iCs w:val="0"/>
          <w:sz w:val="22"/>
          <w:szCs w:val="22"/>
          <w:u w:val="none"/>
          <w:rtl w:val="0"/>
        </w:rPr>
        <w:t xml:space="preserve">. Supabase documentation. Retrieved October 14, 2026, from </w:t>
      </w:r>
      <w:hyperlink r:id="rId44">
        <w:r w:rsidDel="00000000" w:rsidR="00000000" w:rsidRPr="00000000">
          <w:rPr>
            <w:rFonts w:ascii="Cambria" w:cs="Cambria" w:eastAsia="Cambria" w:hAnsi="Cambria"/>
            <w:b w:val="0"/>
            <w:bCs w:val="0"/>
            <w:i w:val="0"/>
            <w:iCs w:val="0"/>
            <w:sz w:val="22"/>
            <w:szCs w:val="22"/>
            <w:u w:val="single"/>
            <w:rtl w:val="0"/>
          </w:rPr>
          <w:t xml:space="preserve">https://supabase.com/docs/guides/realtime/postgres-changes</w:t>
        </w:r>
      </w:hyperlink>
      <w:r w:rsidDel="00000000" w:rsidR="00000000" w:rsidRPr="00000000">
        <w:rPr>
          <w:rtl w:val="0"/>
        </w:rPr>
      </w:r>
    </w:p>
    <w:p w:rsidR="00000000" w:rsidDel="00000000" w:rsidP="00000000" w:rsidRDefault="00000000" w:rsidRPr="00000000" w14:paraId="00000071">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Tarjan, L., Šenk, I., Tegeltija, S., Stankovski, S., &amp; Ostojić, G. (2014). A readability analysis for QR code application in a traceability system. </w:t>
      </w:r>
      <w:r w:rsidDel="00000000" w:rsidR="00000000" w:rsidRPr="00000000">
        <w:rPr>
          <w:rFonts w:ascii="Cambria" w:cs="Cambria" w:eastAsia="Cambria" w:hAnsi="Cambria"/>
          <w:b w:val="0"/>
          <w:bCs w:val="0"/>
          <w:i w:val="1"/>
          <w:iCs w:val="1"/>
          <w:sz w:val="22"/>
          <w:szCs w:val="22"/>
          <w:u w:val="none"/>
          <w:rtl w:val="0"/>
        </w:rPr>
        <w:t xml:space="preserve">Computers and Electronics in Agriculture, 109</w:t>
      </w:r>
      <w:r w:rsidDel="00000000" w:rsidR="00000000" w:rsidRPr="00000000">
        <w:rPr>
          <w:rFonts w:ascii="Cambria" w:cs="Cambria" w:eastAsia="Cambria" w:hAnsi="Cambria"/>
          <w:b w:val="0"/>
          <w:bCs w:val="0"/>
          <w:i w:val="0"/>
          <w:iCs w:val="0"/>
          <w:sz w:val="22"/>
          <w:szCs w:val="22"/>
          <w:u w:val="none"/>
          <w:rtl w:val="0"/>
        </w:rPr>
        <w:t xml:space="preserve">, 1–11. </w:t>
      </w:r>
      <w:hyperlink r:id="rId45">
        <w:r w:rsidDel="00000000" w:rsidR="00000000" w:rsidRPr="00000000">
          <w:rPr>
            <w:rFonts w:ascii="Cambria" w:cs="Cambria" w:eastAsia="Cambria" w:hAnsi="Cambria"/>
            <w:b w:val="0"/>
            <w:bCs w:val="0"/>
            <w:i w:val="0"/>
            <w:iCs w:val="0"/>
            <w:sz w:val="22"/>
            <w:szCs w:val="22"/>
            <w:u w:val="single"/>
            <w:rtl w:val="0"/>
          </w:rPr>
          <w:t xml:space="preserve">https://doi.org/10.1016/j.compag.2014.08.015</w:t>
        </w:r>
      </w:hyperlink>
      <w:r w:rsidDel="00000000" w:rsidR="00000000" w:rsidRPr="00000000">
        <w:rPr>
          <w:rtl w:val="0"/>
        </w:rPr>
      </w:r>
    </w:p>
    <w:p w:rsidR="00000000" w:rsidDel="00000000" w:rsidP="00000000" w:rsidRDefault="00000000" w:rsidRPr="00000000" w14:paraId="00000072">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Terven, J., Córdova-Esparza, D.-M., &amp; Romero-González, J.-A. (2023). A comprehensive review of YOLO architectures in computer vision: From YOLOv1 to YOLOv8 and YOLO-NAS. </w:t>
      </w:r>
      <w:r w:rsidDel="00000000" w:rsidR="00000000" w:rsidRPr="00000000">
        <w:rPr>
          <w:rFonts w:ascii="Cambria" w:cs="Cambria" w:eastAsia="Cambria" w:hAnsi="Cambria"/>
          <w:b w:val="0"/>
          <w:bCs w:val="0"/>
          <w:i w:val="1"/>
          <w:iCs w:val="1"/>
          <w:sz w:val="22"/>
          <w:szCs w:val="22"/>
          <w:u w:val="none"/>
          <w:rtl w:val="0"/>
        </w:rPr>
        <w:t xml:space="preserve">Machine Learning and Knowledge Extraction, 5</w:t>
      </w:r>
      <w:r w:rsidDel="00000000" w:rsidR="00000000" w:rsidRPr="00000000">
        <w:rPr>
          <w:rFonts w:ascii="Cambria" w:cs="Cambria" w:eastAsia="Cambria" w:hAnsi="Cambria"/>
          <w:b w:val="0"/>
          <w:bCs w:val="0"/>
          <w:i w:val="0"/>
          <w:iCs w:val="0"/>
          <w:sz w:val="22"/>
          <w:szCs w:val="22"/>
          <w:u w:val="none"/>
          <w:rtl w:val="0"/>
        </w:rPr>
        <w:t xml:space="preserve">(4), 1680–1716. </w:t>
      </w:r>
      <w:hyperlink r:id="rId46">
        <w:r w:rsidDel="00000000" w:rsidR="00000000" w:rsidRPr="00000000">
          <w:rPr>
            <w:rFonts w:ascii="Cambria" w:cs="Cambria" w:eastAsia="Cambria" w:hAnsi="Cambria"/>
            <w:b w:val="0"/>
            <w:bCs w:val="0"/>
            <w:i w:val="0"/>
            <w:iCs w:val="0"/>
            <w:sz w:val="22"/>
            <w:szCs w:val="22"/>
            <w:u w:val="single"/>
            <w:rtl w:val="0"/>
          </w:rPr>
          <w:t xml:space="preserve">https://doi.org/10.3390/make5040083</w:t>
        </w:r>
      </w:hyperlink>
      <w:r w:rsidDel="00000000" w:rsidR="00000000" w:rsidRPr="00000000">
        <w:rPr>
          <w:rtl w:val="0"/>
        </w:rPr>
      </w:r>
    </w:p>
    <w:p w:rsidR="00000000" w:rsidDel="00000000" w:rsidP="00000000" w:rsidRDefault="00000000" w:rsidRPr="00000000" w14:paraId="00000073">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Ultralytics. (n.d.). </w:t>
      </w:r>
      <w:r w:rsidDel="00000000" w:rsidR="00000000" w:rsidRPr="00000000">
        <w:rPr>
          <w:rFonts w:ascii="Cambria" w:cs="Cambria" w:eastAsia="Cambria" w:hAnsi="Cambria"/>
          <w:b w:val="0"/>
          <w:bCs w:val="0"/>
          <w:i w:val="1"/>
          <w:iCs w:val="1"/>
          <w:sz w:val="22"/>
          <w:szCs w:val="22"/>
          <w:u w:val="none"/>
          <w:rtl w:val="0"/>
        </w:rPr>
        <w:t xml:space="preserve">Explore Ultralytics YOLOv8</w:t>
      </w:r>
      <w:r w:rsidDel="00000000" w:rsidR="00000000" w:rsidRPr="00000000">
        <w:rPr>
          <w:rFonts w:ascii="Cambria" w:cs="Cambria" w:eastAsia="Cambria" w:hAnsi="Cambria"/>
          <w:b w:val="0"/>
          <w:bCs w:val="0"/>
          <w:i w:val="0"/>
          <w:iCs w:val="0"/>
          <w:sz w:val="22"/>
          <w:szCs w:val="22"/>
          <w:u w:val="none"/>
          <w:rtl w:val="0"/>
        </w:rPr>
        <w:t xml:space="preserve">. Ultralytics documentation. Retrieved October 14, 2026, from </w:t>
      </w:r>
      <w:hyperlink r:id="rId47">
        <w:r w:rsidDel="00000000" w:rsidR="00000000" w:rsidRPr="00000000">
          <w:rPr>
            <w:rFonts w:ascii="Cambria" w:cs="Cambria" w:eastAsia="Cambria" w:hAnsi="Cambria"/>
            <w:b w:val="0"/>
            <w:bCs w:val="0"/>
            <w:i w:val="0"/>
            <w:iCs w:val="0"/>
            <w:sz w:val="22"/>
            <w:szCs w:val="22"/>
            <w:u w:val="single"/>
            <w:rtl w:val="0"/>
          </w:rPr>
          <w:t xml:space="preserve">https://docs.ultralytics.com/models/yolov8</w:t>
        </w:r>
      </w:hyperlink>
      <w:r w:rsidDel="00000000" w:rsidR="00000000" w:rsidRPr="00000000">
        <w:rPr>
          <w:rtl w:val="0"/>
        </w:rPr>
      </w:r>
    </w:p>
    <w:p w:rsidR="00000000" w:rsidDel="00000000" w:rsidP="00000000" w:rsidRDefault="00000000" w:rsidRPr="00000000" w14:paraId="00000074">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van Delden, S. H., SharathKumar, M., Butturini, M., Graamans, L. J. A., Heuvelink, E., Kacira, M., Kaiser, E., Klamer, R. S., Klerkx, L., Kootstra, G., Loeber, A., Schouten, R. E., Stanghellini, C., van Ieperen, W., Verdonk, J. C., Vialet-Chabrand, S., Woltering, E. J., van de Zedde, R., Zhang, Y., &amp; Marcelis, L. F. M. (2021). Current status and future challenges in implementing and upscaling vertical farming systems. </w:t>
      </w:r>
      <w:r w:rsidDel="00000000" w:rsidR="00000000" w:rsidRPr="00000000">
        <w:rPr>
          <w:rFonts w:ascii="Cambria" w:cs="Cambria" w:eastAsia="Cambria" w:hAnsi="Cambria"/>
          <w:b w:val="0"/>
          <w:bCs w:val="0"/>
          <w:i w:val="1"/>
          <w:iCs w:val="1"/>
          <w:sz w:val="22"/>
          <w:szCs w:val="22"/>
          <w:u w:val="none"/>
          <w:rtl w:val="0"/>
        </w:rPr>
        <w:t xml:space="preserve">Nature Food, 2</w:t>
      </w:r>
      <w:r w:rsidDel="00000000" w:rsidR="00000000" w:rsidRPr="00000000">
        <w:rPr>
          <w:rFonts w:ascii="Cambria" w:cs="Cambria" w:eastAsia="Cambria" w:hAnsi="Cambria"/>
          <w:b w:val="0"/>
          <w:bCs w:val="0"/>
          <w:i w:val="0"/>
          <w:iCs w:val="0"/>
          <w:sz w:val="22"/>
          <w:szCs w:val="22"/>
          <w:u w:val="none"/>
          <w:rtl w:val="0"/>
        </w:rPr>
        <w:t xml:space="preserve">(12), 944–956. </w:t>
      </w:r>
      <w:hyperlink r:id="rId48">
        <w:r w:rsidDel="00000000" w:rsidR="00000000" w:rsidRPr="00000000">
          <w:rPr>
            <w:rFonts w:ascii="Cambria" w:cs="Cambria" w:eastAsia="Cambria" w:hAnsi="Cambria"/>
            <w:b w:val="0"/>
            <w:bCs w:val="0"/>
            <w:i w:val="0"/>
            <w:iCs w:val="0"/>
            <w:sz w:val="22"/>
            <w:szCs w:val="22"/>
            <w:u w:val="single"/>
            <w:rtl w:val="0"/>
          </w:rPr>
          <w:t xml:space="preserve">https://doi.org/10.1038/s43016-021-00402-w</w:t>
        </w:r>
      </w:hyperlink>
      <w:r w:rsidDel="00000000" w:rsidR="00000000" w:rsidRPr="00000000">
        <w:rPr>
          <w:rtl w:val="0"/>
        </w:rPr>
      </w:r>
    </w:p>
    <w:p w:rsidR="00000000" w:rsidDel="00000000" w:rsidP="00000000" w:rsidRDefault="00000000" w:rsidRPr="00000000" w14:paraId="00000075">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Villacrés, J., Viscaino, M., Delpiano, J., Vougioukas, S., &amp; Auat Cheein, F. (2023). Apple orchard production estimation using deep learning strategies: A comparison of tracking-by-detection algorithms. </w:t>
      </w:r>
      <w:r w:rsidDel="00000000" w:rsidR="00000000" w:rsidRPr="00000000">
        <w:rPr>
          <w:rFonts w:ascii="Cambria" w:cs="Cambria" w:eastAsia="Cambria" w:hAnsi="Cambria"/>
          <w:b w:val="0"/>
          <w:bCs w:val="0"/>
          <w:i w:val="1"/>
          <w:iCs w:val="1"/>
          <w:sz w:val="22"/>
          <w:szCs w:val="22"/>
          <w:u w:val="none"/>
          <w:rtl w:val="0"/>
        </w:rPr>
        <w:t xml:space="preserve">Computers and Electronics in Agriculture, 204</w:t>
      </w:r>
      <w:r w:rsidDel="00000000" w:rsidR="00000000" w:rsidRPr="00000000">
        <w:rPr>
          <w:rFonts w:ascii="Cambria" w:cs="Cambria" w:eastAsia="Cambria" w:hAnsi="Cambria"/>
          <w:b w:val="0"/>
          <w:bCs w:val="0"/>
          <w:i w:val="0"/>
          <w:iCs w:val="0"/>
          <w:sz w:val="22"/>
          <w:szCs w:val="22"/>
          <w:u w:val="none"/>
          <w:rtl w:val="0"/>
        </w:rPr>
        <w:t xml:space="preserve">, Article 107513. </w:t>
      </w:r>
      <w:hyperlink r:id="rId49">
        <w:r w:rsidDel="00000000" w:rsidR="00000000" w:rsidRPr="00000000">
          <w:rPr>
            <w:rFonts w:ascii="Cambria" w:cs="Cambria" w:eastAsia="Cambria" w:hAnsi="Cambria"/>
            <w:b w:val="0"/>
            <w:bCs w:val="0"/>
            <w:i w:val="0"/>
            <w:iCs w:val="0"/>
            <w:sz w:val="22"/>
            <w:szCs w:val="22"/>
            <w:u w:val="single"/>
            <w:rtl w:val="0"/>
          </w:rPr>
          <w:t xml:space="preserve">https://doi.org/10.1016/j.compag.2022.107513</w:t>
        </w:r>
      </w:hyperlink>
      <w:r w:rsidDel="00000000" w:rsidR="00000000" w:rsidRPr="00000000">
        <w:rPr>
          <w:rtl w:val="0"/>
        </w:rPr>
      </w:r>
    </w:p>
    <w:p w:rsidR="00000000" w:rsidDel="00000000" w:rsidP="00000000" w:rsidRDefault="00000000" w:rsidRPr="00000000" w14:paraId="00000076">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Wang, J., &amp; Olson, E. (2016). AprilTag 2: Efficient and robust fiducial detection. In </w:t>
      </w:r>
      <w:r w:rsidDel="00000000" w:rsidR="00000000" w:rsidRPr="00000000">
        <w:rPr>
          <w:rFonts w:ascii="Cambria" w:cs="Cambria" w:eastAsia="Cambria" w:hAnsi="Cambria"/>
          <w:b w:val="0"/>
          <w:bCs w:val="0"/>
          <w:i w:val="1"/>
          <w:iCs w:val="1"/>
          <w:sz w:val="22"/>
          <w:szCs w:val="22"/>
          <w:u w:val="none"/>
          <w:rtl w:val="0"/>
        </w:rPr>
        <w:t xml:space="preserve">2016 IEEE/RSJ International Conference on Intelligent Robots and Systems (IROS)</w:t>
      </w:r>
      <w:r w:rsidDel="00000000" w:rsidR="00000000" w:rsidRPr="00000000">
        <w:rPr>
          <w:rFonts w:ascii="Cambria" w:cs="Cambria" w:eastAsia="Cambria" w:hAnsi="Cambria"/>
          <w:b w:val="0"/>
          <w:bCs w:val="0"/>
          <w:i w:val="0"/>
          <w:iCs w:val="0"/>
          <w:sz w:val="22"/>
          <w:szCs w:val="22"/>
          <w:u w:val="none"/>
          <w:rtl w:val="0"/>
        </w:rPr>
        <w:t xml:space="preserve"> (pp. 4193–4198). IEEE. </w:t>
      </w:r>
      <w:hyperlink r:id="rId50">
        <w:r w:rsidDel="00000000" w:rsidR="00000000" w:rsidRPr="00000000">
          <w:rPr>
            <w:rFonts w:ascii="Cambria" w:cs="Cambria" w:eastAsia="Cambria" w:hAnsi="Cambria"/>
            <w:b w:val="0"/>
            <w:bCs w:val="0"/>
            <w:i w:val="0"/>
            <w:iCs w:val="0"/>
            <w:sz w:val="22"/>
            <w:szCs w:val="22"/>
            <w:u w:val="single"/>
            <w:rtl w:val="0"/>
          </w:rPr>
          <w:t xml:space="preserve">https://doi.org/10.1109/IROS.2016.7759617</w:t>
        </w:r>
      </w:hyperlink>
      <w:r w:rsidDel="00000000" w:rsidR="00000000" w:rsidRPr="00000000">
        <w:rPr>
          <w:rtl w:val="0"/>
        </w:rPr>
      </w:r>
    </w:p>
    <w:p w:rsidR="00000000" w:rsidDel="00000000" w:rsidP="00000000" w:rsidRDefault="00000000" w:rsidRPr="00000000" w14:paraId="00000077">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Wang, Y., Wu, M., &amp; Shen, Y. (2024). Identifying the growth status of hydroponic lettuce based on YOLO-EfficientNet. </w:t>
      </w:r>
      <w:r w:rsidDel="00000000" w:rsidR="00000000" w:rsidRPr="00000000">
        <w:rPr>
          <w:rFonts w:ascii="Cambria" w:cs="Cambria" w:eastAsia="Cambria" w:hAnsi="Cambria"/>
          <w:b w:val="0"/>
          <w:bCs w:val="0"/>
          <w:i w:val="1"/>
          <w:iCs w:val="1"/>
          <w:sz w:val="22"/>
          <w:szCs w:val="22"/>
          <w:u w:val="none"/>
          <w:rtl w:val="0"/>
        </w:rPr>
        <w:t xml:space="preserve">Plants, 13</w:t>
      </w:r>
      <w:r w:rsidDel="00000000" w:rsidR="00000000" w:rsidRPr="00000000">
        <w:rPr>
          <w:rFonts w:ascii="Cambria" w:cs="Cambria" w:eastAsia="Cambria" w:hAnsi="Cambria"/>
          <w:b w:val="0"/>
          <w:bCs w:val="0"/>
          <w:i w:val="0"/>
          <w:iCs w:val="0"/>
          <w:sz w:val="22"/>
          <w:szCs w:val="22"/>
          <w:u w:val="none"/>
          <w:rtl w:val="0"/>
        </w:rPr>
        <w:t xml:space="preserve">(3), 372. </w:t>
      </w:r>
      <w:hyperlink r:id="rId51">
        <w:r w:rsidDel="00000000" w:rsidR="00000000" w:rsidRPr="00000000">
          <w:rPr>
            <w:rFonts w:ascii="Cambria" w:cs="Cambria" w:eastAsia="Cambria" w:hAnsi="Cambria"/>
            <w:b w:val="0"/>
            <w:bCs w:val="0"/>
            <w:i w:val="0"/>
            <w:iCs w:val="0"/>
            <w:sz w:val="22"/>
            <w:szCs w:val="22"/>
            <w:u w:val="single"/>
            <w:rtl w:val="0"/>
          </w:rPr>
          <w:t xml:space="preserve">https://doi.org/10.3390/plants13030372</w:t>
        </w:r>
      </w:hyperlink>
      <w:r w:rsidDel="00000000" w:rsidR="00000000" w:rsidRPr="00000000">
        <w:rPr>
          <w:rtl w:val="0"/>
        </w:rPr>
      </w:r>
    </w:p>
    <w:p w:rsidR="00000000" w:rsidDel="00000000" w:rsidP="00000000" w:rsidRDefault="00000000" w:rsidRPr="00000000" w14:paraId="00000078">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Wubben, J., Fabra, F., Calafate, C. T., Krzeszowski, T., Marquez-Barja, J. M., Cano, J.-C., &amp; Manzoni, P. (2019). Accurate landing of unmanned aerial vehicles using ground pattern recognition. </w:t>
      </w:r>
      <w:r w:rsidDel="00000000" w:rsidR="00000000" w:rsidRPr="00000000">
        <w:rPr>
          <w:rFonts w:ascii="Cambria" w:cs="Cambria" w:eastAsia="Cambria" w:hAnsi="Cambria"/>
          <w:b w:val="0"/>
          <w:bCs w:val="0"/>
          <w:i w:val="1"/>
          <w:iCs w:val="1"/>
          <w:sz w:val="22"/>
          <w:szCs w:val="22"/>
          <w:u w:val="none"/>
          <w:rtl w:val="0"/>
        </w:rPr>
        <w:t xml:space="preserve">Electronics, 8</w:t>
      </w:r>
      <w:r w:rsidDel="00000000" w:rsidR="00000000" w:rsidRPr="00000000">
        <w:rPr>
          <w:rFonts w:ascii="Cambria" w:cs="Cambria" w:eastAsia="Cambria" w:hAnsi="Cambria"/>
          <w:b w:val="0"/>
          <w:bCs w:val="0"/>
          <w:i w:val="0"/>
          <w:iCs w:val="0"/>
          <w:sz w:val="22"/>
          <w:szCs w:val="22"/>
          <w:u w:val="none"/>
          <w:rtl w:val="0"/>
        </w:rPr>
        <w:t xml:space="preserve">(12), 1532. </w:t>
      </w:r>
      <w:hyperlink r:id="rId52">
        <w:r w:rsidDel="00000000" w:rsidR="00000000" w:rsidRPr="00000000">
          <w:rPr>
            <w:rFonts w:ascii="Cambria" w:cs="Cambria" w:eastAsia="Cambria" w:hAnsi="Cambria"/>
            <w:b w:val="0"/>
            <w:bCs w:val="0"/>
            <w:i w:val="0"/>
            <w:iCs w:val="0"/>
            <w:sz w:val="22"/>
            <w:szCs w:val="22"/>
            <w:u w:val="single"/>
            <w:rtl w:val="0"/>
          </w:rPr>
          <w:t xml:space="preserve">https://doi.org/10.3390/electronics8121532</w:t>
        </w:r>
      </w:hyperlink>
      <w:r w:rsidDel="00000000" w:rsidR="00000000" w:rsidRPr="00000000">
        <w:rPr>
          <w:rtl w:val="0"/>
        </w:rPr>
      </w:r>
    </w:p>
    <w:p w:rsidR="00000000" w:rsidDel="00000000" w:rsidP="00000000" w:rsidRDefault="00000000" w:rsidRPr="00000000" w14:paraId="00000079">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Zhang, Y., Sun, P., Jiang, Y., Yu, D., Weng, F., Yuan, Z., Luo, P., Liu, W., &amp; Wang, X. (2022). ByteTrack: Multi-object tracking by associating every detection box. In S. Avidan, G. Brostow, M. Cissé, G. M. Farinella, &amp; T. Hassner (Eds.), </w:t>
      </w:r>
      <w:r w:rsidDel="00000000" w:rsidR="00000000" w:rsidRPr="00000000">
        <w:rPr>
          <w:rFonts w:ascii="Cambria" w:cs="Cambria" w:eastAsia="Cambria" w:hAnsi="Cambria"/>
          <w:b w:val="0"/>
          <w:bCs w:val="0"/>
          <w:i w:val="1"/>
          <w:iCs w:val="1"/>
          <w:sz w:val="22"/>
          <w:szCs w:val="22"/>
          <w:u w:val="none"/>
          <w:rtl w:val="0"/>
        </w:rPr>
        <w:t xml:space="preserve">Computer vision – ECCV 2022</w:t>
      </w:r>
      <w:r w:rsidDel="00000000" w:rsidR="00000000" w:rsidRPr="00000000">
        <w:rPr>
          <w:rFonts w:ascii="Cambria" w:cs="Cambria" w:eastAsia="Cambria" w:hAnsi="Cambria"/>
          <w:b w:val="0"/>
          <w:bCs w:val="0"/>
          <w:i w:val="0"/>
          <w:iCs w:val="0"/>
          <w:sz w:val="22"/>
          <w:szCs w:val="22"/>
          <w:u w:val="none"/>
          <w:rtl w:val="0"/>
        </w:rPr>
        <w:t xml:space="preserve"> (Lecture Notes in Computer Science, Vol. 13682, pp. 1–21). Springer. </w:t>
      </w:r>
      <w:hyperlink r:id="rId53">
        <w:r w:rsidDel="00000000" w:rsidR="00000000" w:rsidRPr="00000000">
          <w:rPr>
            <w:rFonts w:ascii="Cambria" w:cs="Cambria" w:eastAsia="Cambria" w:hAnsi="Cambria"/>
            <w:b w:val="0"/>
            <w:bCs w:val="0"/>
            <w:i w:val="0"/>
            <w:iCs w:val="0"/>
            <w:sz w:val="22"/>
            <w:szCs w:val="22"/>
            <w:u w:val="single"/>
            <w:rtl w:val="0"/>
          </w:rPr>
          <w:t xml:space="preserve">https://doi.org/10.1007/978-3-031-20047-2_1</w:t>
        </w:r>
      </w:hyperlink>
      <w:r w:rsidDel="00000000" w:rsidR="00000000" w:rsidRPr="00000000">
        <w:rPr>
          <w:rtl w:val="0"/>
        </w:rPr>
      </w:r>
    </w:p>
    <w:p w:rsidR="00000000" w:rsidDel="00000000" w:rsidP="00000000" w:rsidRDefault="00000000" w:rsidRPr="00000000" w14:paraId="0000007A">
      <w:pPr>
        <w:spacing w:after="0" w:before="0" w:line="480" w:lineRule="auto"/>
        <w:ind w:left="720" w:hanging="720"/>
        <w:jc w:val="both"/>
        <w:rPr>
          <w:rFonts w:ascii="Cambria" w:cs="Cambria" w:eastAsia="Cambria" w:hAnsi="Cambria"/>
          <w:b w:val="0"/>
          <w:bCs w:val="0"/>
          <w:i w:val="0"/>
          <w:iCs w:val="0"/>
          <w:sz w:val="22"/>
          <w:szCs w:val="22"/>
          <w:u w:val="none"/>
        </w:rPr>
      </w:pPr>
      <w:r w:rsidDel="00000000" w:rsidR="00000000" w:rsidRPr="00000000">
        <w:rPr>
          <w:rFonts w:ascii="Cambria" w:cs="Cambria" w:eastAsia="Cambria" w:hAnsi="Cambria"/>
          <w:b w:val="0"/>
          <w:bCs w:val="0"/>
          <w:i w:val="0"/>
          <w:iCs w:val="0"/>
          <w:sz w:val="22"/>
          <w:szCs w:val="22"/>
          <w:u w:val="none"/>
          <w:rtl w:val="0"/>
        </w:rPr>
        <w:t xml:space="preserve">Zhu, W., &amp; Chen, K. (2026). Real-time object detection for unmanned aerial vehicles based on vision transformer and edge computing. </w:t>
      </w:r>
      <w:r w:rsidDel="00000000" w:rsidR="00000000" w:rsidRPr="00000000">
        <w:rPr>
          <w:rFonts w:ascii="Cambria" w:cs="Cambria" w:eastAsia="Cambria" w:hAnsi="Cambria"/>
          <w:b w:val="0"/>
          <w:bCs w:val="0"/>
          <w:i w:val="1"/>
          <w:iCs w:val="1"/>
          <w:sz w:val="22"/>
          <w:szCs w:val="22"/>
          <w:u w:val="none"/>
          <w:rtl w:val="0"/>
        </w:rPr>
        <w:t xml:space="preserve">Scientific Reports, 16</w:t>
      </w:r>
      <w:r w:rsidDel="00000000" w:rsidR="00000000" w:rsidRPr="00000000">
        <w:rPr>
          <w:rFonts w:ascii="Cambria" w:cs="Cambria" w:eastAsia="Cambria" w:hAnsi="Cambria"/>
          <w:b w:val="0"/>
          <w:bCs w:val="0"/>
          <w:i w:val="0"/>
          <w:iCs w:val="0"/>
          <w:sz w:val="22"/>
          <w:szCs w:val="22"/>
          <w:u w:val="none"/>
          <w:rtl w:val="0"/>
        </w:rPr>
        <w:t xml:space="preserve">, Article 6814. </w:t>
      </w:r>
      <w:hyperlink r:id="rId54">
        <w:r w:rsidDel="00000000" w:rsidR="00000000" w:rsidRPr="00000000">
          <w:rPr>
            <w:rFonts w:ascii="Cambria" w:cs="Cambria" w:eastAsia="Cambria" w:hAnsi="Cambria"/>
            <w:b w:val="0"/>
            <w:bCs w:val="0"/>
            <w:i w:val="0"/>
            <w:iCs w:val="0"/>
            <w:sz w:val="22"/>
            <w:szCs w:val="22"/>
            <w:u w:val="single"/>
            <w:rtl w:val="0"/>
          </w:rPr>
          <w:t xml:space="preserve">https://doi.org/10.1038/s41598-026-37938-5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8/1755-1315/1572/1/012020" TargetMode="External"/><Relationship Id="rId42" Type="http://schemas.openxmlformats.org/officeDocument/2006/relationships/hyperlink" Target="https://doi.org/10.3390/computers11090135" TargetMode="External"/><Relationship Id="rId41" Type="http://schemas.openxmlformats.org/officeDocument/2006/relationships/hyperlink" Target="https://doi.org/10.62986/dp2023.31" TargetMode="External"/><Relationship Id="rId44" Type="http://schemas.openxmlformats.org/officeDocument/2006/relationships/hyperlink" Target="https://supabase.com/docs/guides/realtime/postgres-changes" TargetMode="External"/><Relationship Id="rId43" Type="http://schemas.openxmlformats.org/officeDocument/2006/relationships/hyperlink" Target="https://doi.org/10.1016/j.compag.2019.05.023" TargetMode="External"/><Relationship Id="rId46" Type="http://schemas.openxmlformats.org/officeDocument/2006/relationships/hyperlink" Target="https://doi.org/10.3390/make5040083" TargetMode="External"/><Relationship Id="rId45" Type="http://schemas.openxmlformats.org/officeDocument/2006/relationships/hyperlink" Target="https://doi.org/10.1016/j.compag.2014.08.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dupilot.org/copter/docs/failsafe-battery.html" TargetMode="External"/><Relationship Id="rId48" Type="http://schemas.openxmlformats.org/officeDocument/2006/relationships/hyperlink" Target="https://doi.org/10.1038/s43016-021-00402-w" TargetMode="External"/><Relationship Id="rId47" Type="http://schemas.openxmlformats.org/officeDocument/2006/relationships/hyperlink" Target="https://docs.ultralytics.com/models/yolov8" TargetMode="External"/><Relationship Id="rId49" Type="http://schemas.openxmlformats.org/officeDocument/2006/relationships/hyperlink" Target="https://doi.org/10.1016/j.compag.2022.107513" TargetMode="External"/><Relationship Id="rId5" Type="http://schemas.openxmlformats.org/officeDocument/2006/relationships/styles" Target="styles.xml"/><Relationship Id="rId6" Type="http://schemas.openxmlformats.org/officeDocument/2006/relationships/hyperlink" Target="https://doi.org/10.1109/ACCESS.2020.2977693" TargetMode="External"/><Relationship Id="rId7" Type="http://schemas.openxmlformats.org/officeDocument/2006/relationships/hyperlink" Target="https://doi.org/10.3390/electronics13234785" TargetMode="External"/><Relationship Id="rId8" Type="http://schemas.openxmlformats.org/officeDocument/2006/relationships/hyperlink" Target="https://doi.org/10.3390/electronics15081582" TargetMode="External"/><Relationship Id="rId31" Type="http://schemas.openxmlformats.org/officeDocument/2006/relationships/hyperlink" Target="https://doi.org/10.1145/3359591.3359737" TargetMode="External"/><Relationship Id="rId30" Type="http://schemas.openxmlformats.org/officeDocument/2006/relationships/hyperlink" Target="https://doi.org/10.1007/s10846-020-01307-9" TargetMode="External"/><Relationship Id="rId33" Type="http://schemas.openxmlformats.org/officeDocument/2006/relationships/hyperlink" Target="https://doi.org/10.1016/C2018-0-00969-X" TargetMode="External"/><Relationship Id="rId32" Type="http://schemas.openxmlformats.org/officeDocument/2006/relationships/hyperlink" Target="https://doi.org/10.1109/ACCESS.2019.2924410" TargetMode="External"/><Relationship Id="rId35" Type="http://schemas.openxmlformats.org/officeDocument/2006/relationships/hyperlink" Target="https://doi.org/10.62986/pn2021.07" TargetMode="External"/><Relationship Id="rId34" Type="http://schemas.openxmlformats.org/officeDocument/2006/relationships/hyperlink" Target="https://doi.org/10.1007/s11263-008-0152-6" TargetMode="External"/><Relationship Id="rId37" Type="http://schemas.openxmlformats.org/officeDocument/2006/relationships/hyperlink" Target="https://doi.org/10.3390/s23062929" TargetMode="External"/><Relationship Id="rId36" Type="http://schemas.openxmlformats.org/officeDocument/2006/relationships/hyperlink" Target="https://docs.opencv.org/4.13.0/d5/dae/tutorial_aruco_detection.html" TargetMode="External"/><Relationship Id="rId39" Type="http://schemas.openxmlformats.org/officeDocument/2006/relationships/hyperlink" Target="https://doi.org/10.3390/electronics10121422" TargetMode="External"/><Relationship Id="rId38" Type="http://schemas.openxmlformats.org/officeDocument/2006/relationships/hyperlink" Target="https://doi.org/10.1109/CVPR.2016.91" TargetMode="External"/><Relationship Id="rId20" Type="http://schemas.openxmlformats.org/officeDocument/2006/relationships/hyperlink" Target="https://doi.org/10.1109/ICRA46639.2022.9811841" TargetMode="External"/><Relationship Id="rId22" Type="http://schemas.openxmlformats.org/officeDocument/2006/relationships/hyperlink" Target="https://pcaarrd.dost.gov.ph/index.php/quick-information-dispatch-qid-articles/iot-smart-greenhouse-hydroponics-for-lettuce-makes-its-way-to-farm-enterprise" TargetMode="External"/><Relationship Id="rId21" Type="http://schemas.openxmlformats.org/officeDocument/2006/relationships/hyperlink" Target="https://doi.org/10.3390/agriculture12101745" TargetMode="External"/><Relationship Id="rId24" Type="http://schemas.openxmlformats.org/officeDocument/2006/relationships/hyperlink" Target="https://doi.org/10.1016/j.compag.2015.05.011" TargetMode="External"/><Relationship Id="rId23" Type="http://schemas.openxmlformats.org/officeDocument/2006/relationships/hyperlink" Target="https://www.pcaarrd.dost.gov.ph/index.php/quick-information-dispatch-qid-articles/dost-pcaarrd-uplb-research-on-indoor-farming-opens-opportunities-for-the-industry" TargetMode="External"/><Relationship Id="rId26" Type="http://schemas.openxmlformats.org/officeDocument/2006/relationships/hyperlink" Target="https://www.gps.gov/systems/gps/performance/accuracy/" TargetMode="External"/><Relationship Id="rId25" Type="http://schemas.openxmlformats.org/officeDocument/2006/relationships/hyperlink" Target="https://doi.org/10.1016/j.patcog.2014.01.005" TargetMode="External"/><Relationship Id="rId28" Type="http://schemas.openxmlformats.org/officeDocument/2006/relationships/hyperlink" Target="https://doi.org/10.3390/s19153371" TargetMode="External"/><Relationship Id="rId27" Type="http://schemas.openxmlformats.org/officeDocument/2006/relationships/hyperlink" Target="https://doi.org/10.1889/JSID19.2.129" TargetMode="External"/><Relationship Id="rId29" Type="http://schemas.openxmlformats.org/officeDocument/2006/relationships/hyperlink" Target="https://doi.org/10.9734/BJAST/2015/14975" TargetMode="External"/><Relationship Id="rId51" Type="http://schemas.openxmlformats.org/officeDocument/2006/relationships/hyperlink" Target="https://doi.org/10.3390/plants13030372" TargetMode="External"/><Relationship Id="rId50" Type="http://schemas.openxmlformats.org/officeDocument/2006/relationships/hyperlink" Target="https://doi.org/10.1109/IROS.2016.7759617" TargetMode="External"/><Relationship Id="rId53" Type="http://schemas.openxmlformats.org/officeDocument/2006/relationships/hyperlink" Target="https://doi.org/10.1007/978-3-031-20047-2_1" TargetMode="External"/><Relationship Id="rId52" Type="http://schemas.openxmlformats.org/officeDocument/2006/relationships/hyperlink" Target="https://doi.org/10.3390/electronics8121532" TargetMode="External"/><Relationship Id="rId11" Type="http://schemas.openxmlformats.org/officeDocument/2006/relationships/hyperlink" Target="https://ardupilot.org/dev/docs/sitl-with-gazebo.html" TargetMode="External"/><Relationship Id="rId10" Type="http://schemas.openxmlformats.org/officeDocument/2006/relationships/hyperlink" Target="https://ardupilot.org/dev/docs/companion-computers.html" TargetMode="External"/><Relationship Id="rId54" Type="http://schemas.openxmlformats.org/officeDocument/2006/relationships/hyperlink" Target="https://doi.org/10.1038/s41598-026-37938-5" TargetMode="External"/><Relationship Id="rId13" Type="http://schemas.openxmlformats.org/officeDocument/2006/relationships/hyperlink" Target="https://ijase.org/index.php/ijase/article/view/267" TargetMode="External"/><Relationship Id="rId12" Type="http://schemas.openxmlformats.org/officeDocument/2006/relationships/hyperlink" Target="https://doi.org/10.3390/app12031047" TargetMode="External"/><Relationship Id="rId15" Type="http://schemas.openxmlformats.org/officeDocument/2006/relationships/hyperlink" Target="https://doi.org/10.1109/MRA.2006.250573" TargetMode="External"/><Relationship Id="rId14" Type="http://schemas.openxmlformats.org/officeDocument/2006/relationships/hyperlink" Target="https://doi.org/10.3390/electronics9122106" TargetMode="External"/><Relationship Id="rId17" Type="http://schemas.openxmlformats.org/officeDocument/2006/relationships/hyperlink" Target="https://www.caap.gov.ph/wp-content/uploads/2023/09/PART-11-Aerial-Work-and-Operating-Limitations-for-Non-Type-Certificated-Aircraft.pdf" TargetMode="External"/><Relationship Id="rId16" Type="http://schemas.openxmlformats.org/officeDocument/2006/relationships/hyperlink" Target="https://doi.org/10.3390/s20195637" TargetMode="External"/><Relationship Id="rId19" Type="http://schemas.openxmlformats.org/officeDocument/2006/relationships/hyperlink" Target="https://doi.org/10.2307/249008" TargetMode="External"/><Relationship Id="rId18" Type="http://schemas.openxmlformats.org/officeDocument/2006/relationships/hyperlink" Target="https://www.caap.gov.ph/wp-content/uploads/2026/01/PART-11-Aerial-Work-and-Operating-Limitations-for-Non-Type-Certificated-Aircraf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