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Propuesta de solución — Pregunta 3: Agrupamiento de estaciones</w:t>
      </w:r>
    </w:p>
    <w:p>
      <w:pPr>
        <w:jc w:val="center"/>
      </w:pPr>
      <w:r>
        <w:t>Proyecto MiBici · Equipo 52</w:t>
        <w:br/>
        <w:t>TC5061 Operaciones de Aprendizaje Automático · Maestría en Inteligencia Artificial Aplicada</w:t>
        <w:br/>
        <w:t>Responsable de P3: Joel Sánchez</w:t>
      </w:r>
    </w:p>
    <w:p/>
    <w:p>
      <w:pPr>
        <w:pStyle w:val="Heading1"/>
      </w:pPr>
      <w:r>
        <w:rPr>
          <w:color w:val="1F4E79"/>
        </w:rPr>
        <w:t>1. Formulación del problema</w:t>
      </w:r>
    </w:p>
    <w:p>
      <w:pPr>
        <w:pStyle w:val="Heading2"/>
      </w:pPr>
      <w:r>
        <w:rPr>
          <w:color w:val="1F4E79"/>
        </w:rPr>
        <w:t>1.1 Qué se agrupa, con qué granularidad y horizonte</w:t>
      </w:r>
    </w:p>
    <w:p>
      <w:r>
        <w:rPr>
          <w:b w:val="0"/>
        </w:rPr>
        <w:t>La unidad de análisis es la estación. Para cada una se construye un vector de características que resume cómo, cuándo y cuánto se usa a lo largo de toda la historia publicada del sistema (diciembre de 2014 a septiembre de 2026). Las estaciones con firmas de uso similares se agrupan mediante clustering no supervisado y, después, cada grupo se localiza geográficamente con la latitud y longitud de la nomenclatura para responder la segunda mitad de la pregunta: dónde están.</w:t>
      </w:r>
    </w:p>
    <w:p>
      <w:r>
        <w:rPr>
          <w:b w:val="0"/>
        </w:rPr>
        <w:t>Al ser una tarea descriptiva no existe horizonte de predicción; el equivalente es la ventana de observación. Por acuerdo del equipo se usa la historia completa (FECHA_INICIO = 2014-12-01, FECHA_FIN = 2026-09-30, versión de datos 2026-09), y se justifica en la sección 1.4.</w:t>
      </w:r>
    </w:p>
    <w:p>
      <w:pPr>
        <w:pStyle w:val="Heading2"/>
      </w:pPr>
      <w:r>
        <w:rPr>
          <w:color w:val="1F4E79"/>
        </w:rPr>
        <w:t>1.2 Relevancia para la operación de MiBici</w:t>
      </w:r>
    </w:p>
    <w:p>
      <w:r>
        <w:rPr>
          <w:b w:val="0"/>
        </w:rPr>
        <w:t>Conocer qué estaciones se comportan igual permite planear de forma diferenciada en lugar de estación por estación o con una sola política para toda la red. Casos concretos:</w:t>
      </w:r>
    </w:p>
    <w:p>
      <w:pPr>
        <w:pStyle w:val="ListBullet"/>
      </w:pPr>
      <w:r>
        <w:t>Un grupo con picos de salida en la mañana y de llegada en la tarde describe un perfil residencial (la gente sale de casa hacia el trabajo/escuela); el grupo espejo describe zonas de empleo o educativas. Cada uno requiere una estrategia de rebalanceo opuesta.</w:t>
      </w:r>
    </w:p>
    <w:p>
      <w:pPr>
        <w:pStyle w:val="ListBullet"/>
      </w:pPr>
      <w:r>
        <w:t>Un grupo con uso concentrado en fin de semana, viajes redondos y duraciones largas indica uso recreativo (parques, ciclovías dominicales), relevante para planeación urbana y no para rebalanceo.</w:t>
      </w:r>
    </w:p>
    <w:p>
      <w:pPr>
        <w:pStyle w:val="ListBullet"/>
      </w:pPr>
      <w:r>
        <w:t>Los vacíos geográficos dentro de grupos de alta demanda señalan zonas candidatas para nuevas estaciones; las estaciones que no encajan en ningún grupo son candidatas a revisión individual.</w:t>
      </w:r>
    </w:p>
    <w:p>
      <w:pPr>
        <w:pStyle w:val="Heading2"/>
      </w:pPr>
      <w:r>
        <w:rPr>
          <w:color w:val="1F4E79"/>
        </w:rPr>
        <w:t>1.3 Usuario del resultado y decisión que toma</w:t>
      </w:r>
    </w:p>
    <w:p>
      <w:r>
        <w:rPr>
          <w:b w:val="0"/>
        </w:rPr>
        <w:t>El usuario es el equipo de planeación urbana y expansión del sistema (operador y agencia metropolitana de movilidad). Con los grupos puede: priorizar la ubicación de nuevas estaciones, definir políticas de rebalanceo por tipo de estación en coordinación con P2, y comunicar a los municipios cómo se usa la red en su territorio.</w:t>
      </w:r>
    </w:p>
    <w:p>
      <w:pPr>
        <w:pStyle w:val="Heading2"/>
      </w:pPr>
      <w:r>
        <w:rPr>
          <w:color w:val="1F4E79"/>
        </w:rPr>
        <w:t>1.4 Por qué toda la historia y no una ventana reciente</w:t>
      </w:r>
    </w:p>
    <w:p>
      <w:pPr>
        <w:pStyle w:val="ListBullet"/>
      </w:pPr>
      <w:r>
        <w:t>Las firmas temporales se construyen como proporciones (de salidas por hora, por día de la semana), que son invariantes al tamaño del periodo: con 39 millones de viajes se estiman con menos ruido, sobre todo en estaciones de bajo volumen.</w:t>
      </w:r>
    </w:p>
    <w:p>
      <w:pPr>
        <w:pStyle w:val="ListBullet"/>
      </w:pPr>
      <w:r>
        <w:t>Las estaciones tienen antigüedades muy distintas (14 dadas de baja, 100 abiertas entre mayo y agosto de 2026). Todos los conteos se normalizan por meses activos de cada estación, de modo que una estación nueva compite en igualdad de condiciones con una de 2014.</w:t>
      </w:r>
    </w:p>
    <w:p>
      <w:pPr>
        <w:pStyle w:val="ListBullet"/>
      </w:pPr>
      <w:r>
        <w:t>Solo con la historia completa se pueden construir características de evolución —proporción de actividad reciente y cambio de volumen pre/post pandemia— que distinguen estaciones consolidadas de estaciones nuevas o en crecimiento.</w:t>
      </w:r>
    </w:p>
    <w:p>
      <w:pPr>
        <w:pStyle w:val="ListBullet"/>
      </w:pPr>
      <w:r>
        <w:t>La estabilidad del agrupamiento se verifica sobre la propia historia: se compara la asignación de grupos entre dos eras disjuntas del periodo (sección 5.3).</w:t>
      </w:r>
    </w:p>
    <w:p>
      <w:pPr>
        <w:pStyle w:val="Heading1"/>
      </w:pPr>
      <w:r>
        <w:rPr>
          <w:color w:val="1F4E79"/>
        </w:rPr>
        <w:t>2. Datos</w:t>
      </w:r>
    </w:p>
    <w:p>
      <w:pPr>
        <w:pStyle w:val="Heading2"/>
      </w:pPr>
      <w:r>
        <w:rPr>
          <w:color w:val="1F4E79"/>
        </w:rPr>
        <w:t>2.1 Fuente y tamaño real obtenido</w:t>
      </w:r>
    </w:p>
    <w:p>
      <w:r>
        <w:rPr>
          <w:b w:val="0"/>
        </w:rPr>
        <w:t>Fuente: sección de datos abiertos de MiBici (https://mibici.net/es/datos-abiertos/). Archivos usados: 142 archivos mensuales de viajes datos_abiertos_AAAA_MM.csv (diciembre 2014 a septiembre 2026) y la nomenclatura de estaciones nomenclatura_2026_09.csv.</w:t>
      </w:r>
    </w:p>
    <w:tbl>
      <w:tblPr>
        <w:tblStyle w:val="TableGrid"/>
        <w:tblW w:type="auto" w:w="0"/>
        <w:tblLook w:firstColumn="1" w:firstRow="1" w:lastColumn="0" w:lastRow="0" w:noHBand="0" w:noVBand="1" w:val="04A0"/>
      </w:tblPr>
      <w:tblGrid>
        <w:gridCol w:w="4320"/>
        <w:gridCol w:w="4320"/>
      </w:tblGrid>
      <w:tr>
        <w:tc>
          <w:tcPr>
            <w:tcW w:type="dxa" w:w="4320"/>
          </w:tcPr>
          <w:p>
            <w:r>
              <w:rPr>
                <w:b/>
              </w:rPr>
              <w:t>Concepto</w:t>
            </w:r>
          </w:p>
        </w:tc>
        <w:tc>
          <w:tcPr>
            <w:tcW w:type="dxa" w:w="4320"/>
          </w:tcPr>
          <w:p>
            <w:r>
              <w:rPr>
                <w:b/>
              </w:rPr>
              <w:t>Valor real</w:t>
            </w:r>
          </w:p>
        </w:tc>
      </w:tr>
      <w:tr>
        <w:tc>
          <w:tcPr>
            <w:tcW w:type="dxa" w:w="4320"/>
          </w:tcPr>
          <w:p>
            <w:r>
              <w:t>Meses de viajes descargados</w:t>
            </w:r>
          </w:p>
        </w:tc>
        <w:tc>
          <w:tcPr>
            <w:tcW w:type="dxa" w:w="4320"/>
          </w:tcPr>
          <w:p>
            <w:r>
              <w:t>142</w:t>
            </w:r>
          </w:p>
        </w:tc>
      </w:tr>
      <w:tr>
        <w:tc>
          <w:tcPr>
            <w:tcW w:type="dxa" w:w="4320"/>
          </w:tcPr>
          <w:p>
            <w:r>
              <w:t>Viajes totales (registros)</w:t>
            </w:r>
          </w:p>
        </w:tc>
        <w:tc>
          <w:tcPr>
            <w:tcW w:type="dxa" w:w="4320"/>
          </w:tcPr>
          <w:p>
            <w:r>
              <w:t>39,078,840</w:t>
            </w:r>
          </w:p>
        </w:tc>
      </w:tr>
      <w:tr>
        <w:tc>
          <w:tcPr>
            <w:tcW w:type="dxa" w:w="4320"/>
          </w:tcPr>
          <w:p>
            <w:r>
              <w:t>Estaciones en nomenclatura</w:t>
            </w:r>
          </w:p>
        </w:tc>
        <w:tc>
          <w:tcPr>
            <w:tcW w:type="dxa" w:w="4320"/>
          </w:tcPr>
          <w:p>
            <w:r>
              <w:t>484</w:t>
            </w:r>
          </w:p>
        </w:tc>
      </w:tr>
      <w:tr>
        <w:tc>
          <w:tcPr>
            <w:tcW w:type="dxa" w:w="4320"/>
          </w:tcPr>
          <w:p>
            <w:r>
              <w:t>Estaciones dadas de baja (excluidas)</w:t>
            </w:r>
          </w:p>
        </w:tc>
        <w:tc>
          <w:tcPr>
            <w:tcW w:type="dxa" w:w="4320"/>
          </w:tcPr>
          <w:p>
            <w:r>
              <w:t>14</w:t>
            </w:r>
          </w:p>
        </w:tc>
      </w:tr>
      <w:tr>
        <w:tc>
          <w:tcPr>
            <w:tcW w:type="dxa" w:w="4320"/>
          </w:tcPr>
          <w:p>
            <w:r>
              <w:t>Estaciones en la matriz de P3</w:t>
            </w:r>
          </w:p>
        </w:tc>
        <w:tc>
          <w:tcPr>
            <w:tcW w:type="dxa" w:w="4320"/>
          </w:tcPr>
          <w:p>
            <w:r>
              <w:t>≈470 (las 124, 405 y 407 quedan fuera al unir)</w:t>
            </w:r>
          </w:p>
        </w:tc>
      </w:tr>
      <w:tr>
        <w:tc>
          <w:tcPr>
            <w:tcW w:type="dxa" w:w="4320"/>
          </w:tcPr>
          <w:p>
            <w:r>
              <w:t>Versión de datos</w:t>
            </w:r>
          </w:p>
        </w:tc>
        <w:tc>
          <w:tcPr>
            <w:tcW w:type="dxa" w:w="4320"/>
          </w:tcPr>
          <w:p>
            <w:r>
              <w:t>2026-09 (manifiesto SHA-256 en references/manifiesto_datos.csv)</w:t>
            </w:r>
          </w:p>
        </w:tc>
      </w:tr>
    </w:tbl>
    <w:p>
      <w:pPr>
        <w:pStyle w:val="Heading2"/>
      </w:pPr>
      <w:r>
        <w:rPr>
          <w:color w:val="1F4E79"/>
        </w:rPr>
        <w:t>2.2 Variables originales utilizadas</w:t>
      </w:r>
    </w:p>
    <w:p>
      <w:r>
        <w:rPr>
          <w:b w:val="0"/>
        </w:rPr>
        <w:t>De los archivos de viajes solo se leen las cinco columnas definidas en config.py (COLUMNAS_VIAJES): Viaje_Id, Inicio_del_viaje, Fin_del_viaje, Origen_Id y Destino_Id. De la nomenclatura: id, nombre, latitud, longitud y capacidad (anclajes).</w:t>
      </w:r>
    </w:p>
    <w:p>
      <w:r>
        <w:rPr>
          <w:b w:val="0"/>
        </w:rPr>
        <w:t>Datos personales: los archivos incluyen Usuario_Id, Genero y Año_de_nacimiento, que no se necesitan para ninguna de las tres preguntas. Por decisión del equipo no se leen en ningún punto del pipeline, por lo que tampoco llegan al Parquet ni a MLflow.</w:t>
      </w:r>
    </w:p>
    <w:p>
      <w:r>
        <w:rPr>
          <w:b w:val="0"/>
        </w:rPr>
        <w:t>Condiciones de uso: MiBici invita a explorar y compartir los datos pero no publica licencia explícita («Todos los derechos reservados Mi Bici © 2026»). El equipo los usa solo con fines académicos, cita la fuente y no los republica: los archivos no se suben a GitHub y cada integrante los obtiene ejecutando equipo52_module/dataset.py.</w:t>
      </w:r>
    </w:p>
    <w:p>
      <w:pPr>
        <w:pStyle w:val="Heading2"/>
      </w:pPr>
      <w:r>
        <w:rPr>
          <w:color w:val="1F4E79"/>
        </w:rPr>
        <w:t>2.3 Variable objetivo y control de fuga temporal</w:t>
      </w:r>
    </w:p>
    <w:p>
      <w:r>
        <w:rPr>
          <w:b w:val="0"/>
        </w:rPr>
        <w:t>En clustering no hay variable objetivo: el resultado es la etiqueta de grupo de cada estación. El riesgo de fuga se controla de dos formas: (1) todas las características se calculan exclusivamente con viajes cuyo Inicio_del_viaje cae dentro del periodo de análisis; y (2) en la validación de estabilidad el escalador y el modelo se ajustan una sola vez con la historia completa y luego se aplican a matrices de características calculadas en subperiodos disjuntos, sin reajustar.</w:t>
      </w:r>
    </w:p>
    <w:p>
      <w:pPr>
        <w:pStyle w:val="Heading2"/>
      </w:pPr>
      <w:r>
        <w:rPr>
          <w:color w:val="1F4E79"/>
        </w:rPr>
        <w:t>2.4 Matriz de características por estación</w:t>
      </w:r>
    </w:p>
    <w:p>
      <w:r>
        <w:rPr>
          <w:b w:val="0"/>
        </w:rPr>
        <w:t>Todas las características se calculan con los 142 meses. Los conteos se dividen entre los meses activos de la estación (del primer mes con viajes al cierre del periodo) y las firmas temporales son proporciones, de modo que las estaciones nuevas son comparables con las históricas.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Grupo</w:t>
            </w:r>
          </w:p>
        </w:tc>
        <w:tc>
          <w:tcPr>
            <w:tcW w:type="dxa" w:w="2880"/>
          </w:tcPr>
          <w:p>
            <w:r>
              <w:rPr>
                <w:b/>
              </w:rPr>
              <w:t>Características</w:t>
            </w:r>
          </w:p>
        </w:tc>
        <w:tc>
          <w:tcPr>
            <w:tcW w:type="dxa" w:w="2880"/>
          </w:tcPr>
          <w:p>
            <w:r>
              <w:rPr>
                <w:b/>
              </w:rPr>
              <w:t>Por qué es pertinente para P3</w:t>
            </w:r>
          </w:p>
        </w:tc>
      </w:tr>
      <w:tr>
        <w:tc>
          <w:tcPr>
            <w:tcW w:type="dxa" w:w="2880"/>
          </w:tcPr>
          <w:p>
            <w:r>
              <w:t>A. Nivel de actividad</w:t>
            </w:r>
          </w:p>
        </w:tc>
        <w:tc>
          <w:tcPr>
            <w:tcW w:type="dxa" w:w="2880"/>
          </w:tcPr>
          <w:p>
            <w:r>
              <w:t>Salidas por mes activo; llegadas por mes activo; viajes por anclaje por mes activo</w:t>
            </w:r>
          </w:p>
        </w:tc>
        <w:tc>
          <w:tcPr>
            <w:tcW w:type="dxa" w:w="2880"/>
          </w:tcPr>
          <w:p>
            <w:r>
              <w:t>Separa estaciones centrales de las marginales; normalizar por anclaje distingue saturación real de simple tamaño.</w:t>
            </w:r>
          </w:p>
        </w:tc>
      </w:tr>
      <w:tr>
        <w:tc>
          <w:tcPr>
            <w:tcW w:type="dxa" w:w="2880"/>
          </w:tcPr>
          <w:p>
            <w:r>
              <w:t>B. Firma horaria</w:t>
            </w:r>
          </w:p>
        </w:tc>
        <w:tc>
          <w:tcPr>
            <w:tcW w:type="dxa" w:w="2880"/>
          </w:tcPr>
          <w:p>
            <w:r>
              <w:t>24 proporciones: fracción de salidas de la estación en cada hora del día</w:t>
            </w:r>
          </w:p>
        </w:tc>
        <w:tc>
          <w:tcPr>
            <w:tcW w:type="dxa" w:w="2880"/>
          </w:tcPr>
          <w:p>
            <w:r>
              <w:t>Es la huella digital de uso: picos 7–9 h y 17–19 h indican uso laboral/escolar; uso plano o nocturno indica otros perfiles.</w:t>
            </w:r>
          </w:p>
        </w:tc>
      </w:tr>
      <w:tr>
        <w:tc>
          <w:tcPr>
            <w:tcW w:type="dxa" w:w="2880"/>
          </w:tcPr>
          <w:p>
            <w:r>
              <w:t>C. Firma semanal</w:t>
            </w:r>
          </w:p>
        </w:tc>
        <w:tc>
          <w:tcPr>
            <w:tcW w:type="dxa" w:w="2880"/>
          </w:tcPr>
          <w:p>
            <w:r>
              <w:t>7 proporciones: fracción de salidas por día de la semana</w:t>
            </w:r>
          </w:p>
        </w:tc>
        <w:tc>
          <w:tcPr>
            <w:tcW w:type="dxa" w:w="2880"/>
          </w:tcPr>
          <w:p>
            <w:r>
              <w:t>El uso recreativo se concentra en sábado y domingo; el laboral, de lunes a viernes.</w:t>
            </w:r>
          </w:p>
        </w:tc>
      </w:tr>
      <w:tr>
        <w:tc>
          <w:tcPr>
            <w:tcW w:type="dxa" w:w="2880"/>
          </w:tcPr>
          <w:p>
            <w:r>
              <w:t>D. Rol en la red</w:t>
            </w:r>
          </w:p>
        </w:tc>
        <w:tc>
          <w:tcPr>
            <w:tcW w:type="dxa" w:w="2880"/>
          </w:tcPr>
          <w:p>
            <w:r>
              <w:t>Flujo neto por mes activo (llegadas − salidas); razón salidas/llegadas; número de estaciones destino distintas</w:t>
            </w:r>
          </w:p>
        </w:tc>
        <w:tc>
          <w:tcPr>
            <w:tcW w:type="dxa" w:w="2880"/>
          </w:tcPr>
          <w:p>
            <w:r>
              <w:t>Identifica estaciones «fuente» (residencial) y «sumidero» (empleo/centro), y estaciones conectoras con destinos diversos frente a las de un solo corredor.</w:t>
            </w:r>
          </w:p>
        </w:tc>
      </w:tr>
      <w:tr>
        <w:tc>
          <w:tcPr>
            <w:tcW w:type="dxa" w:w="2880"/>
          </w:tcPr>
          <w:p>
            <w:r>
              <w:t>E. Tipo de viaje</w:t>
            </w:r>
          </w:p>
        </w:tc>
        <w:tc>
          <w:tcPr>
            <w:tcW w:type="dxa" w:w="2880"/>
          </w:tcPr>
          <w:p>
            <w:r>
              <w:t>Proporción de viajes redondos (origen = destino); duración mediana de los viajes que inician en la estación</w:t>
            </w:r>
          </w:p>
        </w:tc>
        <w:tc>
          <w:tcPr>
            <w:tcW w:type="dxa" w:w="2880"/>
          </w:tcPr>
          <w:p>
            <w:r>
              <w:t>Viajes redondos y largos sugieren uso recreativo; viajes cortos de ida, uso utilitario.</w:t>
            </w:r>
          </w:p>
        </w:tc>
      </w:tr>
      <w:tr>
        <w:tc>
          <w:tcPr>
            <w:tcW w:type="dxa" w:w="2880"/>
          </w:tcPr>
          <w:p>
            <w:r>
              <w:t>F. Evolución</w:t>
            </w:r>
          </w:p>
        </w:tc>
        <w:tc>
          <w:tcPr>
            <w:tcW w:type="dxa" w:w="2880"/>
          </w:tcPr>
          <w:p>
            <w:r>
              <w:t>Meses activa (antigüedad); proporción de viajes ocurridos en los últimos 12 meses; razón de volumen mensual post-COVID (desde 2023-05) respecto a prepandemia (hasta 2020-03)</w:t>
            </w:r>
          </w:p>
        </w:tc>
        <w:tc>
          <w:tcPr>
            <w:tcW w:type="dxa" w:w="2880"/>
          </w:tcPr>
          <w:p>
            <w:r>
              <w:t>Solo existen gracias a la historia completa: distinguen estaciones nuevas, en crecimiento, maduras o en declive, aunque hoy tengan el mismo volumen.</w:t>
            </w:r>
          </w:p>
        </w:tc>
      </w:tr>
    </w:tbl>
    <w:p>
      <w:r>
        <w:rPr>
          <w:b w:val="0"/>
        </w:rPr>
        <w:t>La latitud y longitud no entran a la matriz de clustering: se reservan para el mapa. Si entraran, los grupos estarían forzados a ser geográficamente contiguos y se perdería el hallazgo principal — si los patrones de uso están o no concentrados en el espacio. La línea base geográfica (sección 4) sirve justo para medir esa diferencia.</w:t>
      </w:r>
    </w:p>
    <w:p>
      <w:pPr>
        <w:pStyle w:val="Heading1"/>
      </w:pPr>
      <w:r>
        <w:rPr>
          <w:color w:val="1F4E79"/>
        </w:rPr>
        <w:t>3. Pipeline de ML para P3</w:t>
      </w:r>
    </w:p>
    <w:p>
      <w:pPr>
        <w:pStyle w:val="ListNumber"/>
      </w:pPr>
      <w:r>
        <w:t>Limpieza y filtrado: lectura de data/interim/viajes.parquet con las columnas de COLUMNAS_VIAJES; se excluyen las 14 estaciones dadas de baja (ESTACIONES_EXCLUIDAS en config.py) y se une con la nomenclatura (elimina las estaciones sin ficha: 124, 405 y 407).</w:t>
      </w:r>
    </w:p>
    <w:p>
      <w:pPr>
        <w:pStyle w:val="ListNumber"/>
      </w:pPr>
      <w:r>
        <w:t>Agregación: construcción de la matriz estación × característica en equipo52_module/features.py, una función por grupo de características con docstring. Las funciones de firma horaria y balance son reutilizables por P1 y P2. Salida: data/processed/p3_matriz_estaciones.parquet.</w:t>
      </w:r>
    </w:p>
    <w:p>
      <w:pPr>
        <w:pStyle w:val="ListNumber"/>
      </w:pPr>
      <w:r>
        <w:t>Transformación: estandarización con StandardScaler de scikit-learn, porque las distancias euclidianas son sensibles a la escala y la matriz mezcla proporciones (0–1) con conteos por mes (miles) y razones.</w:t>
      </w:r>
    </w:p>
    <w:p>
      <w:pPr>
        <w:pStyle w:val="ListNumber"/>
      </w:pPr>
      <w:r>
        <w:t>Selección del número de grupos: barrido de k = 2…12 maximizando el coeficiente de silueta, contrastado con el dendrograma del modelo jerárquico.</w:t>
      </w:r>
    </w:p>
    <w:p>
      <w:pPr>
        <w:pStyle w:val="ListNumber"/>
      </w:pPr>
      <w:r>
        <w:t>Agrupamiento: línea base y candidatos (sección 4).</w:t>
      </w:r>
    </w:p>
    <w:p>
      <w:pPr>
        <w:pStyle w:val="ListNumber"/>
      </w:pPr>
      <w:r>
        <w:t>Evaluación: métricas internas sobre la historia completa y validación de estabilidad entre eras (sección 5).</w:t>
      </w:r>
    </w:p>
    <w:p>
      <w:pPr>
        <w:pStyle w:val="ListNumber"/>
      </w:pPr>
      <w:r>
        <w:t>Artefactos: mapa de estaciones coloreadas por grupo, perfiles horarios promedio por grupo, dendrograma y tabla descriptiva de grupos, en reports/figures/ y registrados en MLflow.</w:t>
      </w:r>
    </w:p>
    <w:p>
      <w:pPr>
        <w:pStyle w:val="Heading1"/>
      </w:pPr>
      <w:r>
        <w:rPr>
          <w:color w:val="1F4E79"/>
        </w:rPr>
        <w:t>4. Modelos propuestos</w:t>
      </w:r>
    </w:p>
    <w:p>
      <w:pPr>
        <w:pStyle w:val="Heading2"/>
      </w:pPr>
      <w:r>
        <w:rPr>
          <w:color w:val="1F4E79"/>
        </w:rPr>
        <w:t>4.1 Línea base</w:t>
      </w:r>
    </w:p>
    <w:p>
      <w:r>
        <w:rPr>
          <w:b w:val="0"/>
        </w:rPr>
        <w:t>K-Means con k = 5 aplicado únicamente a latitud y longitud: agrupar solo por cercanía geográfica. Es la solución ingenua — un planeador podría trazarla a mano sobre el mapa. Cualquier modelo sobre características de uso que no supere a esta línea base en las métricas internas no aporta valor, porque respondería una pregunta distinta (dónde están) en lugar de la plantada (qué patrones comparten).</w:t>
      </w:r>
    </w:p>
    <w:p>
      <w:pPr>
        <w:pStyle w:val="Heading2"/>
      </w:pPr>
      <w:r>
        <w:rPr>
          <w:color w:val="1F4E79"/>
        </w:rPr>
        <w:t>4.2 Candidato principal: K-Means sobre la matriz de características</w:t>
      </w:r>
    </w:p>
    <w:p>
      <w:r>
        <w:rPr>
          <w:b w:val="0"/>
        </w:rPr>
        <w:t>K-Means sobre la matriz estandarizada de los grupos A–F, con k elegido por barrido de silueta (k = 2…12) y n_init = 20 para reducir el riesgo de mínimos locales, semilla fija SEED = 42.</w:t>
      </w:r>
    </w:p>
    <w:p>
      <w:pPr>
        <w:pStyle w:val="ListBullet"/>
      </w:pPr>
      <w:r>
        <w:t>Por qué es el candidato principal: produce centroides interpretables («el grupo 2 concentra el 34 % de sus salidas entre 7 y 9 h»), que es exactamente el lenguaje que necesita el equipo de planeación; es rápido con ~470 estaciones y ~40 características; y asigna grupo a toda estación, incluidas las nuevas.</w:t>
      </w:r>
    </w:p>
    <w:p>
      <w:pPr>
        <w:pStyle w:val="ListBullet"/>
      </w:pPr>
      <w:r>
        <w:t>Limitación aceptada: asume grupos aproximadamente esféricos y obliga a elegir k, por lo que se compara con un modelo jerárquico y con detección de anomalías.</w:t>
      </w:r>
    </w:p>
    <w:p>
      <w:pPr>
        <w:pStyle w:val="Heading2"/>
      </w:pPr>
      <w:r>
        <w:rPr>
          <w:color w:val="1F4E79"/>
        </w:rPr>
        <w:t>4.3 Candidato de contraste: agrupamiento jerárquico (Ward)</w:t>
      </w:r>
    </w:p>
    <w:p>
      <w:r>
        <w:rPr>
          <w:b w:val="0"/>
        </w:rPr>
        <w:t>AgglomerativeClustering con enlace Ward sobre la misma matriz estandarizada, cortado al k elegido por K-Means para comparar como con como.</w:t>
      </w:r>
    </w:p>
    <w:p>
      <w:pPr>
        <w:pStyle w:val="ListBullet"/>
      </w:pPr>
      <w:r>
        <w:t>Qué aporta: no asume esfericidad y genera un dendrograma que muestra la estructura anidada de los grupos — útil para decidir k con criterio de planeación (p. ej., si un grupo grande se divide naturalmente en residencial-consolidado y residencial-nuevo).</w:t>
      </w:r>
    </w:p>
    <w:p>
      <w:pPr>
        <w:pStyle w:val="ListBullet"/>
      </w:pPr>
      <w:r>
        <w:t>Criterio de decisión: si Ward y K-Means coinciden (ARI alto entre sus asignaciones), el resultado es robusto al algoritmo y se reporta K-Means por simplicidad; si difieren mucho, se investiga qué estaciones cambian de grupo y por qué.</w:t>
      </w:r>
    </w:p>
    <w:p>
      <w:pPr>
        <w:pStyle w:val="Heading2"/>
      </w:pPr>
      <w:r>
        <w:rPr>
          <w:color w:val="1F4E79"/>
        </w:rPr>
        <w:t>4.4 Análisis complementario: HDBSCAN</w:t>
      </w:r>
    </w:p>
    <w:p>
      <w:r>
        <w:rPr>
          <w:b w:val="0"/>
        </w:rPr>
        <w:t>HDBSCAN (disponible en scikit-learn 1.9) se usa como diagnóstico, no como entregable: identifica estaciones que son ruido — es decir, que no comparten patrón con ningún grupo — y densidades no esféricas. Su lista de estaciones anómalas se reporta como artefacto porque es información accionable para el operador (estaciones con comportamiento atípico que conviene revisar de forma individual), sin forzarlas a un grupo como haría K-Means.</w:t>
      </w:r>
    </w:p>
    <w:p>
      <w:pPr>
        <w:pStyle w:val="Heading1"/>
      </w:pPr>
      <w:r>
        <w:rPr>
          <w:color w:val="1F4E79"/>
        </w:rPr>
        <w:t>5. Métricas y validación</w:t>
      </w:r>
    </w:p>
    <w:p>
      <w:pPr>
        <w:pStyle w:val="Heading2"/>
      </w:pPr>
      <w:r>
        <w:rPr>
          <w:color w:val="1F4E79"/>
        </w:rPr>
        <w:t>5.1 Métricas internas (historia completa)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Dirección</w:t>
            </w:r>
          </w:p>
        </w:tc>
        <w:tc>
          <w:tcPr>
            <w:tcW w:type="dxa" w:w="2880"/>
          </w:tcPr>
          <w:p>
            <w:r>
              <w:rPr>
                <w:b/>
              </w:rPr>
              <w:t>Justificación</w:t>
            </w:r>
          </w:p>
        </w:tc>
      </w:tr>
      <w:tr>
        <w:tc>
          <w:tcPr>
            <w:tcW w:type="dxa" w:w="2880"/>
          </w:tcPr>
          <w:p>
            <w:r>
              <w:t>hist_silhouette</w:t>
            </w:r>
          </w:p>
        </w:tc>
        <w:tc>
          <w:tcPr>
            <w:tcW w:type="dxa" w:w="2880"/>
          </w:tcPr>
          <w:p>
            <w:r>
              <w:t>Mayor es mejor</w:t>
            </w:r>
          </w:p>
        </w:tc>
        <w:tc>
          <w:tcPr>
            <w:tcW w:type="dxa" w:w="2880"/>
          </w:tcPr>
          <w:p>
            <w:r>
              <w:t>Métrica principal: mide cohesión dentro del grupo y separación entre grupos en el mismo espacio de características; comparable entre k y entre algoritmos sin conocer la verdad.</w:t>
            </w:r>
          </w:p>
        </w:tc>
      </w:tr>
      <w:tr>
        <w:tc>
          <w:tcPr>
            <w:tcW w:type="dxa" w:w="2880"/>
          </w:tcPr>
          <w:p>
            <w:r>
              <w:t>hist_davies_bouldin</w:t>
            </w:r>
          </w:p>
        </w:tc>
        <w:tc>
          <w:tcPr>
            <w:tcW w:type="dxa" w:w="2880"/>
          </w:tcPr>
          <w:p>
            <w:r>
              <w:t>Menor es mejor</w:t>
            </w:r>
          </w:p>
        </w:tc>
        <w:tc>
          <w:tcPr>
            <w:tcW w:type="dxa" w:w="2880"/>
          </w:tcPr>
          <w:p>
            <w:r>
              <w:t>Corroboración: promedia la similitud de cada grupo con su vecino más parecido; castiga grupos traslapados.</w:t>
            </w:r>
          </w:p>
        </w:tc>
      </w:tr>
      <w:tr>
        <w:tc>
          <w:tcPr>
            <w:tcW w:type="dxa" w:w="2880"/>
          </w:tcPr>
          <w:p>
            <w:r>
              <w:t>hist_calinski_harabasz</w:t>
            </w:r>
          </w:p>
        </w:tc>
        <w:tc>
          <w:tcPr>
            <w:tcW w:type="dxa" w:w="2880"/>
          </w:tcPr>
          <w:p>
            <w:r>
              <w:t>Mayor es mejor</w:t>
            </w:r>
          </w:p>
        </w:tc>
        <w:tc>
          <w:tcPr>
            <w:tcW w:type="dxa" w:w="2880"/>
          </w:tcPr>
          <w:p>
            <w:r>
              <w:t>Corroboración: razón de dispersión entre grupos contra dentro de grupos; penaliza soluciones con grupos difusos.</w:t>
            </w:r>
          </w:p>
        </w:tc>
      </w:tr>
    </w:tbl>
    <w:p>
      <w:pPr>
        <w:pStyle w:val="Heading2"/>
      </w:pPr>
      <w:r>
        <w:rPr>
          <w:color w:val="1F4E79"/>
        </w:rPr>
        <w:t>5.2 Comparación contra la línea base</w:t>
      </w:r>
    </w:p>
    <w:p>
      <w:r>
        <w:rPr>
          <w:b w:val="0"/>
        </w:rPr>
        <w:t>El criterio de éxito es que el candidato supere a la línea base geográfica en silueta calculada en el espacio de características de uso. La comparación se reporta con las mismas tres métricas para ambos modelos.</w:t>
      </w:r>
    </w:p>
    <w:p>
      <w:pPr>
        <w:pStyle w:val="Heading2"/>
      </w:pPr>
      <w:r>
        <w:rPr>
          <w:color w:val="1F4E79"/>
        </w:rPr>
        <w:t>5.3 Estabilidad temporal entre eras</w:t>
      </w:r>
    </w:p>
    <w:p>
      <w:r>
        <w:rPr>
          <w:b w:val="0"/>
        </w:rPr>
        <w:t>La historia se divide en dos eras disjuntas: Era A (2014-12 a 2020-08, 69 meses) y Era B (2020-09 a 2026-09, 73 meses). Se recalcula la matriz de características con los viajes de cada era (solo estaciones activas en ambas), se aplica el escalador y el modelo ya ajustados con la historia completa, y se mide el índice de Rand ajustado (ARI) entre las dos asignaciones.</w:t>
      </w:r>
    </w:p>
    <w:p>
      <w:pPr>
        <w:pStyle w:val="ListBullet"/>
      </w:pPr>
      <w:r>
        <w:t>estabilidad_eras_ari: un valor alto indica que los grupos no son un artefacto del periodo: las estaciones conservan su rol a través del tiempo, incluyendo la pandemia.</w:t>
      </w:r>
    </w:p>
    <w:p>
      <w:pPr>
        <w:pStyle w:val="ListBullet"/>
      </w:pPr>
      <w:r>
        <w:t>estabilidad_bootstrap_ari: además, se re-entrena el modelo sobre remuestreos del 80 % de las estaciones (30 repeticiones) y se promedia el ARI contra la asignación completa, para verificar que ningún grupo depende de unas pocas estaciones.</w:t>
      </w:r>
    </w:p>
    <w:p>
      <w:pPr>
        <w:pStyle w:val="Heading2"/>
      </w:pPr>
      <w:r>
        <w:rPr>
          <w:color w:val="1F4E79"/>
        </w:rPr>
        <w:t>5.4 Coherencia con la decisión</w:t>
      </w:r>
    </w:p>
    <w:p>
      <w:r>
        <w:rPr>
          <w:b w:val="0"/>
        </w:rPr>
        <w:t>No existe etiqueta real, por lo que la utilidad se juzga por: cohesión y separación internas (silueta, DBI, CHI), estabilidad del resultado (ARI entre eras y bootstrap) e interpretabilidad del mapa y los perfiles por grupo. El entregable final incluye una descripción en lenguaje de negocio de cada grupo (nombre propuesto, perfil horario, rol en la red y ubicación), que es lo que el equipo de planeación consume.</w:t>
      </w:r>
    </w:p>
    <w:p>
      <w:pPr>
        <w:pStyle w:val="Heading1"/>
      </w:pPr>
      <w:r>
        <w:rPr>
          <w:color w:val="1F4E79"/>
        </w:rPr>
        <w:t>6. Experimento base en MLflow</w:t>
      </w:r>
    </w:p>
    <w:p>
      <w:r>
        <w:rPr>
          <w:b w:val="0"/>
        </w:rPr>
        <w:t>Experimento: mibici-equipo52. Los runs se ejecutan desde equipo52_module/modeling/train.py (script del repositorio, no desde el notebook de exploración).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Run</w:t>
            </w:r>
          </w:p>
        </w:tc>
        <w:tc>
          <w:tcPr>
            <w:tcW w:type="dxa" w:w="2880"/>
          </w:tcPr>
          <w:p>
            <w:r>
              <w:rPr>
                <w:b/>
              </w:rPr>
              <w:t>Modelo</w:t>
            </w:r>
          </w:p>
        </w:tc>
        <w:tc>
          <w:tcPr>
            <w:tcW w:type="dxa" w:w="2880"/>
          </w:tcPr>
          <w:p>
            <w:r>
              <w:rPr>
                <w:b/>
              </w:rPr>
              <w:t>Propósito</w:t>
            </w:r>
          </w:p>
        </w:tc>
      </w:tr>
      <w:tr>
        <w:tc>
          <w:tcPr>
            <w:tcW w:type="dxa" w:w="2880"/>
          </w:tcPr>
          <w:p>
            <w:r>
              <w:t>p3-baseline-kmeans-geografico</w:t>
            </w:r>
          </w:p>
        </w:tc>
        <w:tc>
          <w:tcPr>
            <w:tcW w:type="dxa" w:w="2880"/>
          </w:tcPr>
          <w:p>
            <w:r>
              <w:t>KMeans k=5 sobre lat/lon</w:t>
            </w:r>
          </w:p>
        </w:tc>
        <w:tc>
          <w:tcPr>
            <w:tcW w:type="dxa" w:w="2880"/>
          </w:tcPr>
          <w:p>
            <w:r>
              <w:t>Línea base ingenua</w:t>
            </w:r>
          </w:p>
        </w:tc>
      </w:tr>
      <w:tr>
        <w:tc>
          <w:tcPr>
            <w:tcW w:type="dxa" w:w="2880"/>
          </w:tcPr>
          <w:p>
            <w:r>
              <w:t>p3-kmeans-caracteristicas-k{K}</w:t>
            </w:r>
          </w:p>
        </w:tc>
        <w:tc>
          <w:tcPr>
            <w:tcW w:type="dxa" w:w="2880"/>
          </w:tcPr>
          <w:p>
            <w:r>
              <w:t>KMeans sobre matriz A–F, k por silueta</w:t>
            </w:r>
          </w:p>
        </w:tc>
        <w:tc>
          <w:tcPr>
            <w:tcW w:type="dxa" w:w="2880"/>
          </w:tcPr>
          <w:p>
            <w:r>
              <w:t>Candidato principal</w:t>
            </w:r>
          </w:p>
        </w:tc>
      </w:tr>
      <w:tr>
        <w:tc>
          <w:tcPr>
            <w:tcW w:type="dxa" w:w="2880"/>
          </w:tcPr>
          <w:p>
            <w:r>
              <w:t>p3-agglomerative-ward-k{K}</w:t>
            </w:r>
          </w:p>
        </w:tc>
        <w:tc>
          <w:tcPr>
            <w:tcW w:type="dxa" w:w="2880"/>
          </w:tcPr>
          <w:p>
            <w:r>
              <w:t>Ward sobre matriz A–F, mismo k</w:t>
            </w:r>
          </w:p>
        </w:tc>
        <w:tc>
          <w:tcPr>
            <w:tcW w:type="dxa" w:w="2880"/>
          </w:tcPr>
          <w:p>
            <w:r>
              <w:t>Contraste de estructura</w:t>
            </w:r>
          </w:p>
        </w:tc>
      </w:tr>
      <w:tr>
        <w:tc>
          <w:tcPr>
            <w:tcW w:type="dxa" w:w="2880"/>
          </w:tcPr>
          <w:p>
            <w:r>
              <w:t>p3-hdbscan-diagnostico</w:t>
            </w:r>
          </w:p>
        </w:tc>
        <w:tc>
          <w:tcPr>
            <w:tcW w:type="dxa" w:w="2880"/>
          </w:tcPr>
          <w:p>
            <w:r>
              <w:t>HDBSCAN sobre matriz A–F</w:t>
            </w:r>
          </w:p>
        </w:tc>
        <w:tc>
          <w:tcPr>
            <w:tcW w:type="dxa" w:w="2880"/>
          </w:tcPr>
          <w:p>
            <w:r>
              <w:t>Detección de anomalías (complementario)</w:t>
            </w:r>
          </w:p>
        </w:tc>
      </w:tr>
    </w:tbl>
    <w:p>
      <w:pPr>
        <w:pStyle w:val="Heading2"/>
      </w:pPr>
      <w:r>
        <w:rPr>
          <w:color w:val="1F4E79"/>
        </w:rPr>
        <w:t>6.1 Parámetros registrados por run</w:t>
      </w:r>
    </w:p>
    <w:p>
      <w:pPr>
        <w:pStyle w:val="ListBullet"/>
      </w:pPr>
      <w:r>
        <w:t>fecha_inicio = 2014-12-01 y fecha_fin = 2026-09-30 (rango de datos).</w:t>
      </w:r>
    </w:p>
    <w:p>
      <w:pPr>
        <w:pStyle w:val="ListBullet"/>
      </w:pPr>
      <w:r>
        <w:t>version_datos = 2026-09 y sha256 del manifiesto (versión de los datos).</w:t>
      </w:r>
    </w:p>
    <w:p>
      <w:pPr>
        <w:pStyle w:val="ListBullet"/>
      </w:pPr>
      <w:r>
        <w:t>seed = 42.</w:t>
      </w:r>
    </w:p>
    <w:p>
      <w:pPr>
        <w:pStyle w:val="ListBullet"/>
      </w:pPr>
      <w:r>
        <w:t>algoritmo, k (o min_cluster_size para HDBSCAN), n_estaciones, n_caracteristicas y lista de grupos de características usados (A–F).</w:t>
      </w:r>
    </w:p>
    <w:p>
      <w:pPr>
        <w:pStyle w:val="Heading2"/>
      </w:pPr>
      <w:r>
        <w:rPr>
          <w:color w:val="1F4E79"/>
        </w:rPr>
        <w:t>6.2 Métricas registradas</w:t>
      </w:r>
    </w:p>
    <w:p>
      <w:pPr>
        <w:pStyle w:val="ListBullet"/>
      </w:pPr>
      <w:r>
        <w:t>hist_silhouette, hist_davies_bouldin, hist_calinski_harabasz.</w:t>
      </w:r>
    </w:p>
    <w:p>
      <w:pPr>
        <w:pStyle w:val="ListBullet"/>
      </w:pPr>
      <w:r>
        <w:t>estabilidad_eras_ari y estabilidad_bootstrap_ari (solo runs candidatos).</w:t>
      </w:r>
    </w:p>
    <w:p>
      <w:pPr>
        <w:pStyle w:val="ListBullet"/>
      </w:pPr>
      <w:r>
        <w:t>concordancia_ward_kmeans_ari (en el run de Ward, contra el run de K-Means).</w:t>
      </w:r>
    </w:p>
    <w:p>
      <w:pPr>
        <w:pStyle w:val="Heading2"/>
      </w:pPr>
      <w:r>
        <w:rPr>
          <w:color w:val="1F4E79"/>
        </w:rPr>
        <w:t>6.3 Artefactos y etiquetas</w:t>
      </w:r>
    </w:p>
    <w:p>
      <w:pPr>
        <w:pStyle w:val="ListBullet"/>
      </w:pPr>
      <w:r>
        <w:t>mapa_clusters_p3.png: estaciones sobre Guadalajara coloreadas por grupo.</w:t>
      </w:r>
    </w:p>
    <w:p>
      <w:pPr>
        <w:pStyle w:val="ListBullet"/>
      </w:pPr>
      <w:r>
        <w:t>perfiles_horarios_p3.png: curva de proporción de salidas por hora promedio de cada grupo.</w:t>
      </w:r>
    </w:p>
    <w:p>
      <w:pPr>
        <w:pStyle w:val="ListBullet"/>
      </w:pPr>
      <w:r>
        <w:t>dendrograma_p3.png (run Ward) y estaciones_anomalas_p3.csv (run HDBSCAN).</w:t>
      </w:r>
    </w:p>
    <w:p>
      <w:pPr>
        <w:pStyle w:val="ListBullet"/>
      </w:pPr>
      <w:r>
        <w:t>Etiquetas: equipo = 52, pregunta = P3, git_commit = &lt;hash del commit con que se ejecutó&gt;.</w:t>
      </w:r>
    </w:p>
    <w:p>
      <w:pPr>
        <w:pStyle w:val="ListBullet"/>
      </w:pPr>
      <w:r>
        <w:t>No se registran credenciales ni datos personales como parámetros, etiquetas ni artefactos.</w:t>
      </w:r>
    </w:p>
    <w:p>
      <w:pPr>
        <w:pStyle w:val="Heading1"/>
      </w:pPr>
      <w:r>
        <w:rPr>
          <w:color w:val="1F4E79"/>
        </w:rPr>
        <w:t>7. Arquitectura del sistema (componentes de P3)</w:t>
      </w:r>
    </w:p>
    <w:p>
      <w:r>
        <w:rPr>
          <w:b w:val="0"/>
        </w:rPr>
        <w:t>P3 se apoya en la arquitectura común del equipo; sus componentes y conexiones:</w:t>
      </w:r>
    </w:p>
    <w:p>
      <w:pPr>
        <w:pStyle w:val="ListNumber"/>
      </w:pPr>
      <w:r>
        <w:t>Fuente: portal de datos abiertos de MiBici (142 CSV mensuales + nomenclatura).</w:t>
      </w:r>
    </w:p>
    <w:p>
      <w:pPr>
        <w:pStyle w:val="ListNumber"/>
      </w:pPr>
      <w:r>
        <w:t>Ingesta: equipo52_module/dataset.py — descarga, normaliza codificación (utf-8-sig/latin-1) y formatos de fecha, y escribe data/interim/viajes.parquet (~39 M de viajes) y el manifiesto SHA-256 versionado en Git (versionado de datos).</w:t>
      </w:r>
    </w:p>
    <w:p>
      <w:pPr>
        <w:pStyle w:val="ListNumber"/>
      </w:pPr>
      <w:r>
        <w:t>Características: equipo52_module/features.py — funciones por grupo (A–F) que producen data/processed/p3_matriz_estaciones.parquet.</w:t>
      </w:r>
    </w:p>
    <w:p>
      <w:pPr>
        <w:pStyle w:val="ListNumber"/>
      </w:pPr>
      <w:r>
        <w:t>Entrenamiento y evaluación: equipo52_module/modeling/train.py — StandardScaler, barrido de k, K-Means, Ward, HDBSCAN y validación de estabilidad; todo con rutas, fechas y semilla de config.py.</w:t>
      </w:r>
    </w:p>
    <w:p>
      <w:pPr>
        <w:pStyle w:val="ListNumber"/>
      </w:pPr>
      <w:r>
        <w:t>Registro: MLflow Tracking (experimento mibici-equipo52) con parámetros, métricas, artefactos y etiqueta git_commit; los mlruns/ y mlartifacts/ están excluidos de Git.</w:t>
      </w:r>
    </w:p>
    <w:p>
      <w:pPr>
        <w:pStyle w:val="ListNumber"/>
      </w:pPr>
      <w:r>
        <w:t>Salida: figures y tabla de grupos en reports/figures/ y data/processed/; consumibles por el documento de propuesta y por P2 (el grupo de una estación puede ser una característica de riesgo).</w:t>
      </w:r>
    </w:p>
    <w:p>
      <w:r>
        <w:rPr>
          <w:b w:val="0"/>
        </w:rPr>
        <w:t>Herramientas: pandas/pyarrow para el procesamiento a columnas de 39 M de registros; scikit-learn para escalado, K-Means, Ward, HDBSCAN y métricas; matplotlib para los artefactos; MLflow para el registro; typer para la interfaz de terminal. Todas fijadas en requirements.txt.</w:t>
      </w:r>
    </w:p>
    <w:p>
      <w:pPr>
        <w:pStyle w:val="Heading1"/>
      </w:pPr>
      <w:r>
        <w:rPr>
          <w:color w:val="1F4E79"/>
        </w:rPr>
        <w:t>8. Entregables de P3</w:t>
      </w:r>
    </w:p>
    <w:p>
      <w:pPr>
        <w:pStyle w:val="ListBullet"/>
      </w:pPr>
      <w:r>
        <w:t>Matriz estación × característica en data/processed/ (reproducible desde dataset.py + features.py).</w:t>
      </w:r>
    </w:p>
    <w:p>
      <w:pPr>
        <w:pStyle w:val="ListBullet"/>
      </w:pPr>
      <w:r>
        <w:t>Notebook de exploración nombrado con la convención (número-js-p3-*.ipynb) solo para EDA; la lógica final vive en el módulo.</w:t>
      </w:r>
    </w:p>
    <w:p>
      <w:pPr>
        <w:pStyle w:val="ListBullet"/>
      </w:pPr>
      <w:r>
        <w:t>Runs en MLflow con parámetros, métricas, artefactos y etiqueta de commit.</w:t>
      </w:r>
    </w:p>
    <w:p>
      <w:pPr>
        <w:pStyle w:val="ListBullet"/>
      </w:pPr>
      <w:r>
        <w:t>Mapa de grupos, perfiles horarios y dendrograma en reports/figures/.</w:t>
      </w:r>
    </w:p>
    <w:p>
      <w:pPr>
        <w:pStyle w:val="ListBullet"/>
      </w:pPr>
      <w:r>
        <w:t>Tabla de descripción de grupos en lenguaje de negocio para el documento de propuesta.</w:t>
      </w:r>
    </w:p>
    <w:p>
      <w:pPr>
        <w:pStyle w:val="Heading1"/>
      </w:pPr>
      <w:r>
        <w:rPr>
          <w:color w:val="1F4E79"/>
        </w:rPr>
        <w:t>9. Resumen tipo ML Canvas (P3)</w:t>
      </w:r>
    </w:p>
    <w:tbl>
      <w:tblPr>
        <w:tblStyle w:val="TableGrid"/>
        <w:tblW w:type="auto" w:w="0"/>
        <w:tblLook w:firstColumn="1" w:firstRow="1" w:lastColumn="0" w:lastRow="0" w:noHBand="0" w:noVBand="1" w:val="04A0"/>
      </w:tblPr>
      <w:tblGrid>
        <w:gridCol w:w="4320"/>
        <w:gridCol w:w="4320"/>
      </w:tblGrid>
      <w:tr>
        <w:tc>
          <w:tcPr>
            <w:tcW w:type="dxa" w:w="4320"/>
          </w:tcPr>
          <w:p>
            <w:r>
              <w:rPr>
                <w:b/>
              </w:rPr>
              <w:t>Elemento</w:t>
            </w:r>
          </w:p>
        </w:tc>
        <w:tc>
          <w:tcPr>
            <w:tcW w:type="dxa" w:w="4320"/>
          </w:tcPr>
          <w:p>
            <w:r>
              <w:rPr>
                <w:b/>
              </w:rPr>
              <w:t>Contenido</w:t>
            </w:r>
          </w:p>
        </w:tc>
      </w:tr>
      <w:tr>
        <w:tc>
          <w:tcPr>
            <w:tcW w:type="dxa" w:w="4320"/>
          </w:tcPr>
          <w:p>
            <w:r>
              <w:t>Proposición de valor</w:t>
            </w:r>
          </w:p>
        </w:tc>
        <w:tc>
          <w:tcPr>
            <w:tcW w:type="dxa" w:w="4320"/>
          </w:tcPr>
          <w:p>
            <w:r>
              <w:t>Convertir 39 M de viajes históricos en una tipología de estaciones accionable para rebalanceo y expansión.</w:t>
            </w:r>
          </w:p>
        </w:tc>
      </w:tr>
      <w:tr>
        <w:tc>
          <w:tcPr>
            <w:tcW w:type="dxa" w:w="4320"/>
          </w:tcPr>
          <w:p>
            <w:r>
              <w:t>Qué se produce</w:t>
            </w:r>
          </w:p>
        </w:tc>
        <w:tc>
          <w:tcPr>
            <w:tcW w:type="dxa" w:w="4320"/>
          </w:tcPr>
          <w:p>
            <w:r>
              <w:t>Una etiqueta de grupo por estación + descripción de cada grupo + mapa.</w:t>
            </w:r>
          </w:p>
        </w:tc>
      </w:tr>
      <w:tr>
        <w:tc>
          <w:tcPr>
            <w:tcW w:type="dxa" w:w="4320"/>
          </w:tcPr>
          <w:p>
            <w:r>
              <w:t>Datos</w:t>
            </w:r>
          </w:p>
        </w:tc>
        <w:tc>
          <w:tcPr>
            <w:tcW w:type="dxa" w:w="4320"/>
          </w:tcPr>
          <w:p>
            <w:r>
              <w:t>Viajes MiBici 2014-12 a 2026-09 (versión 2026-09) + nomenclatura; sin datos personales.</w:t>
            </w:r>
          </w:p>
        </w:tc>
      </w:tr>
      <w:tr>
        <w:tc>
          <w:tcPr>
            <w:tcW w:type="dxa" w:w="4320"/>
          </w:tcPr>
          <w:p>
            <w:r>
              <w:t>Características</w:t>
            </w:r>
          </w:p>
        </w:tc>
        <w:tc>
          <w:tcPr>
            <w:tcW w:type="dxa" w:w="4320"/>
          </w:tcPr>
          <w:p>
            <w:r>
              <w:t>Firmas horaria y semanal, nivel de actividad por anclaje, balance de flujos, tipo de viaje y evolución histórica (grupos A–F).</w:t>
            </w:r>
          </w:p>
        </w:tc>
      </w:tr>
      <w:tr>
        <w:tc>
          <w:tcPr>
            <w:tcW w:type="dxa" w:w="4320"/>
          </w:tcPr>
          <w:p>
            <w:r>
              <w:t>Modelos</w:t>
            </w:r>
          </w:p>
        </w:tc>
        <w:tc>
          <w:tcPr>
            <w:tcW w:type="dxa" w:w="4320"/>
          </w:tcPr>
          <w:p>
            <w:r>
              <w:t>Base: K-Means geográfico. Candidatos: K-Means sobre características, Ward; HDBSCAN como diagnóstico.</w:t>
            </w:r>
          </w:p>
        </w:tc>
      </w:tr>
      <w:tr>
        <w:tc>
          <w:tcPr>
            <w:tcW w:type="dxa" w:w="4320"/>
          </w:tcPr>
          <w:p>
            <w:r>
              <w:t>Métricas offline</w:t>
            </w:r>
          </w:p>
        </w:tc>
        <w:tc>
          <w:tcPr>
            <w:tcW w:type="dxa" w:w="4320"/>
          </w:tcPr>
          <w:p>
            <w:r>
              <w:t>Silueta, Davies-Bouldin, Calinski-Harabasz; estabilidad por ARI entre eras y bootstrap.</w:t>
            </w:r>
          </w:p>
        </w:tc>
      </w:tr>
      <w:tr>
        <w:tc>
          <w:tcPr>
            <w:tcW w:type="dxa" w:w="4320"/>
          </w:tcPr>
          <w:p>
            <w:r>
              <w:t>Decisión que habilita</w:t>
            </w:r>
          </w:p>
        </w:tc>
        <w:tc>
          <w:tcPr>
            <w:tcW w:type="dxa" w:w="4320"/>
          </w:tcPr>
          <w:p>
            <w:r>
              <w:t>Planeación de expansión y rebalanceo diferenciada por tipo de estación; detección de estaciones anómalas.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