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F8A81"/>
          <w:sz w:val="18"/>
        </w:rPr>
        <w:t>THE LOOKING GLASS BEAUTY SCHOOL</w:t>
      </w:r>
    </w:p>
    <w:p>
      <w:r>
        <w:rPr>
          <w:b/>
          <w:sz w:val="36"/>
        </w:rPr>
        <w:t>B02  Theory Assessment Paper</w:t>
      </w:r>
    </w:p>
    <w:p>
      <w:r>
        <w:rPr>
          <w:i/>
          <w:sz w:val="20"/>
        </w:rPr>
        <w:t>Written assessment, 50 marks. Pass mark 40 (80%). Closed book. Time allowed: 60 minutes.</w:t>
      </w:r>
    </w:p>
    <w:p>
      <w:r>
        <w:rPr>
          <w:sz w:val="17"/>
        </w:rPr>
        <w:t>Builder Gel Overlay and Short Extension CPD Course  |  Course author: Jessica Jane Preston  |  Version 1.1, October 2026  |  Continuing Professional Development activity, not a regulated qualification.</w:t>
      </w:r>
    </w:p>
    <w:p>
      <w:r>
        <w:rPr>
          <w:b w:val="0"/>
          <w:i w:val="0"/>
          <w:sz w:val="19"/>
        </w:rPr>
        <w:t>Learner name: ____________________________    Date: ______________    Tutor: ____________________________</w:t>
      </w:r>
    </w:p>
    <w:p>
      <w:r>
        <w:rPr>
          <w:b w:val="0"/>
          <w:i w:val="0"/>
          <w:sz w:val="19"/>
        </w:rPr>
        <w:t>Instructions: Section 1 has 20 multiple-choice questions worth 1 mark each (circle one answer). Section 2 has 10 short-answer questions worth 2 marks each. Section 3 has 2 scenarios worth 5 marks each. Any answer that instructs curing product on skin, deliberate under-curing, ignoring a client reporting heat, electric-file work on the natural nail, or concealing an active infection must be corrected with the tutor before a pass is awarded, whatever the total. Reasonable adjustments (reader, scribe, extra time, oral answers) are available on request without changing the content.</w:t>
      </w:r>
    </w:p>
    <w:p>
      <w:pPr>
        <w:spacing w:before="200" w:after="60"/>
      </w:pPr>
      <w:r>
        <w:rPr>
          <w:b/>
          <w:color w:val="4F8A81"/>
          <w:sz w:val="26"/>
        </w:rPr>
        <w:t>Section 1: multiple choice (20 marks)</w:t>
      </w:r>
    </w:p>
    <w:p>
      <w:r>
        <w:rPr>
          <w:b/>
          <w:i w:val="0"/>
          <w:sz w:val="20"/>
        </w:rPr>
        <w:t>1. What does a photoinitiator do in a builder gel?</w:t>
      </w:r>
    </w:p>
    <w:p>
      <w:r>
        <w:rPr>
          <w:b w:val="0"/>
          <w:i w:val="0"/>
          <w:sz w:val="20"/>
        </w:rPr>
        <w:t xml:space="preserve">      a)  Dries the gel by evaporation</w:t>
      </w:r>
    </w:p>
    <w:p>
      <w:r>
        <w:rPr>
          <w:b w:val="0"/>
          <w:i w:val="0"/>
          <w:sz w:val="20"/>
        </w:rPr>
        <w:t xml:space="preserve">      b)  Absorbs the lamp's light and starts the polymerisation reaction</w:t>
      </w:r>
    </w:p>
    <w:p>
      <w:r>
        <w:rPr>
          <w:b w:val="0"/>
          <w:i w:val="0"/>
          <w:sz w:val="20"/>
        </w:rPr>
        <w:t xml:space="preserve">      c)  Keeps the gel soft</w:t>
      </w:r>
    </w:p>
    <w:p>
      <w:r>
        <w:rPr>
          <w:b w:val="0"/>
          <w:i w:val="0"/>
          <w:sz w:val="20"/>
        </w:rPr>
        <w:t xml:space="preserve">      d)  Colours the gel</w:t>
      </w:r>
    </w:p>
    <w:p>
      <w:r>
        <w:rPr>
          <w:b/>
          <w:i w:val="0"/>
          <w:sz w:val="20"/>
        </w:rPr>
        <w:t>2. Which statement about LED nail lamps is correct?</w:t>
      </w:r>
    </w:p>
    <w:p>
      <w:r>
        <w:rPr>
          <w:b w:val="0"/>
          <w:i w:val="0"/>
          <w:sz w:val="20"/>
        </w:rPr>
        <w:t xml:space="preserve">      a)  They emit no ultraviolet light</w:t>
      </w:r>
    </w:p>
    <w:p>
      <w:r>
        <w:rPr>
          <w:b w:val="0"/>
          <w:i w:val="0"/>
          <w:sz w:val="20"/>
        </w:rPr>
        <w:t xml:space="preserve">      b)  They cure any gel regardless of brand</w:t>
      </w:r>
    </w:p>
    <w:p>
      <w:r>
        <w:rPr>
          <w:b w:val="0"/>
          <w:i w:val="0"/>
          <w:sz w:val="20"/>
        </w:rPr>
        <w:t xml:space="preserve">      c)  They emit ultraviolet wavelengths that the gel's photoinitiators must match</w:t>
      </w:r>
    </w:p>
    <w:p>
      <w:r>
        <w:rPr>
          <w:b w:val="0"/>
          <w:i w:val="0"/>
          <w:sz w:val="20"/>
        </w:rPr>
        <w:t xml:space="preserve">      d)  Wattage alone proves a lamp will cure a product</w:t>
      </w:r>
    </w:p>
    <w:p>
      <w:r>
        <w:rPr>
          <w:b/>
          <w:i w:val="0"/>
          <w:sz w:val="20"/>
        </w:rPr>
        <w:t>3. Where should the apex of a builder gel overlay sit?</w:t>
      </w:r>
    </w:p>
    <w:p>
      <w:r>
        <w:rPr>
          <w:b w:val="0"/>
          <w:i w:val="0"/>
          <w:sz w:val="20"/>
        </w:rPr>
        <w:t xml:space="preserve">      a)  At the free edge</w:t>
      </w:r>
    </w:p>
    <w:p>
      <w:r>
        <w:rPr>
          <w:b w:val="0"/>
          <w:i w:val="0"/>
          <w:sz w:val="20"/>
        </w:rPr>
        <w:t xml:space="preserve">      b)  In the back third of the nail, behind the stress area</w:t>
      </w:r>
    </w:p>
    <w:p>
      <w:r>
        <w:rPr>
          <w:b w:val="0"/>
          <w:i w:val="0"/>
          <w:sz w:val="20"/>
        </w:rPr>
        <w:t xml:space="preserve">      c)  At the cuticle</w:t>
      </w:r>
    </w:p>
    <w:p>
      <w:r>
        <w:rPr>
          <w:b w:val="0"/>
          <w:i w:val="0"/>
          <w:sz w:val="20"/>
        </w:rPr>
        <w:t xml:space="preserve">      d)  Exactly in the centre</w:t>
      </w:r>
    </w:p>
    <w:p>
      <w:r>
        <w:rPr>
          <w:b/>
          <w:i w:val="0"/>
          <w:sz w:val="20"/>
        </w:rPr>
        <w:t>4. A client reports burning under the nail during cure. The first action is:</w:t>
      </w:r>
    </w:p>
    <w:p>
      <w:r>
        <w:rPr>
          <w:b w:val="0"/>
          <w:i w:val="0"/>
          <w:sz w:val="20"/>
        </w:rPr>
        <w:t xml:space="preserve">      a)  Tell them it will pass</w:t>
      </w:r>
    </w:p>
    <w:p>
      <w:r>
        <w:rPr>
          <w:b w:val="0"/>
          <w:i w:val="0"/>
          <w:sz w:val="20"/>
        </w:rPr>
        <w:t xml:space="preserve">      b)  Reduce the next cure time</w:t>
      </w:r>
    </w:p>
    <w:p>
      <w:r>
        <w:rPr>
          <w:b w:val="0"/>
          <w:i w:val="0"/>
          <w:sz w:val="20"/>
        </w:rPr>
        <w:t xml:space="preserve">      c)  Have them take the hand out of the lamp immediately</w:t>
      </w:r>
    </w:p>
    <w:p>
      <w:r>
        <w:rPr>
          <w:b w:val="0"/>
          <w:i w:val="0"/>
          <w:sz w:val="20"/>
        </w:rPr>
        <w:t xml:space="preserve">      d)  Add more product to insulate the nail</w:t>
      </w:r>
    </w:p>
    <w:p>
      <w:r>
        <w:rPr>
          <w:b/>
          <w:i w:val="0"/>
          <w:sz w:val="20"/>
        </w:rPr>
        <w:t>5. Why is builder gel built in thin layers?</w:t>
      </w:r>
    </w:p>
    <w:p>
      <w:r>
        <w:rPr>
          <w:b w:val="0"/>
          <w:i w:val="0"/>
          <w:sz w:val="20"/>
        </w:rPr>
        <w:t xml:space="preserve">      a)  To save product</w:t>
      </w:r>
    </w:p>
    <w:p>
      <w:r>
        <w:rPr>
          <w:b w:val="0"/>
          <w:i w:val="0"/>
          <w:sz w:val="20"/>
        </w:rPr>
        <w:t xml:space="preserve">      b)  So light cures through the full depth and less heat is released at once</w:t>
      </w:r>
    </w:p>
    <w:p>
      <w:r>
        <w:rPr>
          <w:b w:val="0"/>
          <w:i w:val="0"/>
          <w:sz w:val="20"/>
        </w:rPr>
        <w:t xml:space="preserve">      c)  Because it is cheaper</w:t>
      </w:r>
    </w:p>
    <w:p>
      <w:r>
        <w:rPr>
          <w:b w:val="0"/>
          <w:i w:val="0"/>
          <w:sz w:val="20"/>
        </w:rPr>
        <w:t xml:space="preserve">      d)  To make the apex flatter</w:t>
      </w:r>
    </w:p>
    <w:p>
      <w:r>
        <w:rPr>
          <w:b/>
          <w:i w:val="0"/>
          <w:sz w:val="20"/>
        </w:rPr>
        <w:t>6. The tacky surface left after curing is:</w:t>
      </w:r>
    </w:p>
    <w:p>
      <w:r>
        <w:rPr>
          <w:b w:val="0"/>
          <w:i w:val="0"/>
          <w:sz w:val="20"/>
        </w:rPr>
        <w:t xml:space="preserve">      a)  Proof the gel is under-cured</w:t>
      </w:r>
    </w:p>
    <w:p>
      <w:r>
        <w:rPr>
          <w:b w:val="0"/>
          <w:i w:val="0"/>
          <w:sz w:val="20"/>
        </w:rPr>
        <w:t xml:space="preserve">      b)  Monomer pushed to the top</w:t>
      </w:r>
    </w:p>
    <w:p>
      <w:r>
        <w:rPr>
          <w:b w:val="0"/>
          <w:i w:val="0"/>
          <w:sz w:val="20"/>
        </w:rPr>
        <w:t xml:space="preserve">      c)  The oxygen-inhibition layer, removed with the specified cleanser</w:t>
      </w:r>
    </w:p>
    <w:p>
      <w:r>
        <w:rPr>
          <w:b w:val="0"/>
          <w:i w:val="0"/>
          <w:sz w:val="20"/>
        </w:rPr>
        <w:t xml:space="preserve">      d)  Dirt from the lamp</w:t>
      </w:r>
    </w:p>
    <w:p>
      <w:r>
        <w:rPr>
          <w:b/>
          <w:i w:val="0"/>
          <w:sz w:val="20"/>
        </w:rPr>
        <w:t>7. Which of these is a contraindication requiring the service to be refused?</w:t>
      </w:r>
    </w:p>
    <w:p>
      <w:r>
        <w:rPr>
          <w:b w:val="0"/>
          <w:i w:val="0"/>
          <w:sz w:val="20"/>
        </w:rPr>
        <w:t xml:space="preserve">      a)  Mild ridging on an otherwise healthy nail</w:t>
      </w:r>
    </w:p>
    <w:p>
      <w:r>
        <w:rPr>
          <w:b w:val="0"/>
          <w:i w:val="0"/>
          <w:sz w:val="20"/>
        </w:rPr>
        <w:t xml:space="preserve">      b)  A few white spots growing out</w:t>
      </w:r>
    </w:p>
    <w:p>
      <w:r>
        <w:rPr>
          <w:b w:val="0"/>
          <w:i w:val="0"/>
          <w:sz w:val="20"/>
        </w:rPr>
        <w:t xml:space="preserve">      c)  A red, swollen nail fold with pus</w:t>
      </w:r>
    </w:p>
    <w:p>
      <w:r>
        <w:rPr>
          <w:b w:val="0"/>
          <w:i w:val="0"/>
          <w:sz w:val="20"/>
        </w:rPr>
        <w:t xml:space="preserve">      d)  Short natural nails</w:t>
      </w:r>
    </w:p>
    <w:p>
      <w:r>
        <w:rPr>
          <w:b/>
          <w:i w:val="0"/>
          <w:sz w:val="20"/>
        </w:rPr>
        <w:t>8. Green discolouration under a lifted overlay is most commonly associated with:</w:t>
      </w:r>
    </w:p>
    <w:p>
      <w:r>
        <w:rPr>
          <w:b w:val="0"/>
          <w:i w:val="0"/>
          <w:sz w:val="20"/>
        </w:rPr>
        <w:t xml:space="preserve">      a)  Fungus</w:t>
      </w:r>
    </w:p>
    <w:p>
      <w:r>
        <w:rPr>
          <w:b w:val="0"/>
          <w:i w:val="0"/>
          <w:sz w:val="20"/>
        </w:rPr>
        <w:t xml:space="preserve">      b)  Bacterial colonisation (Pseudomonas) in a moist space</w:t>
      </w:r>
    </w:p>
    <w:p>
      <w:r>
        <w:rPr>
          <w:b w:val="0"/>
          <w:i w:val="0"/>
          <w:sz w:val="20"/>
        </w:rPr>
        <w:t xml:space="preserve">      c)  Bruising</w:t>
      </w:r>
    </w:p>
    <w:p>
      <w:r>
        <w:rPr>
          <w:b w:val="0"/>
          <w:i w:val="0"/>
          <w:sz w:val="20"/>
        </w:rPr>
        <w:t xml:space="preserve">      d)  Poor quality product</w:t>
      </w:r>
    </w:p>
    <w:p>
      <w:r>
        <w:rPr>
          <w:b/>
          <w:i w:val="0"/>
          <w:sz w:val="20"/>
        </w:rPr>
        <w:t>9. The cuticle that may be removed during preparation is:</w:t>
      </w:r>
    </w:p>
    <w:p>
      <w:r>
        <w:rPr>
          <w:b w:val="0"/>
          <w:i w:val="0"/>
          <w:sz w:val="20"/>
        </w:rPr>
        <w:t xml:space="preserve">      a)  The living eponychium</w:t>
      </w:r>
    </w:p>
    <w:p>
      <w:r>
        <w:rPr>
          <w:b w:val="0"/>
          <w:i w:val="0"/>
          <w:sz w:val="20"/>
        </w:rPr>
        <w:t xml:space="preserve">      b)  The proximal nail fold</w:t>
      </w:r>
    </w:p>
    <w:p>
      <w:r>
        <w:rPr>
          <w:b w:val="0"/>
          <w:i w:val="0"/>
          <w:sz w:val="20"/>
        </w:rPr>
        <w:t xml:space="preserve">      c)  Loose, non-living tissue adhered to the plate</w:t>
      </w:r>
    </w:p>
    <w:p>
      <w:r>
        <w:rPr>
          <w:b w:val="0"/>
          <w:i w:val="0"/>
          <w:sz w:val="20"/>
        </w:rPr>
        <w:t xml:space="preserve">      d)  The hyponychium</w:t>
      </w:r>
    </w:p>
    <w:p>
      <w:r>
        <w:rPr>
          <w:b/>
          <w:i w:val="0"/>
          <w:sz w:val="20"/>
        </w:rPr>
        <w:t>10. Which grit is appropriate for de-shining the natural nail?</w:t>
      </w:r>
    </w:p>
    <w:p>
      <w:r>
        <w:rPr>
          <w:b w:val="0"/>
          <w:i w:val="0"/>
          <w:sz w:val="20"/>
        </w:rPr>
        <w:t xml:space="preserve">      a)  80</w:t>
      </w:r>
    </w:p>
    <w:p>
      <w:r>
        <w:rPr>
          <w:b w:val="0"/>
          <w:i w:val="0"/>
          <w:sz w:val="20"/>
        </w:rPr>
        <w:t xml:space="preserve">      b)  100</w:t>
      </w:r>
    </w:p>
    <w:p>
      <w:r>
        <w:rPr>
          <w:b w:val="0"/>
          <w:i w:val="0"/>
          <w:sz w:val="20"/>
        </w:rPr>
        <w:t xml:space="preserve">      c)  180</w:t>
      </w:r>
    </w:p>
    <w:p>
      <w:r>
        <w:rPr>
          <w:b w:val="0"/>
          <w:i w:val="0"/>
          <w:sz w:val="20"/>
        </w:rPr>
        <w:t xml:space="preserve">      d)  240 or finer</w:t>
      </w:r>
    </w:p>
    <w:p>
      <w:r>
        <w:rPr>
          <w:b/>
          <w:i w:val="0"/>
          <w:sz w:val="20"/>
        </w:rPr>
        <w:t>11. Why is a hairline gap left at the cuticle?</w:t>
      </w:r>
    </w:p>
    <w:p>
      <w:r>
        <w:rPr>
          <w:b w:val="0"/>
          <w:i w:val="0"/>
          <w:sz w:val="20"/>
        </w:rPr>
        <w:t xml:space="preserve">      a)  It looks neater</w:t>
      </w:r>
    </w:p>
    <w:p>
      <w:r>
        <w:rPr>
          <w:b w:val="0"/>
          <w:i w:val="0"/>
          <w:sz w:val="20"/>
        </w:rPr>
        <w:t xml:space="preserve">      b)  Product on the fold lifts and is a direct sensitisation risk</w:t>
      </w:r>
    </w:p>
    <w:p>
      <w:r>
        <w:rPr>
          <w:b w:val="0"/>
          <w:i w:val="0"/>
          <w:sz w:val="20"/>
        </w:rPr>
        <w:t xml:space="preserve">      c)  It saves time</w:t>
      </w:r>
    </w:p>
    <w:p>
      <w:r>
        <w:rPr>
          <w:b w:val="0"/>
          <w:i w:val="0"/>
          <w:sz w:val="20"/>
        </w:rPr>
        <w:t xml:space="preserve">      d)  The lamp cannot reach the cuticle</w:t>
      </w:r>
    </w:p>
    <w:p>
      <w:r>
        <w:rPr>
          <w:b/>
          <w:i w:val="0"/>
          <w:sz w:val="20"/>
        </w:rPr>
        <w:t>12. Which ingredients are most often implicated in gel nail allergy?</w:t>
      </w:r>
    </w:p>
    <w:p>
      <w:r>
        <w:rPr>
          <w:b w:val="0"/>
          <w:i w:val="0"/>
          <w:sz w:val="20"/>
        </w:rPr>
        <w:t xml:space="preserve">      a)  Pigments</w:t>
      </w:r>
    </w:p>
    <w:p>
      <w:r>
        <w:rPr>
          <w:b w:val="0"/>
          <w:i w:val="0"/>
          <w:sz w:val="20"/>
        </w:rPr>
        <w:t xml:space="preserve">      b)  HEMA and di-HEMA TMHDC</w:t>
      </w:r>
    </w:p>
    <w:p>
      <w:r>
        <w:rPr>
          <w:b w:val="0"/>
          <w:i w:val="0"/>
          <w:sz w:val="20"/>
        </w:rPr>
        <w:t xml:space="preserve">      c)  Acetone</w:t>
      </w:r>
    </w:p>
    <w:p>
      <w:r>
        <w:rPr>
          <w:b w:val="0"/>
          <w:i w:val="0"/>
          <w:sz w:val="20"/>
        </w:rPr>
        <w:t xml:space="preserve">      d)  Isopropyl alcohol</w:t>
      </w:r>
    </w:p>
    <w:p>
      <w:r>
        <w:rPr>
          <w:b/>
          <w:i w:val="0"/>
          <w:sz w:val="20"/>
        </w:rPr>
        <w:t>13. 'HEMA-free' on a label means:</w:t>
      </w:r>
    </w:p>
    <w:p>
      <w:r>
        <w:rPr>
          <w:b w:val="0"/>
          <w:i w:val="0"/>
          <w:sz w:val="20"/>
        </w:rPr>
        <w:t xml:space="preserve">      a)  The product cannot cause allergy</w:t>
      </w:r>
    </w:p>
    <w:p>
      <w:r>
        <w:rPr>
          <w:b w:val="0"/>
          <w:i w:val="0"/>
          <w:sz w:val="20"/>
        </w:rPr>
        <w:t xml:space="preserve">      b)  The product is acrylate-free</w:t>
      </w:r>
    </w:p>
    <w:p>
      <w:r>
        <w:rPr>
          <w:b w:val="0"/>
          <w:i w:val="0"/>
          <w:sz w:val="20"/>
        </w:rPr>
        <w:t xml:space="preserve">      c)  The product does not contain HEMA; other ingredients can still sensitise</w:t>
      </w:r>
    </w:p>
    <w:p>
      <w:r>
        <w:rPr>
          <w:b w:val="0"/>
          <w:i w:val="0"/>
          <w:sz w:val="20"/>
        </w:rPr>
        <w:t xml:space="preserve">      d)  No patch test is needed</w:t>
      </w:r>
    </w:p>
    <w:p>
      <w:r>
        <w:rPr>
          <w:b/>
          <w:i w:val="0"/>
          <w:sz w:val="20"/>
        </w:rPr>
        <w:t>14. A builder gel labelled as file-off should be removed by:</w:t>
      </w:r>
    </w:p>
    <w:p>
      <w:r>
        <w:rPr>
          <w:b w:val="0"/>
          <w:i w:val="0"/>
          <w:sz w:val="20"/>
        </w:rPr>
        <w:t xml:space="preserve">      a)  Soaking in acetone for 20 minutes</w:t>
      </w:r>
    </w:p>
    <w:p>
      <w:r>
        <w:rPr>
          <w:b w:val="0"/>
          <w:i w:val="0"/>
          <w:sz w:val="20"/>
        </w:rPr>
        <w:t xml:space="preserve">      b)  Prising with a metal tool</w:t>
      </w:r>
    </w:p>
    <w:p>
      <w:r>
        <w:rPr>
          <w:b w:val="0"/>
          <w:i w:val="0"/>
          <w:sz w:val="20"/>
        </w:rPr>
        <w:t xml:space="preserve">      c)  Reducing carefully with a file and buffing the remainder, stopping at the natural nail</w:t>
      </w:r>
    </w:p>
    <w:p>
      <w:r>
        <w:rPr>
          <w:b w:val="0"/>
          <w:i w:val="0"/>
          <w:sz w:val="20"/>
        </w:rPr>
        <w:t xml:space="preserve">      d)  Peeling</w:t>
      </w:r>
    </w:p>
    <w:p>
      <w:r>
        <w:rPr>
          <w:b/>
          <w:i w:val="0"/>
          <w:sz w:val="20"/>
        </w:rPr>
        <w:t>15. At an infill, the old apex must be:</w:t>
      </w:r>
    </w:p>
    <w:p>
      <w:r>
        <w:rPr>
          <w:b w:val="0"/>
          <w:i w:val="0"/>
          <w:sz w:val="20"/>
        </w:rPr>
        <w:t xml:space="preserve">      a)  Left in place and filled around</w:t>
      </w:r>
    </w:p>
    <w:p>
      <w:r>
        <w:rPr>
          <w:b w:val="0"/>
          <w:i w:val="0"/>
          <w:sz w:val="20"/>
        </w:rPr>
        <w:t xml:space="preserve">      b)  Reduced so the new apex can be rebuilt in the back third</w:t>
      </w:r>
    </w:p>
    <w:p>
      <w:r>
        <w:rPr>
          <w:b w:val="0"/>
          <w:i w:val="0"/>
          <w:sz w:val="20"/>
        </w:rPr>
        <w:t xml:space="preserve">      c)  Made higher</w:t>
      </w:r>
    </w:p>
    <w:p>
      <w:r>
        <w:rPr>
          <w:b w:val="0"/>
          <w:i w:val="0"/>
          <w:sz w:val="20"/>
        </w:rPr>
        <w:t xml:space="preserve">      d)  Removed with acetone</w:t>
      </w:r>
    </w:p>
    <w:p>
      <w:r>
        <w:rPr>
          <w:b/>
          <w:i w:val="0"/>
          <w:sz w:val="20"/>
        </w:rPr>
        <w:t>16. A short extension on a form: where is the apex built?</w:t>
      </w:r>
    </w:p>
    <w:p>
      <w:r>
        <w:rPr>
          <w:b w:val="0"/>
          <w:i w:val="0"/>
          <w:sz w:val="20"/>
        </w:rPr>
        <w:t xml:space="preserve">      a)  Out on the extension</w:t>
      </w:r>
    </w:p>
    <w:p>
      <w:r>
        <w:rPr>
          <w:b w:val="0"/>
          <w:i w:val="0"/>
          <w:sz w:val="20"/>
        </w:rPr>
        <w:t xml:space="preserve">      b)  Behind the stress area, in the back third</w:t>
      </w:r>
    </w:p>
    <w:p>
      <w:r>
        <w:rPr>
          <w:b w:val="0"/>
          <w:i w:val="0"/>
          <w:sz w:val="20"/>
        </w:rPr>
        <w:t xml:space="preserve">      c)  At the smile line</w:t>
      </w:r>
    </w:p>
    <w:p>
      <w:r>
        <w:rPr>
          <w:b w:val="0"/>
          <w:i w:val="0"/>
          <w:sz w:val="20"/>
        </w:rPr>
        <w:t xml:space="preserve">      d)  Wherever the product levels</w:t>
      </w:r>
    </w:p>
    <w:p>
      <w:r>
        <w:rPr>
          <w:b/>
          <w:i w:val="0"/>
          <w:sz w:val="20"/>
        </w:rPr>
        <w:t>17. Which regulation requires an employer to assess and control exposure to hazardous substances such as gel and dust?</w:t>
      </w:r>
    </w:p>
    <w:p>
      <w:r>
        <w:rPr>
          <w:b w:val="0"/>
          <w:i w:val="0"/>
          <w:sz w:val="20"/>
        </w:rPr>
        <w:t xml:space="preserve">      a)  Consumer Rights Act 2015</w:t>
      </w:r>
    </w:p>
    <w:p>
      <w:r>
        <w:rPr>
          <w:b w:val="0"/>
          <w:i w:val="0"/>
          <w:sz w:val="20"/>
        </w:rPr>
        <w:t xml:space="preserve">      b)  COSHH Regulations 2002</w:t>
      </w:r>
    </w:p>
    <w:p>
      <w:r>
        <w:rPr>
          <w:b w:val="0"/>
          <w:i w:val="0"/>
          <w:sz w:val="20"/>
        </w:rPr>
        <w:t xml:space="preserve">      c)  Equality Act 2010</w:t>
      </w:r>
    </w:p>
    <w:p>
      <w:r>
        <w:rPr>
          <w:b w:val="0"/>
          <w:i w:val="0"/>
          <w:sz w:val="20"/>
        </w:rPr>
        <w:t xml:space="preserve">      d)  WEEE Regulations 2013</w:t>
      </w:r>
    </w:p>
    <w:p>
      <w:r>
        <w:rPr>
          <w:b/>
          <w:i w:val="0"/>
          <w:sz w:val="20"/>
        </w:rPr>
        <w:t>18. A new, changing dark band running the length of a nail plate should be:</w:t>
      </w:r>
    </w:p>
    <w:p>
      <w:r>
        <w:rPr>
          <w:b w:val="0"/>
          <w:i w:val="0"/>
          <w:sz w:val="20"/>
        </w:rPr>
        <w:t xml:space="preserve">      a)  Covered with an opaque colour</w:t>
      </w:r>
    </w:p>
    <w:p>
      <w:r>
        <w:rPr>
          <w:b w:val="0"/>
          <w:i w:val="0"/>
          <w:sz w:val="20"/>
        </w:rPr>
        <w:t xml:space="preserve">      b)  Filed lightly</w:t>
      </w:r>
    </w:p>
    <w:p>
      <w:r>
        <w:rPr>
          <w:b w:val="0"/>
          <w:i w:val="0"/>
          <w:sz w:val="20"/>
        </w:rPr>
        <w:t xml:space="preserve">      c)  Not covered; the client advised to see their GP urgently</w:t>
      </w:r>
    </w:p>
    <w:p>
      <w:r>
        <w:rPr>
          <w:b w:val="0"/>
          <w:i w:val="0"/>
          <w:sz w:val="20"/>
        </w:rPr>
        <w:t xml:space="preserve">      d)  Treated with cuticle oil</w:t>
      </w:r>
    </w:p>
    <w:p>
      <w:r>
        <w:rPr>
          <w:b/>
          <w:i w:val="0"/>
          <w:sz w:val="20"/>
        </w:rPr>
        <w:t>19. Health information on a consultation form is:</w:t>
      </w:r>
    </w:p>
    <w:p>
      <w:r>
        <w:rPr>
          <w:b w:val="0"/>
          <w:i w:val="0"/>
          <w:sz w:val="20"/>
        </w:rPr>
        <w:t xml:space="preserve">      a)  Ordinary personal data</w:t>
      </w:r>
    </w:p>
    <w:p>
      <w:r>
        <w:rPr>
          <w:b w:val="0"/>
          <w:i w:val="0"/>
          <w:sz w:val="20"/>
        </w:rPr>
        <w:t xml:space="preserve">      b)  Special-category data under UK GDPR, needing an Article 9 condition</w:t>
      </w:r>
    </w:p>
    <w:p>
      <w:r>
        <w:rPr>
          <w:b w:val="0"/>
          <w:i w:val="0"/>
          <w:sz w:val="20"/>
        </w:rPr>
        <w:t xml:space="preserve">      c)  Not personal data</w:t>
      </w:r>
    </w:p>
    <w:p>
      <w:r>
        <w:rPr>
          <w:b w:val="0"/>
          <w:i w:val="0"/>
          <w:sz w:val="20"/>
        </w:rPr>
        <w:t xml:space="preserve">      d)  Exempt from retention rules</w:t>
      </w:r>
    </w:p>
    <w:p>
      <w:r>
        <w:rPr>
          <w:b/>
          <w:i w:val="0"/>
          <w:sz w:val="20"/>
        </w:rPr>
        <w:t>20. 'Guaranteed chip-free for three weeks' in an advert is:</w:t>
      </w:r>
    </w:p>
    <w:p>
      <w:r>
        <w:rPr>
          <w:b w:val="0"/>
          <w:i w:val="0"/>
          <w:sz w:val="20"/>
        </w:rPr>
        <w:t xml:space="preserve">      a)  Fine if most clients get three weeks</w:t>
      </w:r>
    </w:p>
    <w:p>
      <w:r>
        <w:rPr>
          <w:b w:val="0"/>
          <w:i w:val="0"/>
          <w:sz w:val="20"/>
        </w:rPr>
        <w:t xml:space="preserve">      b)  An objective claim that must be evidenced and is best avoided; say wear varies</w:t>
      </w:r>
    </w:p>
    <w:p>
      <w:r>
        <w:rPr>
          <w:b w:val="0"/>
          <w:i w:val="0"/>
          <w:sz w:val="20"/>
        </w:rPr>
        <w:t xml:space="preserve">      c)  Required by the ASA</w:t>
      </w:r>
    </w:p>
    <w:p>
      <w:r>
        <w:rPr>
          <w:b w:val="0"/>
          <w:i w:val="0"/>
          <w:sz w:val="20"/>
        </w:rPr>
        <w:t xml:space="preserve">      d)  Only a problem on social media</w:t>
      </w:r>
    </w:p>
    <w:p>
      <w:pPr>
        <w:spacing w:before="200" w:after="60"/>
      </w:pPr>
      <w:r>
        <w:rPr>
          <w:b/>
          <w:color w:val="4F8A81"/>
          <w:sz w:val="26"/>
        </w:rPr>
        <w:t>Section 2: short answer (20 marks)</w:t>
      </w:r>
    </w:p>
    <w:p>
      <w:r>
        <w:rPr>
          <w:b/>
          <w:i w:val="0"/>
          <w:sz w:val="20"/>
        </w:rPr>
        <w:t>21. Explain the difference between a contra-action and an adverse reaction, with one example of each.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22. Name the three removal categories of builder gel and state the risk of using the wrong method.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23. Why does builder gel carry a greater heat-spike risk than gel polish?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24. State two things you check from the barrel view and two from the top view.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25. A client wants 15 mm extensions in builder gel. What do you tell them and why?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26. List four items that must be recorded on the treatment record after every service.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27. What is the slip layer and what is it for?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28. Describe the correct between-client procedure for a metal cuticle pusher.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29. Give two reasons the application Description must state entry requirements, and name the minimum qualification this course requires.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30. What is the oxygen-inhibition layer and how is it handled?  (2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pPr>
        <w:spacing w:before="200" w:after="60"/>
      </w:pPr>
      <w:r>
        <w:rPr>
          <w:b/>
          <w:color w:val="4F8A81"/>
          <w:sz w:val="26"/>
        </w:rPr>
        <w:t>Section 3: scenarios (10 marks)</w:t>
      </w:r>
    </w:p>
    <w:p>
      <w:r>
        <w:rPr>
          <w:b/>
          <w:i w:val="0"/>
          <w:sz w:val="20"/>
        </w:rPr>
        <w:t>31. Scenario A. Two nails have lifted at the cuticle and one of them has green discolouration under the lifted corner. Set out your assessment, what you do to each nail, what you say to the client, and what you record.  (5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i w:val="0"/>
          <w:sz w:val="20"/>
        </w:rPr>
        <w:t>32. Scenario B. Halfway through a set, the client pulls her hand out of the lamp and says her finger is burning. Describe exactly what you do next, what you change for the remaining nails, and what goes in the record.  (5 marks)</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r>
        <w:rPr>
          <w:b w:val="0"/>
          <w:i w:val="0"/>
          <w:sz w:val="16"/>
        </w:rPr>
        <w:t>_______________________________________________________________________________________________</w:t>
      </w:r>
    </w:p>
    <w:p>
      <w:pPr>
        <w:spacing w:before="200" w:after="60"/>
      </w:pPr>
      <w:r>
        <w:rPr>
          <w:b/>
          <w:color w:val="4F8A81"/>
          <w:sz w:val="26"/>
        </w:rPr>
        <w:t>Result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
              <w:rPr>
                <w:b/>
                <w:sz w:val="18"/>
              </w:rPr>
              <w:t>Section 1 /20</w:t>
            </w:r>
          </w:p>
        </w:tc>
        <w:tc>
          <w:tcPr>
            <w:tcW w:type="dxa" w:w="1624"/>
          </w:tcPr>
          <w:p>
            <w:r/>
            <w:r>
              <w:rPr>
                <w:b/>
                <w:sz w:val="18"/>
              </w:rPr>
              <w:t>Section 2 /20</w:t>
            </w:r>
          </w:p>
        </w:tc>
        <w:tc>
          <w:tcPr>
            <w:tcW w:type="dxa" w:w="1624"/>
          </w:tcPr>
          <w:p>
            <w:r/>
            <w:r>
              <w:rPr>
                <w:b/>
                <w:sz w:val="18"/>
              </w:rPr>
              <w:t>Section 3 /10</w:t>
            </w:r>
          </w:p>
        </w:tc>
        <w:tc>
          <w:tcPr>
            <w:tcW w:type="dxa" w:w="1624"/>
          </w:tcPr>
          <w:p>
            <w:r/>
            <w:r>
              <w:rPr>
                <w:b/>
                <w:sz w:val="18"/>
              </w:rPr>
              <w:t>Total /50</w:t>
            </w:r>
          </w:p>
        </w:tc>
        <w:tc>
          <w:tcPr>
            <w:tcW w:type="dxa" w:w="1624"/>
          </w:tcPr>
          <w:p>
            <w:r/>
            <w:r>
              <w:rPr>
                <w:b/>
                <w:sz w:val="18"/>
              </w:rPr>
              <w:t>Pass (40+)  Y / N</w:t>
            </w:r>
          </w:p>
        </w:tc>
        <w:tc>
          <w:tcPr>
            <w:tcW w:type="dxa" w:w="1624"/>
          </w:tcPr>
          <w:p>
            <w:r/>
            <w:r>
              <w:rPr>
                <w:b/>
                <w:sz w:val="18"/>
              </w:rPr>
              <w:t>Safety-critical errors corrected  Y / N / none</w:t>
            </w:r>
          </w:p>
        </w:tc>
      </w:tr>
      <w:tr>
        <w:tc>
          <w:tcPr>
            <w:tcW w:type="dxa" w:w="1624"/>
          </w:tcPr>
          <w:p>
            <w:r/>
            <w:r>
              <w:rPr>
                <w:sz w:val="18"/>
              </w:rPr>
            </w:r>
          </w:p>
        </w:tc>
        <w:tc>
          <w:tcPr>
            <w:tcW w:type="dxa" w:w="1624"/>
          </w:tcPr>
          <w:p>
            <w:r/>
            <w:r>
              <w:rPr>
                <w:sz w:val="18"/>
              </w:rPr>
            </w:r>
          </w:p>
        </w:tc>
        <w:tc>
          <w:tcPr>
            <w:tcW w:type="dxa" w:w="1624"/>
          </w:tcPr>
          <w:p>
            <w:r/>
            <w:r>
              <w:rPr>
                <w:sz w:val="18"/>
              </w:rPr>
            </w:r>
          </w:p>
        </w:tc>
        <w:tc>
          <w:tcPr>
            <w:tcW w:type="dxa" w:w="1624"/>
          </w:tcPr>
          <w:p>
            <w:r/>
            <w:r>
              <w:rPr>
                <w:sz w:val="18"/>
              </w:rPr>
            </w:r>
          </w:p>
        </w:tc>
        <w:tc>
          <w:tcPr>
            <w:tcW w:type="dxa" w:w="1624"/>
          </w:tcPr>
          <w:p>
            <w:r/>
            <w:r>
              <w:rPr>
                <w:sz w:val="18"/>
              </w:rPr>
            </w:r>
          </w:p>
        </w:tc>
        <w:tc>
          <w:tcPr>
            <w:tcW w:type="dxa" w:w="1624"/>
          </w:tcPr>
          <w:p>
            <w:r/>
            <w:r>
              <w:rPr>
                <w:sz w:val="18"/>
              </w:rPr>
            </w:r>
          </w:p>
        </w:tc>
      </w:tr>
    </w:tbl>
    <w:p>
      <w:r>
        <w:rPr>
          <w:b w:val="0"/>
          <w:i w:val="0"/>
          <w:sz w:val="19"/>
        </w:rPr>
        <w:t>Tutor signature and date: ______________________________      Learner signature and date: ______________________________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