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F8A81"/>
          <w:sz w:val="18"/>
        </w:rPr>
        <w:t>THE LOOKING GLASS BEAUTY SCHOOL</w:t>
      </w:r>
    </w:p>
    <w:p>
      <w:r>
        <w:rPr>
          <w:b/>
          <w:sz w:val="36"/>
        </w:rPr>
        <w:t>B03  Theory Mark Scheme</w:t>
      </w:r>
    </w:p>
    <w:p>
      <w:r>
        <w:rPr>
          <w:i/>
          <w:sz w:val="20"/>
        </w:rPr>
        <w:t>For tutor and assessor use. Not to be given to learners before the assessment.</w:t>
      </w:r>
    </w:p>
    <w:p>
      <w:r>
        <w:rPr>
          <w:sz w:val="17"/>
        </w:rPr>
        <w:t>Builder Gel Overlay and Short Extension CPD Course  |  Course author: Jessica Jane Preston  |  Version 1.1, October 2026  |  Continuing Professional Development activity, not a regulated qualification.</w:t>
      </w:r>
    </w:p>
    <w:p>
      <w:pPr>
        <w:spacing w:before="200" w:after="60"/>
      </w:pPr>
      <w:r>
        <w:rPr>
          <w:b/>
          <w:color w:val="4F8A81"/>
          <w:sz w:val="26"/>
        </w:rPr>
        <w:t>Section 1: multiple choice, 1 mark each</w:t>
      </w:r>
    </w:p>
    <w:tbl>
      <w:tblPr>
        <w:tblStyle w:val="TableGrid"/>
        <w:tblW w:type="auto" w:w="0"/>
        <w:jc w:val="center"/>
        <w:tblLook w:firstColumn="1" w:firstRow="1" w:lastColumn="0" w:lastRow="0" w:noHBand="0" w:noVBand="1" w:val="04A0"/>
      </w:tblPr>
      <w:tblGrid>
        <w:gridCol w:w="4873"/>
        <w:gridCol w:w="4873"/>
      </w:tblGrid>
      <w:tr>
        <w:tc>
          <w:tcPr>
            <w:tcW w:type="dxa" w:w="680"/>
          </w:tcPr>
          <w:p>
            <w:r/>
            <w:r>
              <w:rPr>
                <w:b/>
                <w:sz w:val="19"/>
              </w:rPr>
              <w:t>Q</w:t>
            </w:r>
          </w:p>
        </w:tc>
        <w:tc>
          <w:tcPr>
            <w:tcW w:type="dxa" w:w="7937"/>
          </w:tcPr>
          <w:p>
            <w:r/>
            <w:r>
              <w:rPr>
                <w:b/>
                <w:sz w:val="19"/>
              </w:rPr>
              <w:t>Correct answer</w:t>
            </w:r>
          </w:p>
        </w:tc>
      </w:tr>
      <w:tr>
        <w:tc>
          <w:tcPr>
            <w:tcW w:type="dxa" w:w="680"/>
          </w:tcPr>
          <w:p>
            <w:r/>
            <w:r>
              <w:rPr>
                <w:sz w:val="19"/>
              </w:rPr>
              <w:t>1</w:t>
            </w:r>
          </w:p>
        </w:tc>
        <w:tc>
          <w:tcPr>
            <w:tcW w:type="dxa" w:w="7937"/>
          </w:tcPr>
          <w:p>
            <w:r/>
            <w:r>
              <w:rPr>
                <w:sz w:val="19"/>
              </w:rPr>
              <w:t>b) Absorbs the lamp's light and starts the polymerisation reaction</w:t>
            </w:r>
          </w:p>
        </w:tc>
      </w:tr>
      <w:tr>
        <w:tc>
          <w:tcPr>
            <w:tcW w:type="dxa" w:w="680"/>
          </w:tcPr>
          <w:p>
            <w:r/>
            <w:r>
              <w:rPr>
                <w:sz w:val="19"/>
              </w:rPr>
              <w:t>2</w:t>
            </w:r>
          </w:p>
        </w:tc>
        <w:tc>
          <w:tcPr>
            <w:tcW w:type="dxa" w:w="7937"/>
          </w:tcPr>
          <w:p>
            <w:r/>
            <w:r>
              <w:rPr>
                <w:sz w:val="19"/>
              </w:rPr>
              <w:t>c) They emit ultraviolet wavelengths that the gel's photoinitiators must match</w:t>
            </w:r>
          </w:p>
        </w:tc>
      </w:tr>
      <w:tr>
        <w:tc>
          <w:tcPr>
            <w:tcW w:type="dxa" w:w="680"/>
          </w:tcPr>
          <w:p>
            <w:r/>
            <w:r>
              <w:rPr>
                <w:sz w:val="19"/>
              </w:rPr>
              <w:t>3</w:t>
            </w:r>
          </w:p>
        </w:tc>
        <w:tc>
          <w:tcPr>
            <w:tcW w:type="dxa" w:w="7937"/>
          </w:tcPr>
          <w:p>
            <w:r/>
            <w:r>
              <w:rPr>
                <w:sz w:val="19"/>
              </w:rPr>
              <w:t>b) In the back third of the nail, behind the stress area</w:t>
            </w:r>
          </w:p>
        </w:tc>
      </w:tr>
      <w:tr>
        <w:tc>
          <w:tcPr>
            <w:tcW w:type="dxa" w:w="680"/>
          </w:tcPr>
          <w:p>
            <w:r/>
            <w:r>
              <w:rPr>
                <w:sz w:val="19"/>
              </w:rPr>
              <w:t>4</w:t>
            </w:r>
          </w:p>
        </w:tc>
        <w:tc>
          <w:tcPr>
            <w:tcW w:type="dxa" w:w="7937"/>
          </w:tcPr>
          <w:p>
            <w:r/>
            <w:r>
              <w:rPr>
                <w:sz w:val="19"/>
              </w:rPr>
              <w:t>c) Have them take the hand out of the lamp immediately</w:t>
            </w:r>
          </w:p>
        </w:tc>
      </w:tr>
      <w:tr>
        <w:tc>
          <w:tcPr>
            <w:tcW w:type="dxa" w:w="680"/>
          </w:tcPr>
          <w:p>
            <w:r/>
            <w:r>
              <w:rPr>
                <w:sz w:val="19"/>
              </w:rPr>
              <w:t>5</w:t>
            </w:r>
          </w:p>
        </w:tc>
        <w:tc>
          <w:tcPr>
            <w:tcW w:type="dxa" w:w="7937"/>
          </w:tcPr>
          <w:p>
            <w:r/>
            <w:r>
              <w:rPr>
                <w:sz w:val="19"/>
              </w:rPr>
              <w:t>b) So light cures through the full depth and less heat is released at once</w:t>
            </w:r>
          </w:p>
        </w:tc>
      </w:tr>
      <w:tr>
        <w:tc>
          <w:tcPr>
            <w:tcW w:type="dxa" w:w="680"/>
          </w:tcPr>
          <w:p>
            <w:r/>
            <w:r>
              <w:rPr>
                <w:sz w:val="19"/>
              </w:rPr>
              <w:t>6</w:t>
            </w:r>
          </w:p>
        </w:tc>
        <w:tc>
          <w:tcPr>
            <w:tcW w:type="dxa" w:w="7937"/>
          </w:tcPr>
          <w:p>
            <w:r/>
            <w:r>
              <w:rPr>
                <w:sz w:val="19"/>
              </w:rPr>
              <w:t>c) The oxygen-inhibition layer, removed with the specified cleanser</w:t>
            </w:r>
          </w:p>
        </w:tc>
      </w:tr>
      <w:tr>
        <w:tc>
          <w:tcPr>
            <w:tcW w:type="dxa" w:w="680"/>
          </w:tcPr>
          <w:p>
            <w:r/>
            <w:r>
              <w:rPr>
                <w:sz w:val="19"/>
              </w:rPr>
              <w:t>7</w:t>
            </w:r>
          </w:p>
        </w:tc>
        <w:tc>
          <w:tcPr>
            <w:tcW w:type="dxa" w:w="7937"/>
          </w:tcPr>
          <w:p>
            <w:r/>
            <w:r>
              <w:rPr>
                <w:sz w:val="19"/>
              </w:rPr>
              <w:t>c) A red, swollen nail fold with pus</w:t>
            </w:r>
          </w:p>
        </w:tc>
      </w:tr>
      <w:tr>
        <w:tc>
          <w:tcPr>
            <w:tcW w:type="dxa" w:w="680"/>
          </w:tcPr>
          <w:p>
            <w:r/>
            <w:r>
              <w:rPr>
                <w:sz w:val="19"/>
              </w:rPr>
              <w:t>8</w:t>
            </w:r>
          </w:p>
        </w:tc>
        <w:tc>
          <w:tcPr>
            <w:tcW w:type="dxa" w:w="7937"/>
          </w:tcPr>
          <w:p>
            <w:r/>
            <w:r>
              <w:rPr>
                <w:sz w:val="19"/>
              </w:rPr>
              <w:t>b) Bacterial colonisation (Pseudomonas) in a moist space</w:t>
            </w:r>
          </w:p>
        </w:tc>
      </w:tr>
      <w:tr>
        <w:tc>
          <w:tcPr>
            <w:tcW w:type="dxa" w:w="680"/>
          </w:tcPr>
          <w:p>
            <w:r/>
            <w:r>
              <w:rPr>
                <w:sz w:val="19"/>
              </w:rPr>
              <w:t>9</w:t>
            </w:r>
          </w:p>
        </w:tc>
        <w:tc>
          <w:tcPr>
            <w:tcW w:type="dxa" w:w="7937"/>
          </w:tcPr>
          <w:p>
            <w:r/>
            <w:r>
              <w:rPr>
                <w:sz w:val="19"/>
              </w:rPr>
              <w:t>c) Loose, non-living tissue adhered to the plate</w:t>
            </w:r>
          </w:p>
        </w:tc>
      </w:tr>
      <w:tr>
        <w:tc>
          <w:tcPr>
            <w:tcW w:type="dxa" w:w="680"/>
          </w:tcPr>
          <w:p>
            <w:r/>
            <w:r>
              <w:rPr>
                <w:sz w:val="19"/>
              </w:rPr>
              <w:t>10</w:t>
            </w:r>
          </w:p>
        </w:tc>
        <w:tc>
          <w:tcPr>
            <w:tcW w:type="dxa" w:w="7937"/>
          </w:tcPr>
          <w:p>
            <w:r/>
            <w:r>
              <w:rPr>
                <w:sz w:val="19"/>
              </w:rPr>
              <w:t>d) 240 or finer</w:t>
            </w:r>
          </w:p>
        </w:tc>
      </w:tr>
      <w:tr>
        <w:tc>
          <w:tcPr>
            <w:tcW w:type="dxa" w:w="680"/>
          </w:tcPr>
          <w:p>
            <w:r/>
            <w:r>
              <w:rPr>
                <w:sz w:val="19"/>
              </w:rPr>
              <w:t>11</w:t>
            </w:r>
          </w:p>
        </w:tc>
        <w:tc>
          <w:tcPr>
            <w:tcW w:type="dxa" w:w="7937"/>
          </w:tcPr>
          <w:p>
            <w:r/>
            <w:r>
              <w:rPr>
                <w:sz w:val="19"/>
              </w:rPr>
              <w:t>b) Product on the fold lifts and is a direct sensitisation risk</w:t>
            </w:r>
          </w:p>
        </w:tc>
      </w:tr>
      <w:tr>
        <w:tc>
          <w:tcPr>
            <w:tcW w:type="dxa" w:w="680"/>
          </w:tcPr>
          <w:p>
            <w:r/>
            <w:r>
              <w:rPr>
                <w:sz w:val="19"/>
              </w:rPr>
              <w:t>12</w:t>
            </w:r>
          </w:p>
        </w:tc>
        <w:tc>
          <w:tcPr>
            <w:tcW w:type="dxa" w:w="7937"/>
          </w:tcPr>
          <w:p>
            <w:r/>
            <w:r>
              <w:rPr>
                <w:sz w:val="19"/>
              </w:rPr>
              <w:t>b) HEMA and di-HEMA TMHDC</w:t>
            </w:r>
          </w:p>
        </w:tc>
      </w:tr>
      <w:tr>
        <w:tc>
          <w:tcPr>
            <w:tcW w:type="dxa" w:w="680"/>
          </w:tcPr>
          <w:p>
            <w:r/>
            <w:r>
              <w:rPr>
                <w:sz w:val="19"/>
              </w:rPr>
              <w:t>13</w:t>
            </w:r>
          </w:p>
        </w:tc>
        <w:tc>
          <w:tcPr>
            <w:tcW w:type="dxa" w:w="7937"/>
          </w:tcPr>
          <w:p>
            <w:r/>
            <w:r>
              <w:rPr>
                <w:sz w:val="19"/>
              </w:rPr>
              <w:t>c) The product does not contain HEMA; other ingredients can still sensitise</w:t>
            </w:r>
          </w:p>
        </w:tc>
      </w:tr>
      <w:tr>
        <w:tc>
          <w:tcPr>
            <w:tcW w:type="dxa" w:w="680"/>
          </w:tcPr>
          <w:p>
            <w:r/>
            <w:r>
              <w:rPr>
                <w:sz w:val="19"/>
              </w:rPr>
              <w:t>14</w:t>
            </w:r>
          </w:p>
        </w:tc>
        <w:tc>
          <w:tcPr>
            <w:tcW w:type="dxa" w:w="7937"/>
          </w:tcPr>
          <w:p>
            <w:r/>
            <w:r>
              <w:rPr>
                <w:sz w:val="19"/>
              </w:rPr>
              <w:t>c) Reducing carefully with a file and buffing the remainder, stopping at the natural nail</w:t>
            </w:r>
          </w:p>
        </w:tc>
      </w:tr>
      <w:tr>
        <w:tc>
          <w:tcPr>
            <w:tcW w:type="dxa" w:w="680"/>
          </w:tcPr>
          <w:p>
            <w:r/>
            <w:r>
              <w:rPr>
                <w:sz w:val="19"/>
              </w:rPr>
              <w:t>15</w:t>
            </w:r>
          </w:p>
        </w:tc>
        <w:tc>
          <w:tcPr>
            <w:tcW w:type="dxa" w:w="7937"/>
          </w:tcPr>
          <w:p>
            <w:r/>
            <w:r>
              <w:rPr>
                <w:sz w:val="19"/>
              </w:rPr>
              <w:t>b) Reduced so the new apex can be rebuilt in the back third</w:t>
            </w:r>
          </w:p>
        </w:tc>
      </w:tr>
      <w:tr>
        <w:tc>
          <w:tcPr>
            <w:tcW w:type="dxa" w:w="680"/>
          </w:tcPr>
          <w:p>
            <w:r/>
            <w:r>
              <w:rPr>
                <w:sz w:val="19"/>
              </w:rPr>
              <w:t>16</w:t>
            </w:r>
          </w:p>
        </w:tc>
        <w:tc>
          <w:tcPr>
            <w:tcW w:type="dxa" w:w="7937"/>
          </w:tcPr>
          <w:p>
            <w:r/>
            <w:r>
              <w:rPr>
                <w:sz w:val="19"/>
              </w:rPr>
              <w:t>b) Behind the stress area, in the back third</w:t>
            </w:r>
          </w:p>
        </w:tc>
      </w:tr>
      <w:tr>
        <w:tc>
          <w:tcPr>
            <w:tcW w:type="dxa" w:w="680"/>
          </w:tcPr>
          <w:p>
            <w:r/>
            <w:r>
              <w:rPr>
                <w:sz w:val="19"/>
              </w:rPr>
              <w:t>17</w:t>
            </w:r>
          </w:p>
        </w:tc>
        <w:tc>
          <w:tcPr>
            <w:tcW w:type="dxa" w:w="7937"/>
          </w:tcPr>
          <w:p>
            <w:r/>
            <w:r>
              <w:rPr>
                <w:sz w:val="19"/>
              </w:rPr>
              <w:t>b) COSHH Regulations 2002</w:t>
            </w:r>
          </w:p>
        </w:tc>
      </w:tr>
      <w:tr>
        <w:tc>
          <w:tcPr>
            <w:tcW w:type="dxa" w:w="680"/>
          </w:tcPr>
          <w:p>
            <w:r/>
            <w:r>
              <w:rPr>
                <w:sz w:val="19"/>
              </w:rPr>
              <w:t>18</w:t>
            </w:r>
          </w:p>
        </w:tc>
        <w:tc>
          <w:tcPr>
            <w:tcW w:type="dxa" w:w="7937"/>
          </w:tcPr>
          <w:p>
            <w:r/>
            <w:r>
              <w:rPr>
                <w:sz w:val="19"/>
              </w:rPr>
              <w:t>c) Not covered; the client advised to see their GP urgently</w:t>
            </w:r>
          </w:p>
        </w:tc>
      </w:tr>
      <w:tr>
        <w:tc>
          <w:tcPr>
            <w:tcW w:type="dxa" w:w="680"/>
          </w:tcPr>
          <w:p>
            <w:r/>
            <w:r>
              <w:rPr>
                <w:sz w:val="19"/>
              </w:rPr>
              <w:t>19</w:t>
            </w:r>
          </w:p>
        </w:tc>
        <w:tc>
          <w:tcPr>
            <w:tcW w:type="dxa" w:w="7937"/>
          </w:tcPr>
          <w:p>
            <w:r/>
            <w:r>
              <w:rPr>
                <w:sz w:val="19"/>
              </w:rPr>
              <w:t>b) Special-category data under UK GDPR, needing an Article 9 condition</w:t>
            </w:r>
          </w:p>
        </w:tc>
      </w:tr>
      <w:tr>
        <w:tc>
          <w:tcPr>
            <w:tcW w:type="dxa" w:w="680"/>
          </w:tcPr>
          <w:p>
            <w:r/>
            <w:r>
              <w:rPr>
                <w:sz w:val="19"/>
              </w:rPr>
              <w:t>20</w:t>
            </w:r>
          </w:p>
        </w:tc>
        <w:tc>
          <w:tcPr>
            <w:tcW w:type="dxa" w:w="7937"/>
          </w:tcPr>
          <w:p>
            <w:r/>
            <w:r>
              <w:rPr>
                <w:sz w:val="19"/>
              </w:rPr>
              <w:t>b) An objective claim that must be evidenced and is best avoided; say wear varies</w:t>
            </w:r>
          </w:p>
        </w:tc>
      </w:tr>
    </w:tbl>
    <w:p>
      <w:pPr>
        <w:spacing w:before="200" w:after="60"/>
      </w:pPr>
      <w:r>
        <w:rPr>
          <w:b/>
          <w:color w:val="4F8A81"/>
          <w:sz w:val="26"/>
        </w:rPr>
        <w:t>Section 2: short answer, 2 marks each</w:t>
      </w:r>
    </w:p>
    <w:tbl>
      <w:tblPr>
        <w:tblStyle w:val="TableGrid"/>
        <w:tblW w:type="auto" w:w="0"/>
        <w:jc w:val="center"/>
        <w:tblLook w:firstColumn="1" w:firstRow="1" w:lastColumn="0" w:lastRow="0" w:noHBand="0" w:noVBand="1" w:val="04A0"/>
      </w:tblPr>
      <w:tblGrid>
        <w:gridCol w:w="4873"/>
        <w:gridCol w:w="4873"/>
      </w:tblGrid>
      <w:tr>
        <w:tc>
          <w:tcPr>
            <w:tcW w:type="dxa" w:w="680"/>
          </w:tcPr>
          <w:p>
            <w:r/>
            <w:r>
              <w:rPr>
                <w:b/>
                <w:sz w:val="19"/>
              </w:rPr>
              <w:t>Q</w:t>
            </w:r>
          </w:p>
        </w:tc>
        <w:tc>
          <w:tcPr>
            <w:tcW w:type="dxa" w:w="7937"/>
          </w:tcPr>
          <w:p>
            <w:r/>
            <w:r>
              <w:rPr>
                <w:b/>
                <w:sz w:val="19"/>
              </w:rPr>
              <w:t>Expected answer and mark allocation</w:t>
            </w:r>
          </w:p>
        </w:tc>
      </w:tr>
      <w:tr>
        <w:tc>
          <w:tcPr>
            <w:tcW w:type="dxa" w:w="680"/>
          </w:tcPr>
          <w:p>
            <w:r/>
            <w:r>
              <w:rPr>
                <w:sz w:val="19"/>
              </w:rPr>
              <w:t>21</w:t>
            </w:r>
          </w:p>
        </w:tc>
        <w:tc>
          <w:tcPr>
            <w:tcW w:type="dxa" w:w="7937"/>
          </w:tcPr>
          <w:p>
            <w:r/>
            <w:r>
              <w:rPr>
                <w:sz w:val="19"/>
              </w:rPr>
              <w:t>Contra-action: an unwanted response or service problem during or after treatment, e.g. brief heat, minor lifting, dryness. Adverse reaction: a harmful response to a product or process, e.g. allergic contact dermatitis, eye exposure, burn. One mark per correct definition; example required for each mark.</w:t>
            </w:r>
          </w:p>
        </w:tc>
      </w:tr>
      <w:tr>
        <w:tc>
          <w:tcPr>
            <w:tcW w:type="dxa" w:w="680"/>
          </w:tcPr>
          <w:p>
            <w:r/>
            <w:r>
              <w:rPr>
                <w:sz w:val="19"/>
              </w:rPr>
              <w:t>22</w:t>
            </w:r>
          </w:p>
        </w:tc>
        <w:tc>
          <w:tcPr>
            <w:tcW w:type="dxa" w:w="7937"/>
          </w:tcPr>
          <w:p>
            <w:r/>
            <w:r>
              <w:rPr>
                <w:sz w:val="19"/>
              </w:rPr>
              <w:t>Soak-off, file-off, combination (1 mark for all three). Wrong method: soaking a file-off product wastes time and achieves nothing; filing a soak-off product down to the plate removes nail with it / damages the natural nail (1 mark).</w:t>
            </w:r>
          </w:p>
        </w:tc>
      </w:tr>
      <w:tr>
        <w:tc>
          <w:tcPr>
            <w:tcW w:type="dxa" w:w="680"/>
          </w:tcPr>
          <w:p>
            <w:r/>
            <w:r>
              <w:rPr>
                <w:sz w:val="19"/>
              </w:rPr>
              <w:t>23</w:t>
            </w:r>
          </w:p>
        </w:tc>
        <w:tc>
          <w:tcPr>
            <w:tcW w:type="dxa" w:w="7937"/>
          </w:tcPr>
          <w:p>
            <w:r/>
            <w:r>
              <w:rPr>
                <w:sz w:val="19"/>
              </w:rPr>
              <w:t>Thicker layer, so more material reacts (polymerises) at once and more heat is released in the same few seconds (1); thin, damaged or over-filed plates and high-output lamps make it worse / product that is thick cures from the surface and the reaction peaks faster (1).</w:t>
            </w:r>
          </w:p>
        </w:tc>
      </w:tr>
      <w:tr>
        <w:tc>
          <w:tcPr>
            <w:tcW w:type="dxa" w:w="680"/>
          </w:tcPr>
          <w:p>
            <w:r/>
            <w:r>
              <w:rPr>
                <w:sz w:val="19"/>
              </w:rPr>
              <w:t>24</w:t>
            </w:r>
          </w:p>
        </w:tc>
        <w:tc>
          <w:tcPr>
            <w:tcW w:type="dxa" w:w="7937"/>
          </w:tcPr>
          <w:p>
            <w:r/>
            <w:r>
              <w:rPr>
                <w:sz w:val="19"/>
              </w:rPr>
              <w:t>Barrel: even C-curve from sidewall to sidewall; symmetry; thickness consistent (any two, 1 mark). Top: straight sidewalls meeting the natural sidewall without a step or gap; no product over the folds / hairline gap at cuticle (any two, 1 mark).</w:t>
            </w:r>
          </w:p>
        </w:tc>
      </w:tr>
      <w:tr>
        <w:tc>
          <w:tcPr>
            <w:tcW w:type="dxa" w:w="680"/>
          </w:tcPr>
          <w:p>
            <w:r/>
            <w:r>
              <w:rPr>
                <w:sz w:val="19"/>
              </w:rPr>
              <w:t>25</w:t>
            </w:r>
          </w:p>
        </w:tc>
        <w:tc>
          <w:tcPr>
            <w:tcW w:type="dxa" w:w="7937"/>
          </w:tcPr>
          <w:p>
            <w:r/>
            <w:r>
              <w:rPr>
                <w:sz w:val="19"/>
              </w:rPr>
              <w:t>Builder gel is flexible and only supports short extensions within the manufacturer's stated capability (1); length multiplies force at the stress area, so long length needs hard gel or acrylic and a professional trained in that system; offer a short extension or refer (1).</w:t>
            </w:r>
          </w:p>
        </w:tc>
      </w:tr>
      <w:tr>
        <w:tc>
          <w:tcPr>
            <w:tcW w:type="dxa" w:w="680"/>
          </w:tcPr>
          <w:p>
            <w:r/>
            <w:r>
              <w:rPr>
                <w:sz w:val="19"/>
              </w:rPr>
              <w:t>26</w:t>
            </w:r>
          </w:p>
        </w:tc>
        <w:tc>
          <w:tcPr>
            <w:tcW w:type="dxa" w:w="7937"/>
          </w:tcPr>
          <w:p>
            <w:r/>
            <w:r>
              <w:rPr>
                <w:sz w:val="19"/>
              </w:rPr>
              <w:t>Any four of: date/technician; products with batch/lot; lamp model and exact cure times; nail condition before service; variations/contra-actions; aftercare and review date; client comments; signatures (2 marks for four, 1 for two or three).</w:t>
            </w:r>
          </w:p>
        </w:tc>
      </w:tr>
      <w:tr>
        <w:tc>
          <w:tcPr>
            <w:tcW w:type="dxa" w:w="680"/>
          </w:tcPr>
          <w:p>
            <w:r/>
            <w:r>
              <w:rPr>
                <w:sz w:val="19"/>
              </w:rPr>
              <w:t>27</w:t>
            </w:r>
          </w:p>
        </w:tc>
        <w:tc>
          <w:tcPr>
            <w:tcW w:type="dxa" w:w="7937"/>
          </w:tcPr>
          <w:p>
            <w:r/>
            <w:r>
              <w:rPr>
                <w:sz w:val="19"/>
              </w:rPr>
              <w:t>A very thin first layer of builder gel (or scrub layer) applied like a base coat and cured (1); gives the structural layer something to key into and improves adhesion, especially on nails that lift easily (1).</w:t>
            </w:r>
          </w:p>
        </w:tc>
      </w:tr>
      <w:tr>
        <w:tc>
          <w:tcPr>
            <w:tcW w:type="dxa" w:w="680"/>
          </w:tcPr>
          <w:p>
            <w:r/>
            <w:r>
              <w:rPr>
                <w:sz w:val="19"/>
              </w:rPr>
              <w:t>28</w:t>
            </w:r>
          </w:p>
        </w:tc>
        <w:tc>
          <w:tcPr>
            <w:tcW w:type="dxa" w:w="7937"/>
          </w:tcPr>
          <w:p>
            <w:r/>
            <w:r>
              <w:rPr>
                <w:sz w:val="19"/>
              </w:rPr>
              <w:t>Transport as used in a closed 'used' container; clean with detergent/mechanical action, rinse, dry, inspect (1); disinfect with a compatible product at the correct dilution and contact time, or steam-sterilise where the risk assessment/local authority requires; store protected (1).</w:t>
            </w:r>
          </w:p>
        </w:tc>
      </w:tr>
      <w:tr>
        <w:tc>
          <w:tcPr>
            <w:tcW w:type="dxa" w:w="680"/>
          </w:tcPr>
          <w:p>
            <w:r/>
            <w:r>
              <w:rPr>
                <w:sz w:val="19"/>
              </w:rPr>
              <w:t>29</w:t>
            </w:r>
          </w:p>
        </w:tc>
        <w:tc>
          <w:tcPr>
            <w:tcW w:type="dxa" w:w="7937"/>
          </w:tcPr>
          <w:p>
            <w:r/>
            <w:r>
              <w:rPr>
                <w:sz w:val="19"/>
              </w:rPr>
              <w:t>Transparency so potential learners know if the course is for them / safety because builder gel assumes prior knowledge of nail structure and salon practice (1). Level 2 Beauty Therapy, Nail Services or equivalent including manicure knowledge (1).</w:t>
            </w:r>
          </w:p>
        </w:tc>
      </w:tr>
      <w:tr>
        <w:tc>
          <w:tcPr>
            <w:tcW w:type="dxa" w:w="680"/>
          </w:tcPr>
          <w:p>
            <w:r/>
            <w:r>
              <w:rPr>
                <w:sz w:val="19"/>
              </w:rPr>
              <w:t>30</w:t>
            </w:r>
          </w:p>
        </w:tc>
        <w:tc>
          <w:tcPr>
            <w:tcW w:type="dxa" w:w="7937"/>
          </w:tcPr>
          <w:p>
            <w:r/>
            <w:r>
              <w:rPr>
                <w:sz w:val="19"/>
              </w:rPr>
              <w:t>A thin tacky surface film left because oxygen inhibits cross-linking at the surface; normal, not proof the gel beneath is uncured (1). Removed only with the system's specified cleanser and a fresh lint-free wipe per nail, or left to bond the next layer where the system directs; never touched with bare fingers (1).</w:t>
            </w:r>
          </w:p>
        </w:tc>
      </w:tr>
    </w:tbl>
    <w:p>
      <w:pPr>
        <w:spacing w:before="200" w:after="60"/>
      </w:pPr>
      <w:r>
        <w:rPr>
          <w:b/>
          <w:color w:val="4F8A81"/>
          <w:sz w:val="26"/>
        </w:rPr>
        <w:t>Section 3: scenarios, 5 marks each (one mark per point, any order; equivalent wording accepted)</w:t>
      </w:r>
    </w:p>
    <w:p>
      <w:r>
        <w:rPr>
          <w:b/>
          <w:i w:val="0"/>
          <w:sz w:val="19"/>
        </w:rPr>
        <w:t>31. Scenario A. Two nails have lifted at the cuticle and one of them has green discolouration under the lifted corner. Set out your assessment, what you do to each nail, what you say to the client, and what you record.</w:t>
      </w:r>
    </w:p>
    <w:p>
      <w:pPr>
        <w:pStyle w:val="ListBullet"/>
      </w:pPr>
      <w:r>
        <w:t>Stops the service on the affected nail; does not apply fresh product over discolouration (1)</w:t>
      </w:r>
    </w:p>
    <w:p>
      <w:pPr>
        <w:pStyle w:val="ListBullet"/>
      </w:pPr>
      <w:r>
        <w:t>Removes lifted product completely; for the green nail removes the overlay safely by the product's method without cutting skin, or refers if unsure (1)</w:t>
      </w:r>
    </w:p>
    <w:p>
      <w:pPr>
        <w:pStyle w:val="ListBullet"/>
      </w:pPr>
      <w:r>
        <w:t>Keeps the nail clean and dry; no buffing away colour, no household remedies; advises pharmacy/GP if pain, swelling, pus or persistence (1)</w:t>
      </w:r>
    </w:p>
    <w:p>
      <w:pPr>
        <w:pStyle w:val="ListBullet"/>
      </w:pPr>
      <w:r>
        <w:t>Explains calmly without diagnosing ('green fungus' not used); discusses likely cause (moisture under lifting) and prevention (1)</w:t>
      </w:r>
    </w:p>
    <w:p>
      <w:pPr>
        <w:pStyle w:val="ListBullet"/>
      </w:pPr>
      <w:r>
        <w:t>Records products, nails affected, observations, action and referral; decontaminates tools, discards single-use items; rebuilds the other lifted nail only after full removal and prep (1)</w:t>
      </w:r>
    </w:p>
    <w:p>
      <w:r>
        <w:rPr>
          <w:b/>
          <w:i w:val="0"/>
          <w:sz w:val="19"/>
        </w:rPr>
        <w:t>32. Scenario B. Halfway through a set, the client pulls her hand out of the lamp and says her finger is burning. Describe exactly what you do next, what you change for the remaining nails, and what goes in the record.</w:t>
      </w:r>
    </w:p>
    <w:p>
      <w:pPr>
        <w:pStyle w:val="ListBullet"/>
      </w:pPr>
      <w:r>
        <w:t>Lets the hand stay out; does not tell the client to endure it; reassures (1)</w:t>
      </w:r>
    </w:p>
    <w:p>
      <w:pPr>
        <w:pStyle w:val="ListBullet"/>
      </w:pPr>
      <w:r>
        <w:t>Allows the nail to cool completely, then returns it for the remainder of the cure; checks for pain or damage before continuing (1)</w:t>
      </w:r>
    </w:p>
    <w:p>
      <w:pPr>
        <w:pStyle w:val="ListBullet"/>
      </w:pPr>
      <w:r>
        <w:t>Assesses why: layer too thick, thin or over-filed plate, high-output lamp (1)</w:t>
      </w:r>
    </w:p>
    <w:p>
      <w:pPr>
        <w:pStyle w:val="ListBullet"/>
      </w:pPr>
      <w:r>
        <w:t>Remaining nails: thinner layers, flash cure or low-heat mode where the product permits; never shortens full cure or swaps to an unapproved lamp (1)</w:t>
      </w:r>
    </w:p>
    <w:p>
      <w:pPr>
        <w:pStyle w:val="ListBullet"/>
      </w:pPr>
      <w:r>
        <w:t>Records the event, nail, product, lamp, cure, action taken and client response; reviews technique (1)</w:t>
      </w:r>
    </w:p>
    <w:p>
      <w:pPr>
        <w:spacing w:before="200" w:after="60"/>
      </w:pPr>
      <w:r>
        <w:rPr>
          <w:b/>
          <w:color w:val="4F8A81"/>
          <w:sz w:val="26"/>
        </w:rPr>
        <w:t>Marking rules</w:t>
      </w:r>
    </w:p>
    <w:p>
      <w:pPr>
        <w:pStyle w:val="ListBullet"/>
      </w:pPr>
      <w:r>
        <w:t>Pass mark 40 out of 50 (80%).</w:t>
      </w:r>
    </w:p>
    <w:p>
      <w:pPr>
        <w:pStyle w:val="ListBullet"/>
      </w:pPr>
      <w:r>
        <w:t>Partial credit in Sections 2 and 3 as shown; no half marks.</w:t>
      </w:r>
    </w:p>
    <w:p>
      <w:pPr>
        <w:pStyle w:val="ListBullet"/>
      </w:pPr>
      <w:r>
        <w:t>A safety-critical error anywhere on the paper (curing product on skin, deliberate under-curing, ignoring reported heat, electric-file work on the natural nail, concealing infection) is discussed and corrected with the learner before any pass is recorded, and the discussion is noted on the result box.</w:t>
      </w:r>
    </w:p>
    <w:p>
      <w:pPr>
        <w:pStyle w:val="ListBullet"/>
      </w:pPr>
      <w:r>
        <w:t>A learner who scores below 40 may re-sit once after further study; the re-sit uses the alternative paper held by the school.</w:t>
      </w:r>
    </w:p>
    <w:p>
      <w:pPr>
        <w:pStyle w:val="ListBullet"/>
      </w:pPr>
      <w:r>
        <w:t>Reasonable adjustments change how the learner answers, not what is assessed.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