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F8A81"/>
          <w:sz w:val="18"/>
        </w:rPr>
        <w:t>THE LOOKING GLASS BEAUTY SCHOOL</w:t>
      </w:r>
    </w:p>
    <w:p>
      <w:r>
        <w:rPr>
          <w:b/>
          <w:sz w:val="36"/>
        </w:rPr>
        <w:t>B05  Lesson Plan</w:t>
      </w:r>
    </w:p>
    <w:p>
      <w:r>
        <w:rPr>
          <w:i/>
          <w:sz w:val="20"/>
        </w:rPr>
        <w:t>Based on The CPD Group lesson plan template. One taught day plus pre-course study and post-course case studies.</w:t>
      </w:r>
    </w:p>
    <w:p>
      <w:r>
        <w:rPr>
          <w:sz w:val="17"/>
        </w:rPr>
        <w:t>Builder Gel Overlay and Short Extension CPD Course  |  Course author: Jessica Jane Preston  |  Version 1.1, October 2026  |  Continuing Professional Development activity, not a regulated qualification.</w:t>
      </w:r>
    </w:p>
    <w:tbl>
      <w:tblPr>
        <w:tblStyle w:val="TableGrid"/>
        <w:tblW w:type="auto" w:w="0"/>
        <w:jc w:val="center"/>
        <w:tblLook w:firstColumn="1" w:firstRow="1" w:lastColumn="0" w:lastRow="0" w:noHBand="0" w:noVBand="1" w:val="04A0"/>
      </w:tblPr>
      <w:tblGrid>
        <w:gridCol w:w="6673"/>
        <w:gridCol w:w="6673"/>
      </w:tblGrid>
      <w:tr>
        <w:tc>
          <w:tcPr>
            <w:tcW w:type="dxa" w:w="2268"/>
          </w:tcPr>
          <w:p>
            <w:r/>
            <w:r>
              <w:rPr>
                <w:b/>
                <w:sz w:val="19"/>
              </w:rPr>
              <w:t>Course title</w:t>
            </w:r>
          </w:p>
        </w:tc>
        <w:tc>
          <w:tcPr>
            <w:tcW w:type="dxa" w:w="11906"/>
          </w:tcPr>
          <w:p>
            <w:r/>
            <w:r>
              <w:rPr>
                <w:b/>
                <w:sz w:val="19"/>
              </w:rPr>
              <w:t>Builder Gel Overlay and Short Extension CPD Course</w:t>
            </w:r>
          </w:p>
        </w:tc>
      </w:tr>
      <w:tr>
        <w:tc>
          <w:tcPr>
            <w:tcW w:type="dxa" w:w="2268"/>
          </w:tcPr>
          <w:p>
            <w:r/>
            <w:r>
              <w:rPr>
                <w:sz w:val="19"/>
              </w:rPr>
              <w:t>Duration</w:t>
            </w:r>
          </w:p>
        </w:tc>
        <w:tc>
          <w:tcPr>
            <w:tcW w:type="dxa" w:w="11906"/>
          </w:tcPr>
          <w:p>
            <w:r/>
            <w:r>
              <w:rPr>
                <w:sz w:val="19"/>
              </w:rPr>
              <w:t>17.5 hours of learner effort: 2.5 hours pre-course reading and workbook prompts; 7.5 guided learning hours in the classroom (one day); approximately 7.5 hours for three post-course case studies. Matches the hours stated on the accreditation application.</w:t>
            </w:r>
          </w:p>
        </w:tc>
      </w:tr>
      <w:tr>
        <w:tc>
          <w:tcPr>
            <w:tcW w:type="dxa" w:w="2268"/>
          </w:tcPr>
          <w:p>
            <w:r/>
            <w:r>
              <w:rPr>
                <w:sz w:val="19"/>
              </w:rPr>
              <w:t>Date</w:t>
            </w:r>
          </w:p>
        </w:tc>
        <w:tc>
          <w:tcPr>
            <w:tcW w:type="dxa" w:w="11906"/>
          </w:tcPr>
          <w:p>
            <w:r/>
            <w:r>
              <w:rPr>
                <w:sz w:val="19"/>
              </w:rPr>
              <w:t>Delivered on demand; each cohort's date is recorded on the register.</w:t>
            </w:r>
          </w:p>
        </w:tc>
      </w:tr>
      <w:tr>
        <w:tc>
          <w:tcPr>
            <w:tcW w:type="dxa" w:w="2268"/>
          </w:tcPr>
          <w:p>
            <w:r/>
            <w:r>
              <w:rPr>
                <w:sz w:val="19"/>
              </w:rPr>
              <w:t>Time</w:t>
            </w:r>
          </w:p>
        </w:tc>
        <w:tc>
          <w:tcPr>
            <w:tcW w:type="dxa" w:w="11906"/>
          </w:tcPr>
          <w:p>
            <w:r/>
            <w:r>
              <w:rPr>
                <w:sz w:val="19"/>
              </w:rPr>
              <w:t>09:00 to 17:30, with a 30-minute lunch and two 15-minute breaks.</w:t>
            </w:r>
          </w:p>
        </w:tc>
      </w:tr>
      <w:tr>
        <w:tc>
          <w:tcPr>
            <w:tcW w:type="dxa" w:w="2268"/>
          </w:tcPr>
          <w:p>
            <w:r/>
            <w:r>
              <w:rPr>
                <w:sz w:val="19"/>
              </w:rPr>
              <w:t>Venue</w:t>
            </w:r>
          </w:p>
        </w:tc>
        <w:tc>
          <w:tcPr>
            <w:tcW w:type="dxa" w:w="11906"/>
          </w:tcPr>
          <w:p>
            <w:r/>
            <w:r>
              <w:rPr>
                <w:sz w:val="19"/>
              </w:rPr>
              <w:t>The Looking Glass Beauty School, 4a Roushill, Shrewsbury SY1 1PQ: training room within the salon, ground floor, step-free access.</w:t>
            </w:r>
          </w:p>
        </w:tc>
      </w:tr>
      <w:tr>
        <w:tc>
          <w:tcPr>
            <w:tcW w:type="dxa" w:w="2268"/>
          </w:tcPr>
          <w:p>
            <w:r/>
            <w:r>
              <w:rPr>
                <w:sz w:val="19"/>
              </w:rPr>
              <w:t>Tutor</w:t>
            </w:r>
          </w:p>
        </w:tc>
        <w:tc>
          <w:tcPr>
            <w:tcW w:type="dxa" w:w="11906"/>
          </w:tcPr>
          <w:p>
            <w:r/>
            <w:r>
              <w:rPr>
                <w:sz w:val="19"/>
              </w:rPr>
              <w:t>Jessica Jane Preston: VTCT Level 2 NVQ Diploma in Nail Services, Award in Education and Training, fourteen years' industry experience, teaching since 2021.</w:t>
            </w:r>
          </w:p>
        </w:tc>
      </w:tr>
      <w:tr>
        <w:tc>
          <w:tcPr>
            <w:tcW w:type="dxa" w:w="2268"/>
          </w:tcPr>
          <w:p>
            <w:r/>
            <w:r>
              <w:rPr>
                <w:sz w:val="19"/>
              </w:rPr>
              <w:t>Group size</w:t>
            </w:r>
          </w:p>
        </w:tc>
        <w:tc>
          <w:tcPr>
            <w:tcW w:type="dxa" w:w="11906"/>
          </w:tcPr>
          <w:p>
            <w:r/>
            <w:r>
              <w:rPr>
                <w:sz w:val="19"/>
              </w:rPr>
              <w:t>Maximum four learners per tutor so that every learner is directly observed; each learner brings one suitable adult model for the afternoon.</w:t>
            </w:r>
          </w:p>
        </w:tc>
      </w:tr>
      <w:tr>
        <w:tc>
          <w:tcPr>
            <w:tcW w:type="dxa" w:w="2268"/>
          </w:tcPr>
          <w:p>
            <w:r/>
            <w:r>
              <w:rPr>
                <w:sz w:val="19"/>
              </w:rPr>
              <w:t>Health and safety considerations</w:t>
            </w:r>
          </w:p>
        </w:tc>
        <w:tc>
          <w:tcPr>
            <w:tcW w:type="dxa" w:w="11906"/>
          </w:tcPr>
          <w:p>
            <w:r/>
            <w:r>
              <w:rPr>
                <w:sz w:val="19"/>
              </w:rPr>
              <w:t>COSHH assessment and SDS for the course gel, cleanser, dehydrator and acetone available in the room; local extraction at each station; nitrile gloves, eye protection and aprons available; lamps PAT/visually checked before the day; first-aid kit and blood-spill kit in the room; fire exits shown at the start; no food or drink at workstations; learners and models screened for acrylate allergy and skin breaks before any product is opened; heat-spike response taught before the first cure.</w:t>
            </w:r>
          </w:p>
        </w:tc>
      </w:tr>
      <w:tr>
        <w:tc>
          <w:tcPr>
            <w:tcW w:type="dxa" w:w="2268"/>
          </w:tcPr>
          <w:p>
            <w:r/>
            <w:r>
              <w:rPr>
                <w:sz w:val="19"/>
              </w:rPr>
              <w:t>Equal opportunity issues</w:t>
            </w:r>
          </w:p>
        </w:tc>
        <w:tc>
          <w:tcPr>
            <w:tcW w:type="dxa" w:w="11906"/>
          </w:tcPr>
          <w:p>
            <w:r/>
            <w:r>
              <w:rPr>
                <w:sz w:val="19"/>
              </w:rPr>
              <w:t>Learners asked at booking and again privately on the day about additional needs. Available: large-print and digital manual for screen readers, coloured overlays, extra time or a reader or scribe for the theory paper, oral answers recorded, extra breaks, one-to-one demonstration, adjustable chairs and lighting. Adjustments change how evidence is given, never the competence or safety standard. The salon is wheelchair accessible. Interpreter arranged where notified in advance.</w:t>
            </w:r>
          </w:p>
        </w:tc>
      </w:tr>
    </w:tbl>
    <w:p>
      <w:pPr>
        <w:spacing w:before="200" w:after="60"/>
      </w:pPr>
      <w:r>
        <w:rPr>
          <w:b/>
          <w:color w:val="4F8A81"/>
          <w:sz w:val="26"/>
        </w:rPr>
        <w:t>Aim of the course</w:t>
      </w:r>
    </w:p>
    <w:p>
      <w:r>
        <w:rPr>
          <w:b w:val="0"/>
          <w:i w:val="0"/>
          <w:sz w:val="20"/>
        </w:rPr>
        <w:t>To enable qualified beauty and nail professionals to apply, maintain and remove builder gel overlays and short extensions safely and to a professional standard, with a correctly placed apex, full control of curing and the heat spike, and sound consultation, hygiene and record-keeping, so that they can offer the service commercially within their insurance and the law.</w:t>
      </w:r>
    </w:p>
    <w:p>
      <w:pPr>
        <w:spacing w:before="200" w:after="60"/>
      </w:pPr>
      <w:r>
        <w:rPr>
          <w:b/>
          <w:color w:val="4F8A81"/>
          <w:sz w:val="26"/>
        </w:rPr>
        <w:t>Learner objectives (the ten learning outcomes from the manual, Chapter 1)</w:t>
      </w:r>
    </w:p>
    <w:tbl>
      <w:tblPr>
        <w:tblStyle w:val="TableGrid"/>
        <w:tblW w:type="auto" w:w="0"/>
        <w:jc w:val="center"/>
        <w:tblLook w:firstColumn="1" w:firstRow="1" w:lastColumn="0" w:lastRow="0" w:noHBand="0" w:noVBand="1" w:val="04A0"/>
      </w:tblPr>
      <w:tblGrid>
        <w:gridCol w:w="6673"/>
        <w:gridCol w:w="6673"/>
      </w:tblGrid>
      <w:tr>
        <w:tc>
          <w:tcPr>
            <w:tcW w:type="dxa" w:w="1134"/>
          </w:tcPr>
          <w:p>
            <w:r/>
            <w:r>
              <w:rPr>
                <w:b/>
                <w:sz w:val="19"/>
              </w:rPr>
              <w:t>Obj. no.</w:t>
            </w:r>
          </w:p>
        </w:tc>
        <w:tc>
          <w:tcPr>
            <w:tcW w:type="dxa" w:w="13039"/>
          </w:tcPr>
          <w:p>
            <w:r/>
            <w:r>
              <w:rPr>
                <w:b/>
                <w:sz w:val="19"/>
              </w:rPr>
              <w:t>Learner objective</w:t>
            </w:r>
          </w:p>
        </w:tc>
      </w:tr>
      <w:tr>
        <w:tc>
          <w:tcPr>
            <w:tcW w:type="dxa" w:w="1134"/>
          </w:tcPr>
          <w:p>
            <w:r/>
            <w:r>
              <w:rPr>
                <w:sz w:val="19"/>
              </w:rPr>
              <w:t>LO1</w:t>
            </w:r>
          </w:p>
        </w:tc>
        <w:tc>
          <w:tcPr>
            <w:tcW w:type="dxa" w:w="13039"/>
          </w:tcPr>
          <w:p>
            <w:r/>
            <w:r>
              <w:rPr>
                <w:sz w:val="19"/>
              </w:rPr>
              <w:t>Explain the purpose, benefits, limitations and client suitability of builder gel, and compare it with gel polish, hard gel and liquid-and-powder acrylic.</w:t>
            </w:r>
          </w:p>
        </w:tc>
      </w:tr>
      <w:tr>
        <w:tc>
          <w:tcPr>
            <w:tcW w:type="dxa" w:w="1134"/>
          </w:tcPr>
          <w:p>
            <w:r/>
            <w:r>
              <w:rPr>
                <w:sz w:val="19"/>
              </w:rPr>
              <w:t>LO2</w:t>
            </w:r>
          </w:p>
        </w:tc>
        <w:tc>
          <w:tcPr>
            <w:tcW w:type="dxa" w:w="13039"/>
          </w:tcPr>
          <w:p>
            <w:r/>
            <w:r>
              <w:rPr>
                <w:sz w:val="19"/>
              </w:rPr>
              <w:t>Identify the structures of the nail unit and recognise conditions that require the service to be adapted, postponed or refused.</w:t>
            </w:r>
          </w:p>
        </w:tc>
      </w:tr>
      <w:tr>
        <w:tc>
          <w:tcPr>
            <w:tcW w:type="dxa" w:w="1134"/>
          </w:tcPr>
          <w:p>
            <w:r/>
            <w:r>
              <w:rPr>
                <w:sz w:val="19"/>
              </w:rPr>
              <w:t>LO3</w:t>
            </w:r>
          </w:p>
        </w:tc>
        <w:tc>
          <w:tcPr>
            <w:tcW w:type="dxa" w:w="13039"/>
          </w:tcPr>
          <w:p>
            <w:r/>
            <w:r>
              <w:rPr>
                <w:sz w:val="19"/>
              </w:rPr>
              <w:t>Conduct and record a professional consultation, obtain informed consent and create an individual treatment plan.</w:t>
            </w:r>
          </w:p>
        </w:tc>
      </w:tr>
      <w:tr>
        <w:tc>
          <w:tcPr>
            <w:tcW w:type="dxa" w:w="1134"/>
          </w:tcPr>
          <w:p>
            <w:r/>
            <w:r>
              <w:rPr>
                <w:sz w:val="19"/>
              </w:rPr>
              <w:t>LO4</w:t>
            </w:r>
          </w:p>
        </w:tc>
        <w:tc>
          <w:tcPr>
            <w:tcW w:type="dxa" w:w="13039"/>
          </w:tcPr>
          <w:p>
            <w:r/>
            <w:r>
              <w:rPr>
                <w:sz w:val="19"/>
              </w:rPr>
              <w:t>Explain oligomers, monomers, photoinitiators, polymerisation, lamp compatibility, under-curing and the inhibition layer.</w:t>
            </w:r>
          </w:p>
        </w:tc>
      </w:tr>
      <w:tr>
        <w:tc>
          <w:tcPr>
            <w:tcW w:type="dxa" w:w="1134"/>
          </w:tcPr>
          <w:p>
            <w:r/>
            <w:r>
              <w:rPr>
                <w:sz w:val="19"/>
              </w:rPr>
              <w:t>LO5</w:t>
            </w:r>
          </w:p>
        </w:tc>
        <w:tc>
          <w:tcPr>
            <w:tcW w:type="dxa" w:w="13039"/>
          </w:tcPr>
          <w:p>
            <w:r/>
            <w:r>
              <w:rPr>
                <w:sz w:val="19"/>
              </w:rPr>
              <w:t>Explain why builder gel carries a heat-spike risk that gel polish does not, and control it.</w:t>
            </w:r>
          </w:p>
        </w:tc>
      </w:tr>
      <w:tr>
        <w:tc>
          <w:tcPr>
            <w:tcW w:type="dxa" w:w="1134"/>
          </w:tcPr>
          <w:p>
            <w:r/>
            <w:r>
              <w:rPr>
                <w:sz w:val="19"/>
              </w:rPr>
              <w:t>LO6</w:t>
            </w:r>
          </w:p>
        </w:tc>
        <w:tc>
          <w:tcPr>
            <w:tcW w:type="dxa" w:w="13039"/>
          </w:tcPr>
          <w:p>
            <w:r/>
            <w:r>
              <w:rPr>
                <w:sz w:val="19"/>
              </w:rPr>
              <w:t>Select, handle, store and dispose of products and equipment in accordance with risk assessment, COSHH, manufacturer instructions and current UK requirements.</w:t>
            </w:r>
          </w:p>
        </w:tc>
      </w:tr>
      <w:tr>
        <w:tc>
          <w:tcPr>
            <w:tcW w:type="dxa" w:w="1134"/>
          </w:tcPr>
          <w:p>
            <w:r/>
            <w:r>
              <w:rPr>
                <w:sz w:val="19"/>
              </w:rPr>
              <w:t>LO7</w:t>
            </w:r>
          </w:p>
        </w:tc>
        <w:tc>
          <w:tcPr>
            <w:tcW w:type="dxa" w:w="13039"/>
          </w:tcPr>
          <w:p>
            <w:r/>
            <w:r>
              <w:rPr>
                <w:sz w:val="19"/>
              </w:rPr>
              <w:t>Prepare the natural nail without avoidable damage to the plate or living tissue.</w:t>
            </w:r>
          </w:p>
        </w:tc>
      </w:tr>
      <w:tr>
        <w:tc>
          <w:tcPr>
            <w:tcW w:type="dxa" w:w="1134"/>
          </w:tcPr>
          <w:p>
            <w:r/>
            <w:r>
              <w:rPr>
                <w:sz w:val="19"/>
              </w:rPr>
              <w:t>LO8</w:t>
            </w:r>
          </w:p>
        </w:tc>
        <w:tc>
          <w:tcPr>
            <w:tcW w:type="dxa" w:w="13039"/>
          </w:tcPr>
          <w:p>
            <w:r/>
            <w:r>
              <w:rPr>
                <w:sz w:val="19"/>
              </w:rPr>
              <w:t>Apply a slip layer and build a balanced overlay with a correctly placed apex, straight sidewalls and an even C-curve.</w:t>
            </w:r>
          </w:p>
        </w:tc>
      </w:tr>
      <w:tr>
        <w:tc>
          <w:tcPr>
            <w:tcW w:type="dxa" w:w="1134"/>
          </w:tcPr>
          <w:p>
            <w:r/>
            <w:r>
              <w:rPr>
                <w:sz w:val="19"/>
              </w:rPr>
              <w:t>LO9</w:t>
            </w:r>
          </w:p>
        </w:tc>
        <w:tc>
          <w:tcPr>
            <w:tcW w:type="dxa" w:w="13039"/>
          </w:tcPr>
          <w:p>
            <w:r/>
            <w:r>
              <w:rPr>
                <w:sz w:val="19"/>
              </w:rPr>
              <w:t>Create a short extension on a tip or form within the product's stated capability.</w:t>
            </w:r>
          </w:p>
        </w:tc>
      </w:tr>
      <w:tr>
        <w:tc>
          <w:tcPr>
            <w:tcW w:type="dxa" w:w="1134"/>
          </w:tcPr>
          <w:p>
            <w:r/>
            <w:r>
              <w:rPr>
                <w:sz w:val="19"/>
              </w:rPr>
              <w:t>LO10</w:t>
            </w:r>
          </w:p>
        </w:tc>
        <w:tc>
          <w:tcPr>
            <w:tcW w:type="dxa" w:w="13039"/>
          </w:tcPr>
          <w:p>
            <w:r/>
            <w:r>
              <w:rPr>
                <w:sz w:val="19"/>
              </w:rPr>
              <w:t>Infill, rebalance and remove builder gel safely by the method the product requires, and provide appropriate aftercare.</w:t>
            </w:r>
          </w:p>
        </w:tc>
      </w:tr>
    </w:tbl>
    <w:p>
      <w:pPr>
        <w:spacing w:before="200" w:after="60"/>
      </w:pPr>
      <w:r>
        <w:rPr>
          <w:b/>
          <w:color w:val="4F8A81"/>
          <w:sz w:val="26"/>
        </w:rPr>
        <w:t>Pre-course (2.5 hours, home study)</w:t>
      </w:r>
    </w:p>
    <w:p>
      <w:r>
        <w:rPr>
          <w:b w:val="0"/>
          <w:i w:val="0"/>
          <w:sz w:val="20"/>
        </w:rPr>
        <w:t>Read manual Chapters 1 to 10; complete the four pre-course prompts in Chapter 19 (SDS for the product, lamp details, heat-spike answer, three questions to bring). Checked at registration. Evidence: completed prompts in the learner portfolio.</w:t>
      </w:r>
    </w:p>
    <w:p>
      <w:pPr>
        <w:spacing w:before="200" w:after="60"/>
      </w:pPr>
      <w:r>
        <w:rPr>
          <w:b/>
          <w:color w:val="4F8A81"/>
          <w:sz w:val="26"/>
        </w:rPr>
        <w:t>Taught day</w:t>
      </w:r>
    </w:p>
    <w:tbl>
      <w:tblPr>
        <w:tblStyle w:val="TableGrid"/>
        <w:tblW w:type="auto" w:w="0"/>
        <w:jc w:val="center"/>
        <w:tblLook w:firstColumn="1" w:firstRow="1" w:lastColumn="0" w:lastRow="0" w:noHBand="0" w:noVBand="1" w:val="04A0"/>
      </w:tblPr>
      <w:tblGrid>
        <w:gridCol w:w="1907"/>
        <w:gridCol w:w="1907"/>
        <w:gridCol w:w="1907"/>
        <w:gridCol w:w="1907"/>
        <w:gridCol w:w="1907"/>
        <w:gridCol w:w="1907"/>
        <w:gridCol w:w="1907"/>
      </w:tblGrid>
      <w:tr>
        <w:tc>
          <w:tcPr>
            <w:tcW w:type="dxa" w:w="850"/>
          </w:tcPr>
          <w:p>
            <w:r/>
            <w:r>
              <w:rPr>
                <w:b/>
                <w:sz w:val="16"/>
              </w:rPr>
              <w:t>Time</w:t>
            </w:r>
          </w:p>
        </w:tc>
        <w:tc>
          <w:tcPr>
            <w:tcW w:type="dxa" w:w="850"/>
          </w:tcPr>
          <w:p>
            <w:r/>
            <w:r>
              <w:rPr>
                <w:b/>
                <w:sz w:val="16"/>
              </w:rPr>
              <w:t>Obj. no.</w:t>
            </w:r>
          </w:p>
        </w:tc>
        <w:tc>
          <w:tcPr>
            <w:tcW w:type="dxa" w:w="4309"/>
          </w:tcPr>
          <w:p>
            <w:r/>
            <w:r>
              <w:rPr>
                <w:b/>
                <w:sz w:val="16"/>
              </w:rPr>
              <w:t>Content</w:t>
            </w:r>
          </w:p>
        </w:tc>
        <w:tc>
          <w:tcPr>
            <w:tcW w:type="dxa" w:w="2041"/>
          </w:tcPr>
          <w:p>
            <w:r/>
            <w:r>
              <w:rPr>
                <w:b/>
                <w:sz w:val="16"/>
              </w:rPr>
              <w:t>Trainer activity</w:t>
            </w:r>
          </w:p>
        </w:tc>
        <w:tc>
          <w:tcPr>
            <w:tcW w:type="dxa" w:w="2041"/>
          </w:tcPr>
          <w:p>
            <w:r/>
            <w:r>
              <w:rPr>
                <w:b/>
                <w:sz w:val="16"/>
              </w:rPr>
              <w:t>Learner activity</w:t>
            </w:r>
          </w:p>
        </w:tc>
        <w:tc>
          <w:tcPr>
            <w:tcW w:type="dxa" w:w="2041"/>
          </w:tcPr>
          <w:p>
            <w:r/>
            <w:r>
              <w:rPr>
                <w:b/>
                <w:sz w:val="16"/>
              </w:rPr>
              <w:t>Resources</w:t>
            </w:r>
          </w:p>
        </w:tc>
        <w:tc>
          <w:tcPr>
            <w:tcW w:type="dxa" w:w="2041"/>
          </w:tcPr>
          <w:p>
            <w:r/>
            <w:r>
              <w:rPr>
                <w:b/>
                <w:sz w:val="16"/>
              </w:rPr>
              <w:t>Assessment</w:t>
            </w:r>
          </w:p>
        </w:tc>
      </w:tr>
      <w:tr>
        <w:tc>
          <w:tcPr>
            <w:tcW w:type="dxa" w:w="850"/>
          </w:tcPr>
          <w:p>
            <w:r/>
            <w:r>
              <w:rPr>
                <w:sz w:val="16"/>
              </w:rPr>
              <w:t>09:00</w:t>
            </w:r>
          </w:p>
        </w:tc>
        <w:tc>
          <w:tcPr>
            <w:tcW w:type="dxa" w:w="850"/>
          </w:tcPr>
          <w:p>
            <w:r/>
            <w:r>
              <w:rPr>
                <w:sz w:val="16"/>
              </w:rPr>
              <w:t>—</w:t>
            </w:r>
          </w:p>
        </w:tc>
        <w:tc>
          <w:tcPr>
            <w:tcW w:type="dxa" w:w="4309"/>
          </w:tcPr>
          <w:p>
            <w:r/>
            <w:r>
              <w:rPr>
                <w:sz w:val="16"/>
              </w:rPr>
              <w:t>Register, welcome, housekeeping (fire exits, breaks, toilets, phones). Tutor introduction and training background. Learners introduce themselves and their experience. Course aims, the ten learning outcomes, how the day and the assessments work. Pre-course workbook prompts collected and checked. Additional needs confirmed privately.</w:t>
            </w:r>
          </w:p>
        </w:tc>
        <w:tc>
          <w:tcPr>
            <w:tcW w:type="dxa" w:w="2041"/>
          </w:tcPr>
          <w:p>
            <w:r/>
            <w:r>
              <w:rPr>
                <w:sz w:val="16"/>
              </w:rPr>
              <w:t>Presentation, discussion</w:t>
            </w:r>
          </w:p>
        </w:tc>
        <w:tc>
          <w:tcPr>
            <w:tcW w:type="dxa" w:w="2041"/>
          </w:tcPr>
          <w:p>
            <w:r/>
            <w:r>
              <w:rPr>
                <w:sz w:val="16"/>
              </w:rPr>
              <w:t>Listening, questions, handing in pre-course work</w:t>
            </w:r>
          </w:p>
        </w:tc>
        <w:tc>
          <w:tcPr>
            <w:tcW w:type="dxa" w:w="2041"/>
          </w:tcPr>
          <w:p>
            <w:r/>
            <w:r>
              <w:rPr>
                <w:sz w:val="16"/>
              </w:rPr>
              <w:t>Manual Ch. 1, slides, register, Form H</w:t>
            </w:r>
          </w:p>
        </w:tc>
        <w:tc>
          <w:tcPr>
            <w:tcW w:type="dxa" w:w="2041"/>
          </w:tcPr>
          <w:p>
            <w:r/>
            <w:r>
              <w:rPr>
                <w:sz w:val="16"/>
              </w:rPr>
              <w:t>Oral questioning on pre-course reading</w:t>
            </w:r>
          </w:p>
        </w:tc>
      </w:tr>
      <w:tr>
        <w:tc>
          <w:tcPr>
            <w:tcW w:type="dxa" w:w="850"/>
          </w:tcPr>
          <w:p>
            <w:r/>
            <w:r>
              <w:rPr>
                <w:sz w:val="16"/>
              </w:rPr>
              <w:t>09:30</w:t>
            </w:r>
          </w:p>
        </w:tc>
        <w:tc>
          <w:tcPr>
            <w:tcW w:type="dxa" w:w="850"/>
          </w:tcPr>
          <w:p>
            <w:r/>
            <w:r>
              <w:rPr>
                <w:sz w:val="16"/>
              </w:rPr>
              <w:t>LO1, LO2</w:t>
            </w:r>
          </w:p>
        </w:tc>
        <w:tc>
          <w:tcPr>
            <w:tcW w:type="dxa" w:w="4309"/>
          </w:tcPr>
          <w:p>
            <w:r/>
            <w:r>
              <w:rPr>
                <w:sz w:val="16"/>
              </w:rPr>
              <w:t>What builder gel is, benefits and limits, comparison with gel polish, hard gel and acrylic. Nail anatomy recap building on Level 2: the structures to protect, living and non-living tissue. Diseases and disorders: observe, ask, decide, record, refer. Photographs Fig. 2 to 12.</w:t>
            </w:r>
          </w:p>
        </w:tc>
        <w:tc>
          <w:tcPr>
            <w:tcW w:type="dxa" w:w="2041"/>
          </w:tcPr>
          <w:p>
            <w:r/>
            <w:r>
              <w:rPr>
                <w:sz w:val="16"/>
              </w:rPr>
              <w:t>Taught session with images; questioning</w:t>
            </w:r>
          </w:p>
        </w:tc>
        <w:tc>
          <w:tcPr>
            <w:tcW w:type="dxa" w:w="2041"/>
          </w:tcPr>
          <w:p>
            <w:r/>
            <w:r>
              <w:rPr>
                <w:sz w:val="16"/>
              </w:rPr>
              <w:t>Listening, identifying conditions from photographs, group discussion of when to refuse</w:t>
            </w:r>
          </w:p>
        </w:tc>
        <w:tc>
          <w:tcPr>
            <w:tcW w:type="dxa" w:w="2041"/>
          </w:tcPr>
          <w:p>
            <w:r/>
            <w:r>
              <w:rPr>
                <w:sz w:val="16"/>
              </w:rPr>
              <w:t>Manual Ch. 2 to 4, slides, Figures 1 to 12</w:t>
            </w:r>
          </w:p>
        </w:tc>
        <w:tc>
          <w:tcPr>
            <w:tcW w:type="dxa" w:w="2041"/>
          </w:tcPr>
          <w:p>
            <w:r/>
            <w:r>
              <w:rPr>
                <w:sz w:val="16"/>
              </w:rPr>
              <w:t>Direct questioning; identify three conditions and the professional action</w:t>
            </w:r>
          </w:p>
        </w:tc>
      </w:tr>
      <w:tr>
        <w:tc>
          <w:tcPr>
            <w:tcW w:type="dxa" w:w="850"/>
          </w:tcPr>
          <w:p>
            <w:r/>
            <w:r>
              <w:rPr>
                <w:sz w:val="16"/>
              </w:rPr>
              <w:t>10:30</w:t>
            </w:r>
          </w:p>
        </w:tc>
        <w:tc>
          <w:tcPr>
            <w:tcW w:type="dxa" w:w="850"/>
          </w:tcPr>
          <w:p>
            <w:r/>
            <w:r>
              <w:rPr>
                <w:sz w:val="16"/>
              </w:rPr>
              <w:t>LO3, LO4, LO5</w:t>
            </w:r>
          </w:p>
        </w:tc>
        <w:tc>
          <w:tcPr>
            <w:tcW w:type="dxa" w:w="4309"/>
          </w:tcPr>
          <w:p>
            <w:r/>
            <w:r>
              <w:rPr>
                <w:sz w:val="16"/>
              </w:rPr>
              <w:t>Consultation and consent, treatment planning, Form A walkthrough. Gel chemistry: photoinitiators, lamp compatibility, inhibition layer, under-curing and sensitisation, HEMA and TPO. The heat spike: why builder gel is different, and the exact response.</w:t>
            </w:r>
          </w:p>
        </w:tc>
        <w:tc>
          <w:tcPr>
            <w:tcW w:type="dxa" w:w="2041"/>
          </w:tcPr>
          <w:p>
            <w:r/>
            <w:r>
              <w:rPr>
                <w:sz w:val="16"/>
              </w:rPr>
              <w:t>Taught session, demonstration of a consultation, Q and A</w:t>
            </w:r>
          </w:p>
        </w:tc>
        <w:tc>
          <w:tcPr>
            <w:tcW w:type="dxa" w:w="2041"/>
          </w:tcPr>
          <w:p>
            <w:r/>
            <w:r>
              <w:rPr>
                <w:sz w:val="16"/>
              </w:rPr>
              <w:t>Role-play consultation in pairs on Form A; written answer to the Chapter 5 scenario</w:t>
            </w:r>
          </w:p>
        </w:tc>
        <w:tc>
          <w:tcPr>
            <w:tcW w:type="dxa" w:w="2041"/>
          </w:tcPr>
          <w:p>
            <w:r/>
            <w:r>
              <w:rPr>
                <w:sz w:val="16"/>
              </w:rPr>
              <w:t>Manual Ch. 5 and 6, Forms A and B, Figure 13, SDS for the course product</w:t>
            </w:r>
          </w:p>
        </w:tc>
        <w:tc>
          <w:tcPr>
            <w:tcW w:type="dxa" w:w="2041"/>
          </w:tcPr>
          <w:p>
            <w:r/>
            <w:r>
              <w:rPr>
                <w:sz w:val="16"/>
              </w:rPr>
              <w:t>Peer consultation observed by tutor; questioning on cure and heat spike</w:t>
            </w:r>
          </w:p>
        </w:tc>
      </w:tr>
      <w:tr>
        <w:tc>
          <w:tcPr>
            <w:tcW w:type="dxa" w:w="850"/>
          </w:tcPr>
          <w:p>
            <w:r/>
            <w:r>
              <w:rPr>
                <w:sz w:val="16"/>
              </w:rPr>
              <w:t>11:15</w:t>
            </w:r>
          </w:p>
        </w:tc>
        <w:tc>
          <w:tcPr>
            <w:tcW w:type="dxa" w:w="850"/>
          </w:tcPr>
          <w:p>
            <w:r/>
            <w:r>
              <w:rPr>
                <w:sz w:val="16"/>
              </w:rPr>
              <w:t>—</w:t>
            </w:r>
          </w:p>
        </w:tc>
        <w:tc>
          <w:tcPr>
            <w:tcW w:type="dxa" w:w="4309"/>
          </w:tcPr>
          <w:p>
            <w:r/>
            <w:r>
              <w:rPr>
                <w:sz w:val="16"/>
              </w:rPr>
              <w:t>Break (15 minutes)</w:t>
            </w:r>
          </w:p>
        </w:tc>
        <w:tc>
          <w:tcPr>
            <w:tcW w:type="dxa" w:w="2041"/>
          </w:tcPr>
          <w:p>
            <w:r/>
            <w:r>
              <w:rPr>
                <w:sz w:val="16"/>
              </w:rPr>
            </w:r>
          </w:p>
        </w:tc>
        <w:tc>
          <w:tcPr>
            <w:tcW w:type="dxa" w:w="2041"/>
          </w:tcPr>
          <w:p>
            <w:r/>
            <w:r>
              <w:rPr>
                <w:sz w:val="16"/>
              </w:rPr>
            </w:r>
          </w:p>
        </w:tc>
        <w:tc>
          <w:tcPr>
            <w:tcW w:type="dxa" w:w="2041"/>
          </w:tcPr>
          <w:p>
            <w:r/>
            <w:r>
              <w:rPr>
                <w:sz w:val="16"/>
              </w:rPr>
            </w:r>
          </w:p>
        </w:tc>
        <w:tc>
          <w:tcPr>
            <w:tcW w:type="dxa" w:w="2041"/>
          </w:tcPr>
          <w:p>
            <w:r/>
            <w:r>
              <w:rPr>
                <w:sz w:val="16"/>
              </w:rPr>
            </w:r>
          </w:p>
        </w:tc>
      </w:tr>
      <w:tr>
        <w:tc>
          <w:tcPr>
            <w:tcW w:type="dxa" w:w="850"/>
          </w:tcPr>
          <w:p>
            <w:r/>
            <w:r>
              <w:rPr>
                <w:sz w:val="16"/>
              </w:rPr>
              <w:t>11:30</w:t>
            </w:r>
          </w:p>
        </w:tc>
        <w:tc>
          <w:tcPr>
            <w:tcW w:type="dxa" w:w="850"/>
          </w:tcPr>
          <w:p>
            <w:r/>
            <w:r>
              <w:rPr>
                <w:sz w:val="16"/>
              </w:rPr>
              <w:t>LO6, LO7, LO8</w:t>
            </w:r>
          </w:p>
        </w:tc>
        <w:tc>
          <w:tcPr>
            <w:tcW w:type="dxa" w:w="4309"/>
          </w:tcPr>
          <w:p>
            <w:r/>
            <w:r>
              <w:rPr>
                <w:sz w:val="16"/>
              </w:rPr>
              <w:t>Architecture: apex, stress area, C-curve, sidewalls, zones, shapes (Figures 14 to 16). Kit and files (Figure 17). Health, safety and hygiene for builder work; legislation summary. Tutor demonstration: preparation (Figure 18) and full overlay on one hand of the tutor's model, narrated: slip layer, bead, level, flash, full cure, check from every angle, finish.</w:t>
            </w:r>
          </w:p>
        </w:tc>
        <w:tc>
          <w:tcPr>
            <w:tcW w:type="dxa" w:w="2041"/>
          </w:tcPr>
          <w:p>
            <w:r/>
            <w:r>
              <w:rPr>
                <w:sz w:val="16"/>
              </w:rPr>
              <w:t>Demonstration with commentary; learners gather round; questioning</w:t>
            </w:r>
          </w:p>
        </w:tc>
        <w:tc>
          <w:tcPr>
            <w:tcW w:type="dxa" w:w="2041"/>
          </w:tcPr>
          <w:p>
            <w:r/>
            <w:r>
              <w:rPr>
                <w:sz w:val="16"/>
              </w:rPr>
              <w:t>Observing, note-taking, asking questions, identifying the apex from the side and barrel on the demonstration nail</w:t>
            </w:r>
          </w:p>
        </w:tc>
        <w:tc>
          <w:tcPr>
            <w:tcW w:type="dxa" w:w="2041"/>
          </w:tcPr>
          <w:p>
            <w:r/>
            <w:r>
              <w:rPr>
                <w:sz w:val="16"/>
              </w:rPr>
              <w:t>Manual Ch. 7 to 12, Figures 14 to 19, product system, lamp, extraction, models</w:t>
            </w:r>
          </w:p>
        </w:tc>
        <w:tc>
          <w:tcPr>
            <w:tcW w:type="dxa" w:w="2041"/>
          </w:tcPr>
          <w:p>
            <w:r/>
            <w:r>
              <w:rPr>
                <w:sz w:val="16"/>
              </w:rPr>
              <w:t>Oral questioning: where is the apex and why; what would you change if the product flooded the cuticle</w:t>
            </w:r>
          </w:p>
        </w:tc>
      </w:tr>
      <w:tr>
        <w:tc>
          <w:tcPr>
            <w:tcW w:type="dxa" w:w="850"/>
          </w:tcPr>
          <w:p>
            <w:r/>
            <w:r>
              <w:rPr>
                <w:sz w:val="16"/>
              </w:rPr>
              <w:t>12:30</w:t>
            </w:r>
          </w:p>
        </w:tc>
        <w:tc>
          <w:tcPr>
            <w:tcW w:type="dxa" w:w="850"/>
          </w:tcPr>
          <w:p>
            <w:r/>
            <w:r>
              <w:rPr>
                <w:sz w:val="16"/>
              </w:rPr>
              <w:t>—</w:t>
            </w:r>
          </w:p>
        </w:tc>
        <w:tc>
          <w:tcPr>
            <w:tcW w:type="dxa" w:w="4309"/>
          </w:tcPr>
          <w:p>
            <w:r/>
            <w:r>
              <w:rPr>
                <w:sz w:val="16"/>
              </w:rPr>
              <w:t>Lunch (30 minutes, not counted in guided learning hours)</w:t>
            </w:r>
          </w:p>
        </w:tc>
        <w:tc>
          <w:tcPr>
            <w:tcW w:type="dxa" w:w="2041"/>
          </w:tcPr>
          <w:p>
            <w:r/>
            <w:r>
              <w:rPr>
                <w:sz w:val="16"/>
              </w:rPr>
            </w:r>
          </w:p>
        </w:tc>
        <w:tc>
          <w:tcPr>
            <w:tcW w:type="dxa" w:w="2041"/>
          </w:tcPr>
          <w:p>
            <w:r/>
            <w:r>
              <w:rPr>
                <w:sz w:val="16"/>
              </w:rPr>
            </w:r>
          </w:p>
        </w:tc>
        <w:tc>
          <w:tcPr>
            <w:tcW w:type="dxa" w:w="2041"/>
          </w:tcPr>
          <w:p>
            <w:r/>
            <w:r>
              <w:rPr>
                <w:sz w:val="16"/>
              </w:rPr>
            </w:r>
          </w:p>
        </w:tc>
        <w:tc>
          <w:tcPr>
            <w:tcW w:type="dxa" w:w="2041"/>
          </w:tcPr>
          <w:p>
            <w:r/>
            <w:r>
              <w:rPr>
                <w:sz w:val="16"/>
              </w:rPr>
            </w:r>
          </w:p>
        </w:tc>
      </w:tr>
      <w:tr>
        <w:tc>
          <w:tcPr>
            <w:tcW w:type="dxa" w:w="850"/>
          </w:tcPr>
          <w:p>
            <w:r/>
            <w:r>
              <w:rPr>
                <w:sz w:val="16"/>
              </w:rPr>
              <w:t>13:00</w:t>
            </w:r>
          </w:p>
        </w:tc>
        <w:tc>
          <w:tcPr>
            <w:tcW w:type="dxa" w:w="850"/>
          </w:tcPr>
          <w:p>
            <w:r/>
            <w:r>
              <w:rPr>
                <w:sz w:val="16"/>
              </w:rPr>
              <w:t>LO6, LO7, LO8</w:t>
            </w:r>
          </w:p>
        </w:tc>
        <w:tc>
          <w:tcPr>
            <w:tcW w:type="dxa" w:w="4309"/>
          </w:tcPr>
          <w:p>
            <w:r/>
            <w:r>
              <w:rPr>
                <w:sz w:val="16"/>
              </w:rPr>
              <w:t>Supervised practice 1: learners prepare and apply a builder gel overlay to one full hand of their model, tutor circulating, correcting hand position, bead size, gap and cure timing. Heat-spike drill: each learner states the response before their first cure.</w:t>
            </w:r>
          </w:p>
        </w:tc>
        <w:tc>
          <w:tcPr>
            <w:tcW w:type="dxa" w:w="2041"/>
          </w:tcPr>
          <w:p>
            <w:r/>
            <w:r>
              <w:rPr>
                <w:sz w:val="16"/>
              </w:rPr>
              <w:t>Supervision, one-to-one correction, prompting</w:t>
            </w:r>
          </w:p>
        </w:tc>
        <w:tc>
          <w:tcPr>
            <w:tcW w:type="dxa" w:w="2041"/>
          </w:tcPr>
          <w:p>
            <w:r/>
            <w:r>
              <w:rPr>
                <w:sz w:val="16"/>
              </w:rPr>
              <w:t>Preparing the nail, applying slip layer and structure, curing, checking from three angles, finishing</w:t>
            </w:r>
          </w:p>
        </w:tc>
        <w:tc>
          <w:tcPr>
            <w:tcW w:type="dxa" w:w="2041"/>
          </w:tcPr>
          <w:p>
            <w:r/>
            <w:r>
              <w:rPr>
                <w:sz w:val="16"/>
              </w:rPr>
              <w:t>Models, product, lamp, files, wipes, cleanser, extraction, Form C</w:t>
            </w:r>
          </w:p>
        </w:tc>
        <w:tc>
          <w:tcPr>
            <w:tcW w:type="dxa" w:w="2041"/>
          </w:tcPr>
          <w:p>
            <w:r/>
            <w:r>
              <w:rPr>
                <w:sz w:val="16"/>
              </w:rPr>
              <w:t>Tutor observation against B04 criteria (formative); learners self-check with Figure 15</w:t>
            </w:r>
          </w:p>
        </w:tc>
      </w:tr>
      <w:tr>
        <w:tc>
          <w:tcPr>
            <w:tcW w:type="dxa" w:w="850"/>
          </w:tcPr>
          <w:p>
            <w:r/>
            <w:r>
              <w:rPr>
                <w:sz w:val="16"/>
              </w:rPr>
              <w:t>14:30</w:t>
            </w:r>
          </w:p>
        </w:tc>
        <w:tc>
          <w:tcPr>
            <w:tcW w:type="dxa" w:w="850"/>
          </w:tcPr>
          <w:p>
            <w:r/>
            <w:r>
              <w:rPr>
                <w:sz w:val="16"/>
              </w:rPr>
              <w:t>LO9</w:t>
            </w:r>
          </w:p>
        </w:tc>
        <w:tc>
          <w:tcPr>
            <w:tcW w:type="dxa" w:w="4309"/>
          </w:tcPr>
          <w:p>
            <w:r/>
            <w:r>
              <w:rPr>
                <w:sz w:val="16"/>
              </w:rPr>
              <w:t>Short extensions: fitting and blending a tip; fitting a form; building the extension in layers; keeping the apex behind the stress area. Tutor demonstration then supervised practice on two nails per learner.</w:t>
            </w:r>
          </w:p>
        </w:tc>
        <w:tc>
          <w:tcPr>
            <w:tcW w:type="dxa" w:w="2041"/>
          </w:tcPr>
          <w:p>
            <w:r/>
            <w:r>
              <w:rPr>
                <w:sz w:val="16"/>
              </w:rPr>
              <w:t>Demonstration, supervision</w:t>
            </w:r>
          </w:p>
        </w:tc>
        <w:tc>
          <w:tcPr>
            <w:tcW w:type="dxa" w:w="2041"/>
          </w:tcPr>
          <w:p>
            <w:r/>
            <w:r>
              <w:rPr>
                <w:sz w:val="16"/>
              </w:rPr>
              <w:t>Fitting a tip and a form, building a short extension, checking from the barrel</w:t>
            </w:r>
          </w:p>
        </w:tc>
        <w:tc>
          <w:tcPr>
            <w:tcW w:type="dxa" w:w="2041"/>
          </w:tcPr>
          <w:p>
            <w:r/>
            <w:r>
              <w:rPr>
                <w:sz w:val="16"/>
              </w:rPr>
              <w:t>Tips, adhesive, forms, product, lamp, Figure 20</w:t>
            </w:r>
          </w:p>
        </w:tc>
        <w:tc>
          <w:tcPr>
            <w:tcW w:type="dxa" w:w="2041"/>
          </w:tcPr>
          <w:p>
            <w:r/>
            <w:r>
              <w:rPr>
                <w:sz w:val="16"/>
              </w:rPr>
              <w:t>Observation; questioning on length limits</w:t>
            </w:r>
          </w:p>
        </w:tc>
      </w:tr>
      <w:tr>
        <w:tc>
          <w:tcPr>
            <w:tcW w:type="dxa" w:w="850"/>
          </w:tcPr>
          <w:p>
            <w:r/>
            <w:r>
              <w:rPr>
                <w:sz w:val="16"/>
              </w:rPr>
              <w:t>15:15</w:t>
            </w:r>
          </w:p>
        </w:tc>
        <w:tc>
          <w:tcPr>
            <w:tcW w:type="dxa" w:w="850"/>
          </w:tcPr>
          <w:p>
            <w:r/>
            <w:r>
              <w:rPr>
                <w:sz w:val="16"/>
              </w:rPr>
              <w:t>—</w:t>
            </w:r>
          </w:p>
        </w:tc>
        <w:tc>
          <w:tcPr>
            <w:tcW w:type="dxa" w:w="4309"/>
          </w:tcPr>
          <w:p>
            <w:r/>
            <w:r>
              <w:rPr>
                <w:sz w:val="16"/>
              </w:rPr>
              <w:t>Break (15 minutes)</w:t>
            </w:r>
          </w:p>
        </w:tc>
        <w:tc>
          <w:tcPr>
            <w:tcW w:type="dxa" w:w="2041"/>
          </w:tcPr>
          <w:p>
            <w:r/>
            <w:r>
              <w:rPr>
                <w:sz w:val="16"/>
              </w:rPr>
            </w:r>
          </w:p>
        </w:tc>
        <w:tc>
          <w:tcPr>
            <w:tcW w:type="dxa" w:w="2041"/>
          </w:tcPr>
          <w:p>
            <w:r/>
            <w:r>
              <w:rPr>
                <w:sz w:val="16"/>
              </w:rPr>
            </w:r>
          </w:p>
        </w:tc>
        <w:tc>
          <w:tcPr>
            <w:tcW w:type="dxa" w:w="2041"/>
          </w:tcPr>
          <w:p>
            <w:r/>
            <w:r>
              <w:rPr>
                <w:sz w:val="16"/>
              </w:rPr>
            </w:r>
          </w:p>
        </w:tc>
        <w:tc>
          <w:tcPr>
            <w:tcW w:type="dxa" w:w="2041"/>
          </w:tcPr>
          <w:p>
            <w:r/>
            <w:r>
              <w:rPr>
                <w:sz w:val="16"/>
              </w:rPr>
            </w:r>
          </w:p>
        </w:tc>
      </w:tr>
      <w:tr>
        <w:tc>
          <w:tcPr>
            <w:tcW w:type="dxa" w:w="850"/>
          </w:tcPr>
          <w:p>
            <w:r/>
            <w:r>
              <w:rPr>
                <w:sz w:val="16"/>
              </w:rPr>
              <w:t>15:30</w:t>
            </w:r>
          </w:p>
        </w:tc>
        <w:tc>
          <w:tcPr>
            <w:tcW w:type="dxa" w:w="850"/>
          </w:tcPr>
          <w:p>
            <w:r/>
            <w:r>
              <w:rPr>
                <w:sz w:val="16"/>
              </w:rPr>
              <w:t>LO10</w:t>
            </w:r>
          </w:p>
        </w:tc>
        <w:tc>
          <w:tcPr>
            <w:tcW w:type="dxa" w:w="4309"/>
          </w:tcPr>
          <w:p>
            <w:r/>
            <w:r>
              <w:rPr>
                <w:sz w:val="16"/>
              </w:rPr>
              <w:t>Infill, rebalance and removal: reducing the old apex (Figure 21), removal by product category, what never to do. Troubleshooting table. Aftercare and the written handout; teach-back activity in pairs.</w:t>
            </w:r>
          </w:p>
        </w:tc>
        <w:tc>
          <w:tcPr>
            <w:tcW w:type="dxa" w:w="2041"/>
          </w:tcPr>
          <w:p>
            <w:r/>
            <w:r>
              <w:rPr>
                <w:sz w:val="16"/>
              </w:rPr>
              <w:t>Demonstration of removal; discussion</w:t>
            </w:r>
          </w:p>
        </w:tc>
        <w:tc>
          <w:tcPr>
            <w:tcW w:type="dxa" w:w="2041"/>
          </w:tcPr>
          <w:p>
            <w:r/>
            <w:r>
              <w:rPr>
                <w:sz w:val="16"/>
              </w:rPr>
              <w:t>Removing the overlay from two of the model's nails by the correct method; teach-back of aftercare</w:t>
            </w:r>
          </w:p>
        </w:tc>
        <w:tc>
          <w:tcPr>
            <w:tcW w:type="dxa" w:w="2041"/>
          </w:tcPr>
          <w:p>
            <w:r/>
            <w:r>
              <w:rPr>
                <w:sz w:val="16"/>
              </w:rPr>
              <w:t>Manual Ch. 14 to 17, acetone, files, wipes, aftercare handout</w:t>
            </w:r>
          </w:p>
        </w:tc>
        <w:tc>
          <w:tcPr>
            <w:tcW w:type="dxa" w:w="2041"/>
          </w:tcPr>
          <w:p>
            <w:r/>
            <w:r>
              <w:rPr>
                <w:sz w:val="16"/>
              </w:rPr>
              <w:t>Observation; teach-back checklist</w:t>
            </w:r>
          </w:p>
        </w:tc>
      </w:tr>
      <w:tr>
        <w:tc>
          <w:tcPr>
            <w:tcW w:type="dxa" w:w="850"/>
          </w:tcPr>
          <w:p>
            <w:r/>
            <w:r>
              <w:rPr>
                <w:sz w:val="16"/>
              </w:rPr>
              <w:t>16:00</w:t>
            </w:r>
          </w:p>
        </w:tc>
        <w:tc>
          <w:tcPr>
            <w:tcW w:type="dxa" w:w="850"/>
          </w:tcPr>
          <w:p>
            <w:r/>
            <w:r>
              <w:rPr>
                <w:sz w:val="16"/>
              </w:rPr>
              <w:t>All</w:t>
            </w:r>
          </w:p>
        </w:tc>
        <w:tc>
          <w:tcPr>
            <w:tcW w:type="dxa" w:w="4309"/>
          </w:tcPr>
          <w:p>
            <w:r/>
            <w:r>
              <w:rPr>
                <w:sz w:val="16"/>
              </w:rPr>
              <w:t>Practical observation assessment (B04): each learner completes a full overlay on two nails and a removal or infill on one nail of their model while assessed. Theory paper (B02) taken under supervision, 60 minutes, while others are assessed; order rotated.</w:t>
            </w:r>
          </w:p>
        </w:tc>
        <w:tc>
          <w:tcPr>
            <w:tcW w:type="dxa" w:w="2041"/>
          </w:tcPr>
          <w:p>
            <w:r/>
            <w:r>
              <w:rPr>
                <w:sz w:val="16"/>
              </w:rPr>
              <w:t>Assessment, observation, marking</w:t>
            </w:r>
          </w:p>
        </w:tc>
        <w:tc>
          <w:tcPr>
            <w:tcW w:type="dxa" w:w="2041"/>
          </w:tcPr>
          <w:p>
            <w:r/>
            <w:r>
              <w:rPr>
                <w:sz w:val="16"/>
              </w:rPr>
              <w:t>Assessed practical; written paper</w:t>
            </w:r>
          </w:p>
        </w:tc>
        <w:tc>
          <w:tcPr>
            <w:tcW w:type="dxa" w:w="2041"/>
          </w:tcPr>
          <w:p>
            <w:r/>
            <w:r>
              <w:rPr>
                <w:sz w:val="16"/>
              </w:rPr>
              <w:t>B02, B03, B04, models, kit</w:t>
            </w:r>
          </w:p>
        </w:tc>
        <w:tc>
          <w:tcPr>
            <w:tcW w:type="dxa" w:w="2041"/>
          </w:tcPr>
          <w:p>
            <w:r/>
            <w:r>
              <w:rPr>
                <w:sz w:val="16"/>
              </w:rPr>
              <w:t>Summative: B02 marked against B03; B04 scored; feedback given</w:t>
            </w:r>
          </w:p>
        </w:tc>
      </w:tr>
      <w:tr>
        <w:tc>
          <w:tcPr>
            <w:tcW w:type="dxa" w:w="850"/>
          </w:tcPr>
          <w:p>
            <w:r/>
            <w:r>
              <w:rPr>
                <w:sz w:val="16"/>
              </w:rPr>
              <w:t>17:15</w:t>
            </w:r>
          </w:p>
        </w:tc>
        <w:tc>
          <w:tcPr>
            <w:tcW w:type="dxa" w:w="850"/>
          </w:tcPr>
          <w:p>
            <w:r/>
            <w:r>
              <w:rPr>
                <w:sz w:val="16"/>
              </w:rPr>
              <w:t>—</w:t>
            </w:r>
          </w:p>
        </w:tc>
        <w:tc>
          <w:tcPr>
            <w:tcW w:type="dxa" w:w="4309"/>
          </w:tcPr>
          <w:p>
            <w:r/>
            <w:r>
              <w:rPr>
                <w:sz w:val="16"/>
              </w:rPr>
              <w:t>Feedback and results where marked; case-study brief (three sets, Form D, photographs with consent, due within eight weeks); Form G compatibility record for the learner's own kit; evaluation form and reflective practice form issued; next steps and ongoing support; close.</w:t>
            </w:r>
          </w:p>
        </w:tc>
        <w:tc>
          <w:tcPr>
            <w:tcW w:type="dxa" w:w="2041"/>
          </w:tcPr>
          <w:p>
            <w:r/>
            <w:r>
              <w:rPr>
                <w:sz w:val="16"/>
              </w:rPr>
              <w:t>Feedback, briefing</w:t>
            </w:r>
          </w:p>
        </w:tc>
        <w:tc>
          <w:tcPr>
            <w:tcW w:type="dxa" w:w="2041"/>
          </w:tcPr>
          <w:p>
            <w:r/>
            <w:r>
              <w:rPr>
                <w:sz w:val="16"/>
              </w:rPr>
              <w:t>Receiving feedback, completing evaluation form, asking questions</w:t>
            </w:r>
          </w:p>
        </w:tc>
        <w:tc>
          <w:tcPr>
            <w:tcW w:type="dxa" w:w="2041"/>
          </w:tcPr>
          <w:p>
            <w:r/>
            <w:r>
              <w:rPr>
                <w:sz w:val="16"/>
              </w:rPr>
              <w:t>Forms D, G, evaluation and reflective practice forms, Chapter 18</w:t>
            </w:r>
          </w:p>
        </w:tc>
        <w:tc>
          <w:tcPr>
            <w:tcW w:type="dxa" w:w="2041"/>
          </w:tcPr>
          <w:p>
            <w:r/>
            <w:r>
              <w:rPr>
                <w:sz w:val="16"/>
              </w:rPr>
              <w:t>Evaluation forms reviewed by tutor to improve the course</w:t>
            </w:r>
          </w:p>
        </w:tc>
      </w:tr>
      <w:tr>
        <w:tc>
          <w:tcPr>
            <w:tcW w:type="dxa" w:w="850"/>
          </w:tcPr>
          <w:p>
            <w:r/>
            <w:r>
              <w:rPr>
                <w:sz w:val="16"/>
              </w:rPr>
              <w:t>17:30</w:t>
            </w:r>
          </w:p>
        </w:tc>
        <w:tc>
          <w:tcPr>
            <w:tcW w:type="dxa" w:w="850"/>
          </w:tcPr>
          <w:p>
            <w:r/>
            <w:r>
              <w:rPr>
                <w:sz w:val="16"/>
              </w:rPr>
              <w:t>—</w:t>
            </w:r>
          </w:p>
        </w:tc>
        <w:tc>
          <w:tcPr>
            <w:tcW w:type="dxa" w:w="4309"/>
          </w:tcPr>
          <w:p>
            <w:r/>
            <w:r>
              <w:rPr>
                <w:sz w:val="16"/>
              </w:rPr>
              <w:t>End of taught day. Guided learning hours: 7.5 (09:00 to 17:30 less 60 minutes of breaks and lunch).</w:t>
            </w:r>
          </w:p>
        </w:tc>
        <w:tc>
          <w:tcPr>
            <w:tcW w:type="dxa" w:w="2041"/>
          </w:tcPr>
          <w:p>
            <w:r/>
            <w:r>
              <w:rPr>
                <w:sz w:val="16"/>
              </w:rPr>
            </w:r>
          </w:p>
        </w:tc>
        <w:tc>
          <w:tcPr>
            <w:tcW w:type="dxa" w:w="2041"/>
          </w:tcPr>
          <w:p>
            <w:r/>
            <w:r>
              <w:rPr>
                <w:sz w:val="16"/>
              </w:rPr>
            </w:r>
          </w:p>
        </w:tc>
        <w:tc>
          <w:tcPr>
            <w:tcW w:type="dxa" w:w="2041"/>
          </w:tcPr>
          <w:p>
            <w:r/>
            <w:r>
              <w:rPr>
                <w:sz w:val="16"/>
              </w:rPr>
            </w:r>
          </w:p>
        </w:tc>
        <w:tc>
          <w:tcPr>
            <w:tcW w:type="dxa" w:w="2041"/>
          </w:tcPr>
          <w:p>
            <w:r/>
            <w:r>
              <w:rPr>
                <w:sz w:val="16"/>
              </w:rPr>
            </w:r>
          </w:p>
        </w:tc>
      </w:tr>
    </w:tbl>
    <w:p>
      <w:pPr>
        <w:spacing w:before="200" w:after="60"/>
      </w:pPr>
      <w:r>
        <w:rPr>
          <w:b/>
          <w:color w:val="4F8A81"/>
          <w:sz w:val="26"/>
        </w:rPr>
        <w:t>Post-course (approximately 7.5 hours)</w:t>
      </w:r>
    </w:p>
    <w:p>
      <w:r>
        <w:rPr>
          <w:b w:val="0"/>
          <w:i w:val="0"/>
          <w:sz w:val="20"/>
        </w:rPr>
        <w:t>Three complete builder gel services on three different clients or models, each with consultation (Form A), treatment record (Form C), photographs from above, side and barrel with consent (Form B), aftercare, reflection and educator feedback (Form D). Submitted within eight weeks. Certificate issued when theory, practical and all three case studies are satisfactory.</w:t>
      </w:r>
    </w:p>
    <w:sectPr w:rsidR="00FC693F" w:rsidRPr="0006063C" w:rsidSect="00034616">
      <w:pgSz w:w="15840" w:h="12240" w:orient="landscape"/>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