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C937" w14:textId="426313BC" w:rsidR="00EA594A" w:rsidRPr="00EA594A" w:rsidRDefault="002D10A6" w:rsidP="00EA594A">
      <w:pPr>
        <w:pStyle w:val="Title"/>
        <w:jc w:val="center"/>
        <w:rPr>
          <w:rFonts w:ascii="Calibri" w:hAnsi="Calibri" w:cs="Calibri"/>
          <w:b/>
          <w:bCs/>
          <w:sz w:val="52"/>
          <w:szCs w:val="54"/>
        </w:rPr>
      </w:pPr>
      <w:r w:rsidRPr="00572877">
        <w:rPr>
          <w:rFonts w:ascii="Calibri" w:hAnsi="Calibri" w:cs="Calibri"/>
          <w:b/>
          <w:bCs/>
          <w:sz w:val="52"/>
          <w:szCs w:val="54"/>
        </w:rPr>
        <w:t>IBEDC Commercial performance programme</w:t>
      </w:r>
    </w:p>
    <w:p w14:paraId="01F3CFE9" w14:textId="79030C2A" w:rsidR="00B2086D" w:rsidRPr="00600894" w:rsidRDefault="002D10A6" w:rsidP="00AC6649">
      <w:pPr>
        <w:spacing w:afterLines="20" w:after="48"/>
        <w:rPr>
          <w:rFonts w:ascii="Calibri" w:hAnsi="Calibri" w:cs="Calibri"/>
          <w:sz w:val="22"/>
          <w:szCs w:val="22"/>
        </w:rPr>
      </w:pPr>
      <w:r w:rsidRPr="00600894">
        <w:rPr>
          <w:rFonts w:ascii="Calibri" w:hAnsi="Calibri" w:cs="Calibri"/>
          <w:sz w:val="22"/>
          <w:szCs w:val="22"/>
        </w:rPr>
        <w:t xml:space="preserve">Prepared by </w:t>
      </w:r>
      <w:r w:rsidR="002D234B">
        <w:rPr>
          <w:rFonts w:ascii="Calibri" w:hAnsi="Calibri" w:cs="Calibri"/>
          <w:sz w:val="22"/>
          <w:szCs w:val="22"/>
        </w:rPr>
        <w:t>WIDDA</w:t>
      </w:r>
      <w:r w:rsidRPr="00600894">
        <w:rPr>
          <w:rFonts w:ascii="Calibri" w:hAnsi="Calibri" w:cs="Calibri"/>
          <w:sz w:val="22"/>
          <w:szCs w:val="22"/>
        </w:rPr>
        <w:t>, for IBEDC executive leadership.</w:t>
      </w:r>
    </w:p>
    <w:p w14:paraId="017BCD14" w14:textId="6CA12EF7" w:rsidR="00B2086D" w:rsidRPr="00572877" w:rsidRDefault="00936EA9" w:rsidP="004B08D5">
      <w:pPr>
        <w:pStyle w:val="Heading1"/>
        <w:pBdr>
          <w:bottom w:val="single" w:sz="4" w:space="0" w:color="auto"/>
        </w:pBdr>
        <w:spacing w:afterLines="20" w:after="48"/>
        <w:rPr>
          <w:rFonts w:ascii="Calibri" w:hAnsi="Calibri" w:cs="Calibri"/>
          <w:b/>
          <w:bCs/>
        </w:rPr>
      </w:pPr>
      <w:sdt>
        <w:sdtPr>
          <w:rPr>
            <w:rFonts w:ascii="Calibri" w:hAnsi="Calibri" w:cs="Calibri"/>
            <w:b/>
            <w:bCs/>
          </w:rPr>
          <w:id w:val="-2000642502"/>
          <w:placeholder>
            <w:docPart w:val="F615C104706344F9B501125CDBACB232"/>
          </w:placeholder>
          <w15:appearance w15:val="hidden"/>
        </w:sdtPr>
        <w:sdtEndPr/>
        <w:sdtContent>
          <w:r w:rsidR="002D10A6" w:rsidRPr="00572877">
            <w:rPr>
              <w:rFonts w:ascii="Calibri" w:hAnsi="Calibri" w:cs="Calibri"/>
              <w:b/>
              <w:bCs/>
            </w:rPr>
            <w:t>Executive summary</w:t>
          </w:r>
        </w:sdtContent>
      </w:sdt>
      <w:r w:rsidR="00666674" w:rsidRPr="00572877">
        <w:rPr>
          <w:rFonts w:ascii="Calibri" w:hAnsi="Calibri" w:cs="Calibri"/>
          <w:b/>
          <w:bCs/>
        </w:rPr>
        <w:t xml:space="preserve"> </w:t>
      </w:r>
    </w:p>
    <w:p w14:paraId="5B869FFA" w14:textId="77777777" w:rsidR="00AC6649" w:rsidRDefault="00AC6649" w:rsidP="00FC455A">
      <w:pPr>
        <w:spacing w:afterLines="20" w:after="48"/>
        <w:rPr>
          <w:rFonts w:ascii="Calibri" w:hAnsi="Calibri" w:cs="Calibri"/>
          <w:sz w:val="22"/>
          <w:szCs w:val="22"/>
          <w:lang w:val="en-IE"/>
        </w:rPr>
      </w:pPr>
    </w:p>
    <w:p w14:paraId="1FCA66C5" w14:textId="173B5DB5" w:rsidR="002102B7" w:rsidRDefault="00AF1DD1" w:rsidP="00FC455A">
      <w:pPr>
        <w:spacing w:afterLines="20" w:after="48"/>
        <w:rPr>
          <w:rFonts w:ascii="Calibri" w:hAnsi="Calibri" w:cs="Calibri"/>
          <w:sz w:val="22"/>
          <w:szCs w:val="22"/>
          <w:lang w:val="en-IE"/>
        </w:rPr>
      </w:pPr>
      <w:r w:rsidRPr="00AF1DD1">
        <w:rPr>
          <w:rFonts w:ascii="Calibri" w:hAnsi="Calibri" w:cs="Calibri"/>
          <w:sz w:val="22"/>
          <w:szCs w:val="22"/>
          <w:lang w:val="en-IE"/>
        </w:rPr>
        <w:t>Ibadan Electricity Distribution Company (IBEDC) operates in a complex distribution environment where improving operational discipline, commercial performance, and network visibility is critical to achieving long-term financial sustainability. While progress has been made, structural challenges—including limited customer visibility, energy accounting gaps, revenue recovery constraints, and organisational alignment—continue to impact operational efficiency and revenue performance.</w:t>
      </w:r>
    </w:p>
    <w:p w14:paraId="1BF72DA1" w14:textId="77777777" w:rsidR="002F0BDE" w:rsidRPr="00AF1DD1" w:rsidRDefault="002F0BDE" w:rsidP="00FC455A">
      <w:pPr>
        <w:spacing w:afterLines="20" w:after="48"/>
        <w:rPr>
          <w:rFonts w:ascii="Calibri" w:hAnsi="Calibri" w:cs="Calibri"/>
          <w:sz w:val="22"/>
          <w:szCs w:val="22"/>
          <w:lang w:val="en-IE"/>
        </w:rPr>
      </w:pPr>
    </w:p>
    <w:p w14:paraId="2C29368F" w14:textId="1992026D" w:rsidR="00AF1DD1" w:rsidRDefault="00AF1DD1" w:rsidP="00FC455A">
      <w:pPr>
        <w:spacing w:afterLines="20" w:after="48"/>
        <w:rPr>
          <w:rFonts w:ascii="Calibri" w:hAnsi="Calibri" w:cs="Calibri"/>
          <w:sz w:val="22"/>
          <w:szCs w:val="22"/>
          <w:lang w:val="en-IE"/>
        </w:rPr>
      </w:pPr>
      <w:r w:rsidRPr="00AF1DD1">
        <w:rPr>
          <w:rFonts w:ascii="Calibri" w:hAnsi="Calibri" w:cs="Calibri"/>
          <w:sz w:val="22"/>
          <w:szCs w:val="22"/>
          <w:lang w:val="en-IE"/>
        </w:rPr>
        <w:t xml:space="preserve">This programme provides a structured execution framework to support IBEDC leadership in addressing these challenges while reinforcing existing governance structures. </w:t>
      </w:r>
      <w:r w:rsidR="00D04DDE">
        <w:rPr>
          <w:rFonts w:ascii="Calibri" w:hAnsi="Calibri" w:cs="Calibri"/>
          <w:sz w:val="22"/>
          <w:szCs w:val="22"/>
          <w:lang w:val="en-IE"/>
        </w:rPr>
        <w:t>WIDDA</w:t>
      </w:r>
      <w:r w:rsidRPr="00AF1DD1">
        <w:rPr>
          <w:rFonts w:ascii="Calibri" w:hAnsi="Calibri" w:cs="Calibri"/>
          <w:sz w:val="22"/>
          <w:szCs w:val="22"/>
          <w:lang w:val="en-IE"/>
        </w:rPr>
        <w:t xml:space="preserve"> will act as a collaborative partner to management, focusing on translating strategic priorities into practical execution plans, strengthening internal capabilities through analytical tools and operational frameworks, and improving transparency through enhanced monitoring and performance oversight.</w:t>
      </w:r>
    </w:p>
    <w:p w14:paraId="733B50E2" w14:textId="77777777" w:rsidR="002F0BDE" w:rsidRPr="00AF1DD1" w:rsidRDefault="002F0BDE" w:rsidP="00FC455A">
      <w:pPr>
        <w:spacing w:afterLines="20" w:after="48"/>
        <w:rPr>
          <w:rFonts w:ascii="Calibri" w:hAnsi="Calibri" w:cs="Calibri"/>
          <w:sz w:val="22"/>
          <w:szCs w:val="22"/>
          <w:lang w:val="en-IE"/>
        </w:rPr>
      </w:pPr>
    </w:p>
    <w:p w14:paraId="1FB0F05B" w14:textId="77777777" w:rsidR="00D04DDE" w:rsidRDefault="00AF1DD1" w:rsidP="00FC455A">
      <w:pPr>
        <w:spacing w:afterLines="20" w:after="48"/>
        <w:rPr>
          <w:rFonts w:ascii="Calibri" w:hAnsi="Calibri" w:cs="Calibri"/>
          <w:sz w:val="22"/>
          <w:szCs w:val="22"/>
          <w:lang w:val="en-IE"/>
        </w:rPr>
      </w:pPr>
      <w:r w:rsidRPr="00AF1DD1">
        <w:rPr>
          <w:rFonts w:ascii="Calibri" w:hAnsi="Calibri" w:cs="Calibri"/>
          <w:sz w:val="22"/>
          <w:szCs w:val="22"/>
          <w:lang w:val="en-IE"/>
        </w:rPr>
        <w:t xml:space="preserve">The approach follows a </w:t>
      </w:r>
      <w:r w:rsidRPr="00AF1DD1">
        <w:rPr>
          <w:rFonts w:ascii="Calibri" w:hAnsi="Calibri" w:cs="Calibri"/>
          <w:b/>
          <w:bCs/>
          <w:sz w:val="22"/>
          <w:szCs w:val="22"/>
          <w:lang w:val="en-IE"/>
        </w:rPr>
        <w:t>three-phase implementation model</w:t>
      </w:r>
      <w:r w:rsidR="00D04DDE">
        <w:rPr>
          <w:rFonts w:ascii="Calibri" w:hAnsi="Calibri" w:cs="Calibri"/>
          <w:sz w:val="22"/>
          <w:szCs w:val="22"/>
          <w:lang w:val="en-IE"/>
        </w:rPr>
        <w:t>:</w:t>
      </w:r>
    </w:p>
    <w:p w14:paraId="7F8EB942" w14:textId="620191EC" w:rsidR="007958E2" w:rsidRDefault="00AF1DD1" w:rsidP="00FC455A">
      <w:pPr>
        <w:spacing w:afterLines="20" w:after="48"/>
        <w:rPr>
          <w:rFonts w:ascii="Calibri" w:hAnsi="Calibri" w:cs="Calibri"/>
          <w:sz w:val="22"/>
          <w:szCs w:val="22"/>
          <w:lang w:val="en-IE"/>
        </w:rPr>
      </w:pPr>
      <w:r w:rsidRPr="00AF1DD1">
        <w:rPr>
          <w:rFonts w:ascii="Calibri" w:hAnsi="Calibri" w:cs="Calibri"/>
          <w:sz w:val="22"/>
          <w:szCs w:val="22"/>
          <w:lang w:val="en-IE"/>
        </w:rPr>
        <w:t xml:space="preserve">The </w:t>
      </w:r>
      <w:r w:rsidRPr="00AF1DD1">
        <w:rPr>
          <w:rFonts w:ascii="Calibri" w:hAnsi="Calibri" w:cs="Calibri"/>
          <w:b/>
          <w:bCs/>
          <w:sz w:val="22"/>
          <w:szCs w:val="22"/>
          <w:lang w:val="en-IE"/>
        </w:rPr>
        <w:t>first</w:t>
      </w:r>
      <w:r w:rsidRPr="00AF1DD1">
        <w:rPr>
          <w:rFonts w:ascii="Calibri" w:hAnsi="Calibri" w:cs="Calibri"/>
          <w:sz w:val="22"/>
          <w:szCs w:val="22"/>
          <w:lang w:val="en-IE"/>
        </w:rPr>
        <w:t xml:space="preserve"> phase focuses on </w:t>
      </w:r>
      <w:r w:rsidRPr="00AF1DD1">
        <w:rPr>
          <w:rFonts w:ascii="Calibri" w:hAnsi="Calibri" w:cs="Calibri"/>
          <w:b/>
          <w:bCs/>
          <w:sz w:val="22"/>
          <w:szCs w:val="22"/>
          <w:lang w:val="en-IE"/>
        </w:rPr>
        <w:t>operational diagnostics and visibility</w:t>
      </w:r>
      <w:r w:rsidRPr="00AF1DD1">
        <w:rPr>
          <w:rFonts w:ascii="Calibri" w:hAnsi="Calibri" w:cs="Calibri"/>
          <w:sz w:val="22"/>
          <w:szCs w:val="22"/>
          <w:lang w:val="en-IE"/>
        </w:rPr>
        <w:t>, establishing a performance baseline across billing, collections, metering, and customer data while mapping energy flows across feeders and transformers.</w:t>
      </w:r>
    </w:p>
    <w:p w14:paraId="78310F32" w14:textId="15B61B3C" w:rsidR="00EA594A" w:rsidRDefault="00AF1DD1" w:rsidP="00FC455A">
      <w:pPr>
        <w:spacing w:afterLines="20" w:after="48"/>
        <w:rPr>
          <w:rFonts w:ascii="Calibri" w:hAnsi="Calibri" w:cs="Calibri"/>
          <w:sz w:val="22"/>
          <w:szCs w:val="22"/>
          <w:lang w:val="en-IE"/>
        </w:rPr>
      </w:pPr>
      <w:r w:rsidRPr="00AF1DD1">
        <w:rPr>
          <w:rFonts w:ascii="Calibri" w:hAnsi="Calibri" w:cs="Calibri"/>
          <w:sz w:val="22"/>
          <w:szCs w:val="22"/>
          <w:lang w:val="en-IE"/>
        </w:rPr>
        <w:t xml:space="preserve">The </w:t>
      </w:r>
      <w:r w:rsidRPr="00AF1DD1">
        <w:rPr>
          <w:rFonts w:ascii="Calibri" w:hAnsi="Calibri" w:cs="Calibri"/>
          <w:b/>
          <w:bCs/>
          <w:sz w:val="22"/>
          <w:szCs w:val="22"/>
          <w:lang w:val="en-IE"/>
        </w:rPr>
        <w:t>second</w:t>
      </w:r>
      <w:r w:rsidRPr="00AF1DD1">
        <w:rPr>
          <w:rFonts w:ascii="Calibri" w:hAnsi="Calibri" w:cs="Calibri"/>
          <w:sz w:val="22"/>
          <w:szCs w:val="22"/>
          <w:lang w:val="en-IE"/>
        </w:rPr>
        <w:t xml:space="preserve"> phase targets </w:t>
      </w:r>
      <w:r w:rsidRPr="00AF1DD1">
        <w:rPr>
          <w:rFonts w:ascii="Calibri" w:hAnsi="Calibri" w:cs="Calibri"/>
          <w:b/>
          <w:bCs/>
          <w:sz w:val="22"/>
          <w:szCs w:val="22"/>
          <w:lang w:val="en-IE"/>
        </w:rPr>
        <w:t>commercial performance improvement</w:t>
      </w:r>
      <w:r w:rsidRPr="00AF1DD1">
        <w:rPr>
          <w:rFonts w:ascii="Calibri" w:hAnsi="Calibri" w:cs="Calibri"/>
          <w:sz w:val="22"/>
          <w:szCs w:val="22"/>
          <w:lang w:val="en-IE"/>
        </w:rPr>
        <w:t>, including enhanced billing accuracy, optimised revenue collection strategies, expanded digital payment channels, and the introduction of operational performance dashboards</w:t>
      </w:r>
      <w:r w:rsidR="00CB0189">
        <w:rPr>
          <w:rFonts w:ascii="Calibri" w:hAnsi="Calibri" w:cs="Calibri"/>
          <w:sz w:val="22"/>
          <w:szCs w:val="22"/>
          <w:lang w:val="en-IE"/>
        </w:rPr>
        <w:t xml:space="preserve"> for business wellness.</w:t>
      </w:r>
    </w:p>
    <w:p w14:paraId="441EE41F" w14:textId="5C7186E8" w:rsidR="00AF1DD1" w:rsidRDefault="00AF1DD1" w:rsidP="00FC455A">
      <w:pPr>
        <w:spacing w:afterLines="20" w:after="48"/>
        <w:rPr>
          <w:rFonts w:ascii="Calibri" w:hAnsi="Calibri" w:cs="Calibri"/>
          <w:sz w:val="22"/>
          <w:szCs w:val="22"/>
          <w:lang w:val="en-IE"/>
        </w:rPr>
      </w:pPr>
      <w:r w:rsidRPr="00AF1DD1">
        <w:rPr>
          <w:rFonts w:ascii="Calibri" w:hAnsi="Calibri" w:cs="Calibri"/>
          <w:sz w:val="22"/>
          <w:szCs w:val="22"/>
          <w:lang w:val="en-IE"/>
        </w:rPr>
        <w:t xml:space="preserve">The </w:t>
      </w:r>
      <w:r w:rsidRPr="00AF1DD1">
        <w:rPr>
          <w:rFonts w:ascii="Calibri" w:hAnsi="Calibri" w:cs="Calibri"/>
          <w:b/>
          <w:bCs/>
          <w:sz w:val="22"/>
          <w:szCs w:val="22"/>
          <w:lang w:val="en-IE"/>
        </w:rPr>
        <w:t>final</w:t>
      </w:r>
      <w:r w:rsidRPr="00AF1DD1">
        <w:rPr>
          <w:rFonts w:ascii="Calibri" w:hAnsi="Calibri" w:cs="Calibri"/>
          <w:sz w:val="22"/>
          <w:szCs w:val="22"/>
          <w:lang w:val="en-IE"/>
        </w:rPr>
        <w:t xml:space="preserve"> phase focuses on </w:t>
      </w:r>
      <w:r w:rsidRPr="00AF1DD1">
        <w:rPr>
          <w:rFonts w:ascii="Calibri" w:hAnsi="Calibri" w:cs="Calibri"/>
          <w:b/>
          <w:bCs/>
          <w:sz w:val="22"/>
          <w:szCs w:val="22"/>
          <w:lang w:val="en-IE"/>
        </w:rPr>
        <w:t>system strengthening and long-term capability</w:t>
      </w:r>
      <w:r w:rsidRPr="00AF1DD1">
        <w:rPr>
          <w:rFonts w:ascii="Calibri" w:hAnsi="Calibri" w:cs="Calibri"/>
          <w:sz w:val="22"/>
          <w:szCs w:val="22"/>
          <w:lang w:val="en-IE"/>
        </w:rPr>
        <w:t>, including advanced metering deployment, improved network monitoring and the development of internal commercial analytics capabilities.</w:t>
      </w:r>
    </w:p>
    <w:p w14:paraId="6B69585D" w14:textId="77777777" w:rsidR="007251AB" w:rsidRPr="00AF1DD1" w:rsidRDefault="007251AB" w:rsidP="00FC455A">
      <w:pPr>
        <w:spacing w:afterLines="20" w:after="48"/>
        <w:rPr>
          <w:rFonts w:ascii="Calibri" w:hAnsi="Calibri" w:cs="Calibri"/>
          <w:sz w:val="22"/>
          <w:szCs w:val="22"/>
          <w:lang w:val="en-IE"/>
        </w:rPr>
      </w:pPr>
    </w:p>
    <w:p w14:paraId="6FD51E60" w14:textId="5AC04246" w:rsidR="004D3025" w:rsidRDefault="00AF1DD1" w:rsidP="00FC455A">
      <w:pPr>
        <w:spacing w:afterLines="20" w:after="48"/>
        <w:rPr>
          <w:rFonts w:ascii="Calibri" w:hAnsi="Calibri" w:cs="Calibri"/>
          <w:sz w:val="22"/>
          <w:szCs w:val="22"/>
          <w:lang w:val="en-IE"/>
        </w:rPr>
      </w:pPr>
      <w:r w:rsidRPr="00AF1DD1">
        <w:rPr>
          <w:rFonts w:ascii="Calibri" w:hAnsi="Calibri" w:cs="Calibri"/>
          <w:sz w:val="22"/>
          <w:szCs w:val="22"/>
          <w:lang w:val="en-IE"/>
        </w:rPr>
        <w:t>Supported by strong organisational enablement—including leadership alignment, accountability frameworks, and performance measurement systems—this programme aims to deliver measurable improvements in billing efficiency, revenue collection, customer visibility, and loss reduction</w:t>
      </w:r>
      <w:r w:rsidR="000C76C0">
        <w:rPr>
          <w:rFonts w:ascii="Calibri" w:hAnsi="Calibri" w:cs="Calibri"/>
          <w:sz w:val="22"/>
          <w:szCs w:val="22"/>
          <w:lang w:val="en-IE"/>
        </w:rPr>
        <w:t xml:space="preserve">. </w:t>
      </w:r>
      <w:r w:rsidRPr="00AF1DD1">
        <w:rPr>
          <w:rFonts w:ascii="Calibri" w:hAnsi="Calibri" w:cs="Calibri"/>
          <w:sz w:val="22"/>
          <w:szCs w:val="22"/>
          <w:lang w:val="en-IE"/>
        </w:rPr>
        <w:t xml:space="preserve">Overall, the initiative will support IBEDC in strengthening operational transparency and building a </w:t>
      </w:r>
      <w:r w:rsidRPr="00AF1DD1">
        <w:rPr>
          <w:rFonts w:ascii="Calibri" w:hAnsi="Calibri" w:cs="Calibri"/>
          <w:b/>
          <w:bCs/>
          <w:sz w:val="22"/>
          <w:szCs w:val="22"/>
          <w:lang w:val="en-IE"/>
        </w:rPr>
        <w:t>financially sustainable and resilient electricity distribution business</w:t>
      </w:r>
      <w:r w:rsidRPr="00AF1DD1">
        <w:rPr>
          <w:rFonts w:ascii="Calibri" w:hAnsi="Calibri" w:cs="Calibri"/>
          <w:sz w:val="22"/>
          <w:szCs w:val="22"/>
          <w:lang w:val="en-IE"/>
        </w:rPr>
        <w:t>.</w:t>
      </w:r>
    </w:p>
    <w:p w14:paraId="1E6C8B02" w14:textId="6ADE6E9F" w:rsidR="00AF1DD1" w:rsidRPr="00AF1DD1" w:rsidRDefault="004D3025" w:rsidP="00FC455A">
      <w:pPr>
        <w:spacing w:afterLines="20" w:after="48"/>
        <w:rPr>
          <w:rFonts w:ascii="Calibri" w:hAnsi="Calibri" w:cs="Calibri"/>
          <w:sz w:val="22"/>
          <w:szCs w:val="22"/>
          <w:lang w:val="en-IE"/>
        </w:rPr>
      </w:pPr>
      <w:r>
        <w:rPr>
          <w:rFonts w:ascii="Calibri" w:hAnsi="Calibri" w:cs="Calibri"/>
          <w:sz w:val="22"/>
          <w:szCs w:val="22"/>
          <w:lang w:val="en-IE"/>
        </w:rPr>
        <w:br w:type="page"/>
      </w:r>
    </w:p>
    <w:tbl>
      <w:tblPr>
        <w:tblW w:w="0" w:type="auto"/>
        <w:tblCellMar>
          <w:left w:w="14" w:type="dxa"/>
        </w:tblCellMar>
        <w:tblLook w:val="0600" w:firstRow="0" w:lastRow="0" w:firstColumn="0" w:lastColumn="0" w:noHBand="1" w:noVBand="1"/>
      </w:tblPr>
      <w:tblGrid>
        <w:gridCol w:w="10070"/>
      </w:tblGrid>
      <w:tr w:rsidR="00B46CA8" w:rsidRPr="002D10A6" w14:paraId="12D39BC3" w14:textId="77777777" w:rsidTr="004B08D5">
        <w:trPr>
          <w:trHeight w:val="567"/>
        </w:trPr>
        <w:tc>
          <w:tcPr>
            <w:tcW w:w="10070" w:type="dxa"/>
            <w:tcBorders>
              <w:bottom w:val="single" w:sz="4" w:space="0" w:color="auto"/>
            </w:tcBorders>
          </w:tcPr>
          <w:p w14:paraId="3ADEDD11" w14:textId="185EAEC0" w:rsidR="00B46CA8" w:rsidRPr="000A63E8" w:rsidRDefault="00936EA9" w:rsidP="000A63E8">
            <w:pPr>
              <w:pStyle w:val="Heading2"/>
              <w:spacing w:after="0"/>
              <w:rPr>
                <w:rFonts w:ascii="Calibri" w:hAnsi="Calibri" w:cs="Calibri"/>
                <w:b/>
                <w:bCs/>
                <w:color w:val="595959" w:themeColor="text1" w:themeTint="A6"/>
              </w:rPr>
            </w:pPr>
            <w:sdt>
              <w:sdtPr>
                <w:rPr>
                  <w:rFonts w:ascii="Calibri" w:hAnsi="Calibri" w:cs="Calibri"/>
                  <w:b/>
                  <w:bCs/>
                  <w:color w:val="595959" w:themeColor="text1" w:themeTint="A6"/>
                  <w:sz w:val="32"/>
                  <w:szCs w:val="48"/>
                </w:rPr>
                <w:id w:val="-1341004364"/>
                <w:placeholder>
                  <w:docPart w:val="E710A31F42FA422DB8E2E65C669DA991"/>
                </w:placeholder>
                <w15:appearance w15:val="hidden"/>
              </w:sdtPr>
              <w:sdtEndPr>
                <w:rPr>
                  <w:color w:val="595959" w:themeColor="text1" w:themeTint="A6"/>
                </w:rPr>
              </w:sdtEndPr>
              <w:sdtContent>
                <w:r w:rsidR="002D10A6" w:rsidRPr="000A63E8">
                  <w:rPr>
                    <w:rFonts w:ascii="Calibri" w:hAnsi="Calibri" w:cs="Calibri"/>
                    <w:b/>
                    <w:bCs/>
                    <w:color w:val="595959" w:themeColor="text1" w:themeTint="A6"/>
                    <w:sz w:val="32"/>
                    <w:szCs w:val="48"/>
                  </w:rPr>
                  <w:t xml:space="preserve">Role of </w:t>
                </w:r>
                <w:r w:rsidR="005A1FAD">
                  <w:rPr>
                    <w:rFonts w:ascii="Calibri" w:hAnsi="Calibri" w:cs="Calibri"/>
                    <w:b/>
                    <w:bCs/>
                    <w:color w:val="595959" w:themeColor="text1" w:themeTint="A6"/>
                    <w:sz w:val="32"/>
                    <w:szCs w:val="48"/>
                  </w:rPr>
                  <w:t>widda</w:t>
                </w:r>
              </w:sdtContent>
            </w:sdt>
            <w:r w:rsidR="00666674" w:rsidRPr="000A63E8">
              <w:rPr>
                <w:rFonts w:ascii="Calibri" w:hAnsi="Calibri" w:cs="Calibri"/>
                <w:b/>
                <w:bCs/>
                <w:color w:val="595959" w:themeColor="text1" w:themeTint="A6"/>
                <w:sz w:val="32"/>
                <w:szCs w:val="48"/>
              </w:rPr>
              <w:t xml:space="preserve"> </w:t>
            </w:r>
          </w:p>
        </w:tc>
      </w:tr>
      <w:tr w:rsidR="00E61ABB" w:rsidRPr="002D10A6" w14:paraId="598A9D1D" w14:textId="77777777" w:rsidTr="00691993">
        <w:trPr>
          <w:trHeight w:val="864"/>
        </w:trPr>
        <w:tc>
          <w:tcPr>
            <w:tcW w:w="10070" w:type="dxa"/>
            <w:tcBorders>
              <w:top w:val="single" w:sz="4" w:space="0" w:color="auto"/>
            </w:tcBorders>
          </w:tcPr>
          <w:p w14:paraId="54A274BB" w14:textId="77777777" w:rsidR="00AC6649" w:rsidRDefault="00AC6649" w:rsidP="000A63E8">
            <w:pPr>
              <w:spacing w:after="0"/>
              <w:rPr>
                <w:rFonts w:ascii="Calibri" w:hAnsi="Calibri" w:cs="Calibri"/>
                <w:sz w:val="22"/>
                <w:szCs w:val="22"/>
              </w:rPr>
            </w:pPr>
          </w:p>
          <w:p w14:paraId="4AA98708" w14:textId="56B40EA3" w:rsidR="00E61ABB" w:rsidRPr="00600894" w:rsidRDefault="005A1FAD" w:rsidP="000A63E8">
            <w:pPr>
              <w:spacing w:after="0"/>
              <w:rPr>
                <w:rFonts w:ascii="Calibri" w:hAnsi="Calibri" w:cs="Calibri"/>
                <w:sz w:val="22"/>
                <w:szCs w:val="22"/>
              </w:rPr>
            </w:pPr>
            <w:r>
              <w:rPr>
                <w:rFonts w:ascii="Calibri" w:hAnsi="Calibri" w:cs="Calibri"/>
                <w:sz w:val="22"/>
                <w:szCs w:val="22"/>
              </w:rPr>
              <w:t xml:space="preserve">WIDDA </w:t>
            </w:r>
            <w:r w:rsidR="00572877" w:rsidRPr="00600894">
              <w:rPr>
                <w:rFonts w:ascii="Calibri" w:hAnsi="Calibri" w:cs="Calibri"/>
                <w:sz w:val="22"/>
                <w:szCs w:val="22"/>
              </w:rPr>
              <w:t xml:space="preserve">support will act in a way that reinforces current leadership structures. With this in mind, </w:t>
            </w:r>
            <w:r w:rsidR="00572877" w:rsidRPr="00600894">
              <w:rPr>
                <w:rFonts w:ascii="Calibri" w:hAnsi="Calibri" w:cs="Calibri"/>
                <w:b/>
                <w:bCs/>
                <w:sz w:val="22"/>
                <w:szCs w:val="22"/>
              </w:rPr>
              <w:t>three</w:t>
            </w:r>
            <w:r w:rsidR="00572877" w:rsidRPr="00600894">
              <w:rPr>
                <w:rFonts w:ascii="Calibri" w:hAnsi="Calibri" w:cs="Calibri"/>
                <w:sz w:val="22"/>
                <w:szCs w:val="22"/>
              </w:rPr>
              <w:t xml:space="preserve"> key principles will be kept throughout the project’s duration:</w:t>
            </w:r>
          </w:p>
          <w:p w14:paraId="5D8FB6B6" w14:textId="1B6F4306" w:rsidR="00572877" w:rsidRPr="00600894" w:rsidRDefault="00572877" w:rsidP="000A63E8">
            <w:pPr>
              <w:pStyle w:val="ListParagraph"/>
              <w:numPr>
                <w:ilvl w:val="0"/>
                <w:numId w:val="3"/>
              </w:numPr>
              <w:spacing w:after="0"/>
              <w:rPr>
                <w:rFonts w:ascii="Calibri" w:hAnsi="Calibri" w:cs="Calibri"/>
                <w:b/>
                <w:bCs/>
                <w:sz w:val="22"/>
                <w:szCs w:val="22"/>
              </w:rPr>
            </w:pPr>
            <w:r w:rsidRPr="00600894">
              <w:rPr>
                <w:rFonts w:ascii="Calibri" w:hAnsi="Calibri" w:cs="Calibri"/>
                <w:b/>
                <w:bCs/>
                <w:sz w:val="22"/>
                <w:szCs w:val="22"/>
              </w:rPr>
              <w:t>Supporting leadership execution</w:t>
            </w:r>
            <w:r w:rsidR="000F01E5" w:rsidRPr="00600894">
              <w:rPr>
                <w:rFonts w:ascii="Calibri" w:hAnsi="Calibri" w:cs="Calibri"/>
                <w:b/>
                <w:bCs/>
                <w:sz w:val="22"/>
                <w:szCs w:val="22"/>
              </w:rPr>
              <w:t xml:space="preserve"> -</w:t>
            </w:r>
            <w:r w:rsidRPr="00600894">
              <w:rPr>
                <w:rFonts w:ascii="Calibri" w:hAnsi="Calibri" w:cs="Calibri"/>
                <w:b/>
                <w:bCs/>
                <w:sz w:val="22"/>
                <w:szCs w:val="22"/>
              </w:rPr>
              <w:t xml:space="preserve"> </w:t>
            </w:r>
            <w:r w:rsidR="00EC111B">
              <w:rPr>
                <w:rFonts w:ascii="Calibri" w:hAnsi="Calibri" w:cs="Calibri"/>
                <w:sz w:val="22"/>
                <w:szCs w:val="22"/>
              </w:rPr>
              <w:t>WIDDA</w:t>
            </w:r>
            <w:r w:rsidRPr="00600894">
              <w:rPr>
                <w:rFonts w:ascii="Calibri" w:hAnsi="Calibri" w:cs="Calibri"/>
                <w:sz w:val="22"/>
                <w:szCs w:val="22"/>
              </w:rPr>
              <w:t xml:space="preserve"> is here to assist IBEDC senior leadership in translating business priorities into structured execution plans for the organisation.</w:t>
            </w:r>
          </w:p>
          <w:p w14:paraId="696F4E2C" w14:textId="0C1D7D76" w:rsidR="00572877" w:rsidRPr="00600894" w:rsidRDefault="000F01E5" w:rsidP="000A63E8">
            <w:pPr>
              <w:pStyle w:val="ListParagraph"/>
              <w:numPr>
                <w:ilvl w:val="0"/>
                <w:numId w:val="3"/>
              </w:numPr>
              <w:spacing w:after="0"/>
              <w:rPr>
                <w:rFonts w:ascii="Calibri" w:hAnsi="Calibri" w:cs="Calibri"/>
                <w:b/>
                <w:bCs/>
                <w:sz w:val="22"/>
                <w:szCs w:val="22"/>
              </w:rPr>
            </w:pPr>
            <w:r w:rsidRPr="00600894">
              <w:rPr>
                <w:rFonts w:ascii="Calibri" w:hAnsi="Calibri" w:cs="Calibri"/>
                <w:b/>
                <w:bCs/>
                <w:sz w:val="22"/>
                <w:szCs w:val="22"/>
              </w:rPr>
              <w:t xml:space="preserve">Strengthening internal capabilities - </w:t>
            </w:r>
            <w:r w:rsidRPr="00600894">
              <w:rPr>
                <w:rFonts w:ascii="Calibri" w:hAnsi="Calibri" w:cs="Calibri"/>
                <w:sz w:val="22"/>
                <w:szCs w:val="22"/>
              </w:rPr>
              <w:t>IBEDC staff wi</w:t>
            </w:r>
            <w:r w:rsidRPr="00600894">
              <w:rPr>
                <w:rFonts w:ascii="Calibri" w:hAnsi="Calibri" w:cs="Calibri"/>
                <w:sz w:val="22"/>
                <w:szCs w:val="22"/>
              </w:rPr>
              <w:t>ll be equipped with</w:t>
            </w:r>
            <w:r w:rsidRPr="00600894">
              <w:rPr>
                <w:rFonts w:ascii="Calibri" w:hAnsi="Calibri" w:cs="Calibri"/>
                <w:sz w:val="22"/>
                <w:szCs w:val="22"/>
              </w:rPr>
              <w:t xml:space="preserve"> analytical tools</w:t>
            </w:r>
            <w:r w:rsidRPr="00600894">
              <w:rPr>
                <w:rFonts w:ascii="Calibri" w:hAnsi="Calibri" w:cs="Calibri"/>
                <w:sz w:val="22"/>
                <w:szCs w:val="22"/>
              </w:rPr>
              <w:t xml:space="preserve"> and </w:t>
            </w:r>
            <w:r w:rsidRPr="00600894">
              <w:rPr>
                <w:rFonts w:ascii="Calibri" w:hAnsi="Calibri" w:cs="Calibri"/>
                <w:sz w:val="22"/>
                <w:szCs w:val="22"/>
              </w:rPr>
              <w:t>operational frameworks that enhance their ability to manage performance</w:t>
            </w:r>
            <w:r w:rsidRPr="00600894">
              <w:rPr>
                <w:rFonts w:ascii="Calibri" w:hAnsi="Calibri" w:cs="Calibri"/>
                <w:sz w:val="22"/>
                <w:szCs w:val="22"/>
              </w:rPr>
              <w:t xml:space="preserve"> and make decisions.</w:t>
            </w:r>
          </w:p>
          <w:p w14:paraId="51F64438" w14:textId="77777777" w:rsidR="002D10A6" w:rsidRPr="008F143C" w:rsidRDefault="000F01E5" w:rsidP="000A63E8">
            <w:pPr>
              <w:pStyle w:val="ListParagraph"/>
              <w:numPr>
                <w:ilvl w:val="0"/>
                <w:numId w:val="3"/>
              </w:numPr>
              <w:spacing w:after="0"/>
              <w:rPr>
                <w:rFonts w:ascii="Calibri" w:hAnsi="Calibri" w:cs="Calibri"/>
                <w:b/>
                <w:bCs/>
              </w:rPr>
            </w:pPr>
            <w:r w:rsidRPr="00691993">
              <w:rPr>
                <w:rFonts w:ascii="Calibri" w:hAnsi="Calibri" w:cs="Calibri"/>
                <w:b/>
                <w:bCs/>
                <w:sz w:val="22"/>
                <w:szCs w:val="22"/>
              </w:rPr>
              <w:t xml:space="preserve">Enhanced </w:t>
            </w:r>
            <w:r w:rsidRPr="002F0BDE">
              <w:rPr>
                <w:rFonts w:ascii="Calibri" w:hAnsi="Calibri" w:cs="Calibri"/>
                <w:b/>
                <w:bCs/>
                <w:color w:val="000000" w:themeColor="text1"/>
                <w:sz w:val="22"/>
                <w:szCs w:val="22"/>
              </w:rPr>
              <w:t xml:space="preserve">transparency </w:t>
            </w:r>
            <w:r w:rsidRPr="00691993">
              <w:rPr>
                <w:rFonts w:ascii="Calibri" w:hAnsi="Calibri" w:cs="Calibri"/>
                <w:b/>
                <w:bCs/>
                <w:sz w:val="22"/>
                <w:szCs w:val="22"/>
              </w:rPr>
              <w:t xml:space="preserve">and operational control </w:t>
            </w:r>
            <w:r w:rsidR="00600894" w:rsidRPr="00691993">
              <w:rPr>
                <w:rFonts w:ascii="Calibri" w:hAnsi="Calibri" w:cs="Calibri"/>
                <w:b/>
                <w:bCs/>
                <w:sz w:val="22"/>
                <w:szCs w:val="22"/>
              </w:rPr>
              <w:t>–</w:t>
            </w:r>
            <w:r w:rsidRPr="00691993">
              <w:rPr>
                <w:rFonts w:ascii="Calibri" w:hAnsi="Calibri" w:cs="Calibri"/>
                <w:b/>
                <w:bCs/>
                <w:sz w:val="22"/>
                <w:szCs w:val="22"/>
              </w:rPr>
              <w:t xml:space="preserve"> </w:t>
            </w:r>
            <w:r w:rsidR="00600894" w:rsidRPr="00691993">
              <w:rPr>
                <w:rFonts w:ascii="Calibri" w:hAnsi="Calibri" w:cs="Calibri"/>
                <w:sz w:val="22"/>
                <w:szCs w:val="22"/>
              </w:rPr>
              <w:t>Analytical and monitoring tools may be introduced to clearly view key operational indicators for leadership oversight.</w:t>
            </w:r>
          </w:p>
          <w:p w14:paraId="5B0B3F5C" w14:textId="7D10048F" w:rsidR="008F143C" w:rsidRPr="00600894" w:rsidRDefault="008F143C" w:rsidP="000A63E8">
            <w:pPr>
              <w:pStyle w:val="ListParagraph"/>
              <w:spacing w:after="0"/>
              <w:rPr>
                <w:rFonts w:ascii="Calibri" w:hAnsi="Calibri" w:cs="Calibri"/>
                <w:b/>
                <w:bCs/>
              </w:rPr>
            </w:pPr>
          </w:p>
        </w:tc>
      </w:tr>
      <w:tr w:rsidR="00B46CA8" w:rsidRPr="002D10A6" w14:paraId="45989722" w14:textId="77777777" w:rsidTr="00691993">
        <w:trPr>
          <w:trHeight w:val="576"/>
        </w:trPr>
        <w:tc>
          <w:tcPr>
            <w:tcW w:w="10070" w:type="dxa"/>
            <w:tcBorders>
              <w:bottom w:val="single" w:sz="4" w:space="0" w:color="BFBFBF" w:themeColor="background1" w:themeShade="BF"/>
            </w:tcBorders>
          </w:tcPr>
          <w:p w14:paraId="35BA4291" w14:textId="2DF062AC" w:rsidR="00B46CA8" w:rsidRPr="002D10A6" w:rsidRDefault="00936EA9" w:rsidP="008F143C">
            <w:pPr>
              <w:pStyle w:val="Heading2"/>
              <w:spacing w:afterLines="20" w:after="48"/>
              <w:rPr>
                <w:rFonts w:ascii="Calibri" w:hAnsi="Calibri" w:cs="Calibri"/>
              </w:rPr>
            </w:pPr>
            <w:sdt>
              <w:sdtPr>
                <w:rPr>
                  <w:rFonts w:ascii="Calibri" w:hAnsi="Calibri" w:cs="Calibri"/>
                </w:rPr>
                <w:id w:val="-1587456179"/>
                <w:placeholder>
                  <w:docPart w:val="0D3927F100644C00A277B7143E76A5CC"/>
                </w:placeholder>
                <w15:appearance w15:val="hidden"/>
              </w:sdtPr>
              <w:sdtEndPr>
                <w:rPr>
                  <w:b/>
                  <w:bCs/>
                  <w:color w:val="595959" w:themeColor="text1" w:themeTint="A6"/>
                </w:rPr>
              </w:sdtEndPr>
              <w:sdtContent>
                <w:sdt>
                  <w:sdtPr>
                    <w:rPr>
                      <w:rFonts w:ascii="Calibri" w:hAnsi="Calibri" w:cs="Calibri"/>
                      <w:b/>
                      <w:bCs/>
                      <w:color w:val="595959" w:themeColor="text1" w:themeTint="A6"/>
                      <w:sz w:val="32"/>
                      <w:szCs w:val="48"/>
                    </w:rPr>
                    <w:id w:val="-514001333"/>
                    <w:placeholder>
                      <w:docPart w:val="05F7B7F73FDF4EC1B45EAA0BB6E6BB3C"/>
                    </w:placeholder>
                    <w15:appearance w15:val="hidden"/>
                  </w:sdtPr>
                  <w:sdtContent>
                    <w:r w:rsidR="00600894" w:rsidRPr="00CD6A2D">
                      <w:rPr>
                        <w:rFonts w:ascii="Calibri" w:hAnsi="Calibri" w:cs="Calibri"/>
                        <w:b/>
                        <w:bCs/>
                        <w:color w:val="595959" w:themeColor="text1" w:themeTint="A6"/>
                        <w:sz w:val="32"/>
                        <w:szCs w:val="48"/>
                      </w:rPr>
                      <w:t>key operational challenges</w:t>
                    </w:r>
                  </w:sdtContent>
                </w:sdt>
              </w:sdtContent>
            </w:sdt>
            <w:r w:rsidR="00E61ABB" w:rsidRPr="00CD6A2D">
              <w:rPr>
                <w:rFonts w:ascii="Calibri" w:hAnsi="Calibri" w:cs="Calibri"/>
                <w:color w:val="595959" w:themeColor="text1" w:themeTint="A6"/>
              </w:rPr>
              <w:t xml:space="preserve"> </w:t>
            </w:r>
          </w:p>
        </w:tc>
      </w:tr>
      <w:tr w:rsidR="00E61ABB" w:rsidRPr="002D10A6" w14:paraId="0DF177F2" w14:textId="77777777" w:rsidTr="00E61ABB">
        <w:trPr>
          <w:trHeight w:val="864"/>
        </w:trPr>
        <w:tc>
          <w:tcPr>
            <w:tcW w:w="10070" w:type="dxa"/>
            <w:tcBorders>
              <w:top w:val="single" w:sz="4" w:space="0" w:color="BFBFBF" w:themeColor="background1" w:themeShade="BF"/>
            </w:tcBorders>
          </w:tcPr>
          <w:p w14:paraId="7A5FA850" w14:textId="77777777" w:rsidR="00AC6649" w:rsidRDefault="00AC6649" w:rsidP="008F143C">
            <w:pPr>
              <w:spacing w:afterLines="20" w:after="48"/>
              <w:rPr>
                <w:rFonts w:ascii="Calibri" w:hAnsi="Calibri" w:cs="Calibri"/>
                <w:sz w:val="22"/>
                <w:szCs w:val="22"/>
              </w:rPr>
            </w:pPr>
          </w:p>
          <w:p w14:paraId="139DC1D9" w14:textId="77650AE3" w:rsidR="00E61ABB" w:rsidRPr="00600894" w:rsidRDefault="00600894" w:rsidP="008F143C">
            <w:pPr>
              <w:spacing w:afterLines="20" w:after="48"/>
              <w:rPr>
                <w:rFonts w:ascii="Calibri" w:hAnsi="Calibri" w:cs="Calibri"/>
                <w:sz w:val="22"/>
                <w:szCs w:val="22"/>
              </w:rPr>
            </w:pPr>
            <w:r w:rsidRPr="00600894">
              <w:rPr>
                <w:rFonts w:ascii="Calibri" w:hAnsi="Calibri" w:cs="Calibri"/>
                <w:sz w:val="22"/>
                <w:szCs w:val="22"/>
              </w:rPr>
              <w:t>Despite progress in several areas, IBEDC continues to face structural challenges that limit operational and commercial performance. These challenges fall into four main categories.</w:t>
            </w:r>
          </w:p>
          <w:p w14:paraId="29CA0866" w14:textId="3258A390" w:rsidR="00600894" w:rsidRPr="0021167F" w:rsidRDefault="0021167F" w:rsidP="008F143C">
            <w:pPr>
              <w:pStyle w:val="ListParagraph"/>
              <w:numPr>
                <w:ilvl w:val="0"/>
                <w:numId w:val="5"/>
              </w:numPr>
              <w:spacing w:afterLines="20" w:after="48"/>
              <w:rPr>
                <w:rFonts w:ascii="Calibri" w:hAnsi="Calibri" w:cs="Calibri"/>
                <w:b/>
                <w:bCs/>
                <w:sz w:val="22"/>
                <w:szCs w:val="22"/>
              </w:rPr>
            </w:pPr>
            <w:r>
              <w:rPr>
                <w:rFonts w:ascii="Calibri" w:hAnsi="Calibri" w:cs="Calibri"/>
                <w:b/>
                <w:bCs/>
                <w:sz w:val="22"/>
                <w:szCs w:val="22"/>
              </w:rPr>
              <w:t xml:space="preserve">Lack of customer visibility – </w:t>
            </w:r>
            <w:r w:rsidRPr="0021167F">
              <w:rPr>
                <w:rFonts w:ascii="Calibri" w:hAnsi="Calibri" w:cs="Calibri"/>
                <w:sz w:val="22"/>
                <w:szCs w:val="22"/>
              </w:rPr>
              <w:t>A</w:t>
            </w:r>
            <w:r>
              <w:rPr>
                <w:rFonts w:ascii="Calibri" w:hAnsi="Calibri" w:cs="Calibri"/>
                <w:b/>
                <w:bCs/>
                <w:sz w:val="22"/>
                <w:szCs w:val="22"/>
              </w:rPr>
              <w:t xml:space="preserve"> </w:t>
            </w:r>
            <w:r>
              <w:rPr>
                <w:rFonts w:ascii="Calibri" w:hAnsi="Calibri" w:cs="Calibri"/>
                <w:sz w:val="22"/>
                <w:szCs w:val="22"/>
              </w:rPr>
              <w:t>significant portion of IBEDC’s electricity distribution network is not captured, leading to a lack of transparency with the customers’ total energy deliver</w:t>
            </w:r>
            <w:r w:rsidR="00687A34">
              <w:rPr>
                <w:rFonts w:ascii="Calibri" w:hAnsi="Calibri" w:cs="Calibri"/>
                <w:sz w:val="22"/>
                <w:szCs w:val="22"/>
              </w:rPr>
              <w:t xml:space="preserve"> and</w:t>
            </w:r>
            <w:r>
              <w:rPr>
                <w:rFonts w:ascii="Calibri" w:hAnsi="Calibri" w:cs="Calibri"/>
                <w:sz w:val="22"/>
                <w:szCs w:val="22"/>
              </w:rPr>
              <w:t xml:space="preserve"> a limit on the company’s ability to enforce billing compliance</w:t>
            </w:r>
            <w:r w:rsidR="00687A34">
              <w:rPr>
                <w:rFonts w:ascii="Calibri" w:hAnsi="Calibri" w:cs="Calibri"/>
                <w:sz w:val="22"/>
                <w:szCs w:val="22"/>
              </w:rPr>
              <w:t xml:space="preserve"> which increases commercial losses.</w:t>
            </w:r>
          </w:p>
          <w:p w14:paraId="12612D86" w14:textId="77777777" w:rsidR="0021167F" w:rsidRPr="00687A34" w:rsidRDefault="00687A34" w:rsidP="008F143C">
            <w:pPr>
              <w:pStyle w:val="ListParagraph"/>
              <w:numPr>
                <w:ilvl w:val="0"/>
                <w:numId w:val="5"/>
              </w:numPr>
              <w:spacing w:afterLines="20" w:after="48"/>
              <w:rPr>
                <w:rFonts w:ascii="Calibri" w:hAnsi="Calibri" w:cs="Calibri"/>
                <w:b/>
                <w:bCs/>
                <w:sz w:val="22"/>
                <w:szCs w:val="22"/>
              </w:rPr>
            </w:pPr>
            <w:r>
              <w:rPr>
                <w:rFonts w:ascii="Calibri" w:hAnsi="Calibri" w:cs="Calibri"/>
                <w:b/>
                <w:bCs/>
                <w:sz w:val="22"/>
                <w:szCs w:val="22"/>
              </w:rPr>
              <w:t xml:space="preserve">Energy accounting gaps - </w:t>
            </w:r>
            <w:r w:rsidRPr="00687A34">
              <w:rPr>
                <w:rFonts w:ascii="Calibri" w:hAnsi="Calibri" w:cs="Calibri"/>
                <w:sz w:val="22"/>
                <w:szCs w:val="22"/>
              </w:rPr>
              <w:t xml:space="preserve">Accurate energy accounting requires tracking electricity from feeders to transformers and customer meters. When these links are incomplete, it becomes difficult to identify </w:t>
            </w:r>
            <w:r>
              <w:rPr>
                <w:rFonts w:ascii="Calibri" w:hAnsi="Calibri" w:cs="Calibri"/>
                <w:sz w:val="22"/>
                <w:szCs w:val="22"/>
              </w:rPr>
              <w:t xml:space="preserve">energy </w:t>
            </w:r>
            <w:r w:rsidRPr="00687A34">
              <w:rPr>
                <w:rFonts w:ascii="Calibri" w:hAnsi="Calibri" w:cs="Calibri"/>
                <w:sz w:val="22"/>
                <w:szCs w:val="22"/>
              </w:rPr>
              <w:t xml:space="preserve">loss points, </w:t>
            </w:r>
            <w:r>
              <w:rPr>
                <w:rFonts w:ascii="Calibri" w:hAnsi="Calibri" w:cs="Calibri"/>
                <w:sz w:val="22"/>
                <w:szCs w:val="22"/>
              </w:rPr>
              <w:t>thus causing an unlocatable loss of revenue.</w:t>
            </w:r>
          </w:p>
          <w:p w14:paraId="65234292" w14:textId="4F662E6F" w:rsidR="00687A34" w:rsidRPr="00CD6A2D" w:rsidRDefault="00CD6A2D" w:rsidP="008F143C">
            <w:pPr>
              <w:pStyle w:val="ListParagraph"/>
              <w:numPr>
                <w:ilvl w:val="0"/>
                <w:numId w:val="5"/>
              </w:numPr>
              <w:spacing w:afterLines="20" w:after="48"/>
              <w:rPr>
                <w:rFonts w:ascii="Calibri" w:hAnsi="Calibri" w:cs="Calibri"/>
                <w:b/>
                <w:bCs/>
                <w:sz w:val="22"/>
                <w:szCs w:val="22"/>
              </w:rPr>
            </w:pPr>
            <w:r>
              <w:rPr>
                <w:rFonts w:ascii="Calibri" w:hAnsi="Calibri" w:cs="Calibri"/>
                <w:b/>
                <w:bCs/>
                <w:sz w:val="22"/>
                <w:szCs w:val="22"/>
              </w:rPr>
              <w:t xml:space="preserve">Revenue recovery constraints – </w:t>
            </w:r>
            <w:r>
              <w:rPr>
                <w:rFonts w:ascii="Calibri" w:hAnsi="Calibri" w:cs="Calibri"/>
                <w:sz w:val="22"/>
                <w:szCs w:val="22"/>
              </w:rPr>
              <w:t>Limited enforcement of revenue collection, caused by a lack of customer visibility and dishonest behavior from marketers, cause large commercial losses that are difficult to quantify.</w:t>
            </w:r>
          </w:p>
          <w:p w14:paraId="10BA0836" w14:textId="77777777" w:rsidR="004B08D5" w:rsidRPr="009D7DB9" w:rsidRDefault="00CD6A2D" w:rsidP="005A1FAD">
            <w:pPr>
              <w:pStyle w:val="ListParagraph"/>
              <w:numPr>
                <w:ilvl w:val="0"/>
                <w:numId w:val="5"/>
              </w:numPr>
              <w:spacing w:afterLines="20" w:after="48"/>
              <w:rPr>
                <w:rFonts w:ascii="Calibri" w:hAnsi="Calibri" w:cs="Calibri"/>
                <w:b/>
                <w:bCs/>
                <w:sz w:val="22"/>
                <w:szCs w:val="22"/>
              </w:rPr>
            </w:pPr>
            <w:r>
              <w:rPr>
                <w:rFonts w:ascii="Calibri" w:hAnsi="Calibri" w:cs="Calibri"/>
                <w:b/>
                <w:bCs/>
                <w:sz w:val="22"/>
                <w:szCs w:val="22"/>
              </w:rPr>
              <w:t xml:space="preserve">Organisational alignment </w:t>
            </w:r>
            <w:r w:rsidRPr="00CD6A2D">
              <w:rPr>
                <w:rFonts w:ascii="Calibri" w:hAnsi="Calibri" w:cs="Calibri"/>
                <w:sz w:val="22"/>
                <w:szCs w:val="22"/>
              </w:rPr>
              <w:t xml:space="preserve">- </w:t>
            </w:r>
            <w:r w:rsidRPr="00CD6A2D">
              <w:rPr>
                <w:rFonts w:ascii="Calibri" w:hAnsi="Calibri" w:cs="Calibri"/>
                <w:sz w:val="22"/>
                <w:szCs w:val="22"/>
              </w:rPr>
              <w:t>Operational improvements can only be sustained when leadership structures, accountability mechanisms, and performance incentives are properly aligned. Clear performance targets and monitoring frameworks are essential for ensuring that business units operate consistently and effectively.</w:t>
            </w:r>
          </w:p>
          <w:p w14:paraId="09EAC0C2" w14:textId="1C6BDDE8" w:rsidR="009D7DB9" w:rsidRPr="005A1FAD" w:rsidRDefault="009D7DB9" w:rsidP="009D7DB9">
            <w:pPr>
              <w:pStyle w:val="ListParagraph"/>
              <w:spacing w:afterLines="20" w:after="48"/>
              <w:rPr>
                <w:rFonts w:ascii="Calibri" w:hAnsi="Calibri" w:cs="Calibri"/>
                <w:b/>
                <w:bCs/>
                <w:sz w:val="22"/>
                <w:szCs w:val="22"/>
              </w:rPr>
            </w:pPr>
          </w:p>
        </w:tc>
      </w:tr>
      <w:tr w:rsidR="00CD6A2D" w:rsidRPr="002D10A6" w14:paraId="3FF883E6" w14:textId="77777777" w:rsidTr="00EE46AC">
        <w:trPr>
          <w:trHeight w:val="576"/>
        </w:trPr>
        <w:tc>
          <w:tcPr>
            <w:tcW w:w="10070" w:type="dxa"/>
            <w:tcBorders>
              <w:bottom w:val="single" w:sz="4" w:space="0" w:color="BFBFBF" w:themeColor="background1" w:themeShade="BF"/>
            </w:tcBorders>
          </w:tcPr>
          <w:p w14:paraId="03932B80" w14:textId="2322B638" w:rsidR="00CD6A2D" w:rsidRPr="002D10A6" w:rsidRDefault="00CD6A2D" w:rsidP="008F143C">
            <w:pPr>
              <w:pStyle w:val="Heading2"/>
              <w:spacing w:afterLines="20" w:after="48"/>
              <w:rPr>
                <w:rFonts w:ascii="Calibri" w:hAnsi="Calibri" w:cs="Calibri"/>
              </w:rPr>
            </w:pPr>
            <w:r>
              <w:rPr>
                <w:rFonts w:ascii="Calibri" w:hAnsi="Calibri" w:cs="Calibri"/>
                <w:b/>
                <w:bCs/>
                <w:color w:val="595959" w:themeColor="text1" w:themeTint="A6"/>
                <w:sz w:val="32"/>
                <w:szCs w:val="48"/>
              </w:rPr>
              <w:t>Execution Framework</w:t>
            </w:r>
          </w:p>
        </w:tc>
      </w:tr>
      <w:tr w:rsidR="00CD6A2D" w:rsidRPr="002D10A6" w14:paraId="706A84E5" w14:textId="77777777" w:rsidTr="00EE46AC">
        <w:trPr>
          <w:trHeight w:val="864"/>
        </w:trPr>
        <w:tc>
          <w:tcPr>
            <w:tcW w:w="10070" w:type="dxa"/>
            <w:tcBorders>
              <w:top w:val="single" w:sz="4" w:space="0" w:color="BFBFBF" w:themeColor="background1" w:themeShade="BF"/>
            </w:tcBorders>
          </w:tcPr>
          <w:p w14:paraId="39FD4A88" w14:textId="77777777" w:rsidR="00AC6649" w:rsidRDefault="00AC6649" w:rsidP="008F143C">
            <w:pPr>
              <w:spacing w:afterLines="20" w:after="48"/>
              <w:rPr>
                <w:rFonts w:ascii="Calibri" w:hAnsi="Calibri" w:cs="Calibri"/>
                <w:color w:val="0D0D0D" w:themeColor="text1" w:themeTint="F2"/>
                <w:sz w:val="22"/>
                <w:szCs w:val="22"/>
              </w:rPr>
            </w:pPr>
          </w:p>
          <w:p w14:paraId="3182CD05" w14:textId="6F08A70B" w:rsidR="00443D29" w:rsidRPr="006A5536" w:rsidRDefault="00CD6A2D" w:rsidP="008F143C">
            <w:pPr>
              <w:spacing w:afterLines="20" w:after="48"/>
              <w:rPr>
                <w:rFonts w:ascii="Calibri" w:hAnsi="Calibri" w:cs="Calibri"/>
                <w:color w:val="0D0D0D" w:themeColor="text1" w:themeTint="F2"/>
                <w:sz w:val="22"/>
                <w:szCs w:val="22"/>
              </w:rPr>
            </w:pPr>
            <w:r w:rsidRPr="006A5536">
              <w:rPr>
                <w:rFonts w:ascii="Calibri" w:hAnsi="Calibri" w:cs="Calibri"/>
                <w:color w:val="0D0D0D" w:themeColor="text1" w:themeTint="F2"/>
                <w:sz w:val="22"/>
                <w:szCs w:val="22"/>
              </w:rPr>
              <w:t xml:space="preserve">To address these challenges, the programme proposes a phased execution framework designed to </w:t>
            </w:r>
            <w:r w:rsidRPr="006A5536">
              <w:rPr>
                <w:rFonts w:ascii="Calibri" w:hAnsi="Calibri" w:cs="Calibri"/>
                <w:color w:val="0D0D0D" w:themeColor="text1" w:themeTint="F2"/>
                <w:sz w:val="22"/>
                <w:szCs w:val="22"/>
              </w:rPr>
              <w:t>stabilise the organisation, then deliver improvements.</w:t>
            </w:r>
          </w:p>
          <w:p w14:paraId="77622B7A" w14:textId="708C831B" w:rsidR="00CD6A2D" w:rsidRPr="006A5536" w:rsidRDefault="00CD6A2D" w:rsidP="008F143C">
            <w:pPr>
              <w:spacing w:afterLines="20" w:after="48"/>
              <w:rPr>
                <w:rFonts w:ascii="Calibri" w:hAnsi="Calibri" w:cs="Calibri"/>
                <w:b/>
                <w:bCs/>
                <w:color w:val="0D0D0D" w:themeColor="text1" w:themeTint="F2"/>
                <w:sz w:val="22"/>
                <w:szCs w:val="22"/>
              </w:rPr>
            </w:pPr>
            <w:r w:rsidRPr="006A5536">
              <w:rPr>
                <w:rFonts w:ascii="Calibri" w:hAnsi="Calibri" w:cs="Calibri"/>
                <w:b/>
                <w:bCs/>
                <w:color w:val="0D0D0D" w:themeColor="text1" w:themeTint="F2"/>
                <w:sz w:val="22"/>
                <w:szCs w:val="22"/>
              </w:rPr>
              <w:t>Phase 1: Operational visibility and diagnostics</w:t>
            </w:r>
            <w:r w:rsidR="00D03D07" w:rsidRPr="006A5536">
              <w:rPr>
                <w:rFonts w:ascii="Calibri" w:hAnsi="Calibri" w:cs="Calibri"/>
                <w:b/>
                <w:bCs/>
                <w:color w:val="0D0D0D" w:themeColor="text1" w:themeTint="F2"/>
                <w:sz w:val="22"/>
                <w:szCs w:val="22"/>
              </w:rPr>
              <w:t xml:space="preserve"> (0 – 1.5 months)</w:t>
            </w:r>
          </w:p>
          <w:p w14:paraId="27450B80" w14:textId="77777777" w:rsidR="00D36745" w:rsidRPr="00D36745" w:rsidRDefault="00D36745" w:rsidP="008F143C">
            <w:pPr>
              <w:spacing w:afterLines="20" w:after="48"/>
              <w:rPr>
                <w:rFonts w:ascii="Calibri" w:hAnsi="Calibri" w:cs="Calibri"/>
                <w:color w:val="0D0D0D" w:themeColor="text1" w:themeTint="F2"/>
                <w:sz w:val="22"/>
                <w:szCs w:val="22"/>
                <w:lang w:val="en-IE"/>
              </w:rPr>
            </w:pPr>
            <w:r w:rsidRPr="00D36745">
              <w:rPr>
                <w:rFonts w:ascii="Calibri" w:hAnsi="Calibri" w:cs="Calibri"/>
                <w:color w:val="0D0D0D" w:themeColor="text1" w:themeTint="F2"/>
                <w:sz w:val="22"/>
                <w:szCs w:val="22"/>
                <w:lang w:val="en-IE"/>
              </w:rPr>
              <w:t>The first phase focuses on improving management visibility into operational performance and establishing a baseline for future improvements.</w:t>
            </w:r>
          </w:p>
          <w:p w14:paraId="1ED70192" w14:textId="77777777" w:rsidR="00D36745" w:rsidRPr="00D36745" w:rsidRDefault="00D36745" w:rsidP="008F143C">
            <w:pPr>
              <w:spacing w:afterLines="20" w:after="48"/>
              <w:rPr>
                <w:rFonts w:ascii="Calibri" w:hAnsi="Calibri" w:cs="Calibri"/>
                <w:color w:val="0D0D0D" w:themeColor="text1" w:themeTint="F2"/>
                <w:sz w:val="22"/>
                <w:szCs w:val="22"/>
                <w:lang w:val="en-IE"/>
              </w:rPr>
            </w:pPr>
            <w:r w:rsidRPr="00D36745">
              <w:rPr>
                <w:rFonts w:ascii="Calibri" w:hAnsi="Calibri" w:cs="Calibri"/>
                <w:color w:val="0D0D0D" w:themeColor="text1" w:themeTint="F2"/>
                <w:sz w:val="22"/>
                <w:szCs w:val="22"/>
                <w:lang w:val="en-IE"/>
              </w:rPr>
              <w:t xml:space="preserve">A structured </w:t>
            </w:r>
            <w:r w:rsidRPr="00D36745">
              <w:rPr>
                <w:rFonts w:ascii="Calibri" w:hAnsi="Calibri" w:cs="Calibri"/>
                <w:b/>
                <w:bCs/>
                <w:color w:val="0D0D0D" w:themeColor="text1" w:themeTint="F2"/>
                <w:sz w:val="22"/>
                <w:szCs w:val="22"/>
                <w:lang w:val="en-IE"/>
              </w:rPr>
              <w:t>operational diagnostic</w:t>
            </w:r>
            <w:r w:rsidRPr="00D36745">
              <w:rPr>
                <w:rFonts w:ascii="Calibri" w:hAnsi="Calibri" w:cs="Calibri"/>
                <w:color w:val="0D0D0D" w:themeColor="text1" w:themeTint="F2"/>
                <w:sz w:val="22"/>
                <w:szCs w:val="22"/>
                <w:lang w:val="en-IE"/>
              </w:rPr>
              <w:t xml:space="preserve"> will assess current performance across key areas such as billing, collections, metering, feeder performance, and customer records. This analysis will provide a clear understanding of existing performance gaps.</w:t>
            </w:r>
          </w:p>
          <w:p w14:paraId="3964103C" w14:textId="77777777" w:rsidR="00D36745" w:rsidRPr="00D36745" w:rsidRDefault="00D36745" w:rsidP="008F143C">
            <w:pPr>
              <w:spacing w:afterLines="20" w:after="48"/>
              <w:rPr>
                <w:rFonts w:ascii="Calibri" w:hAnsi="Calibri" w:cs="Calibri"/>
                <w:color w:val="0D0D0D" w:themeColor="text1" w:themeTint="F2"/>
                <w:sz w:val="22"/>
                <w:szCs w:val="22"/>
                <w:lang w:val="en-IE"/>
              </w:rPr>
            </w:pPr>
            <w:r w:rsidRPr="00D36745">
              <w:rPr>
                <w:rFonts w:ascii="Calibri" w:hAnsi="Calibri" w:cs="Calibri"/>
                <w:color w:val="0D0D0D" w:themeColor="text1" w:themeTint="F2"/>
                <w:sz w:val="22"/>
                <w:szCs w:val="22"/>
                <w:lang w:val="en-IE"/>
              </w:rPr>
              <w:lastRenderedPageBreak/>
              <w:t xml:space="preserve">A </w:t>
            </w:r>
            <w:r w:rsidRPr="00D36745">
              <w:rPr>
                <w:rFonts w:ascii="Calibri" w:hAnsi="Calibri" w:cs="Calibri"/>
                <w:b/>
                <w:bCs/>
                <w:color w:val="0D0D0D" w:themeColor="text1" w:themeTint="F2"/>
                <w:sz w:val="22"/>
                <w:szCs w:val="22"/>
                <w:lang w:val="en-IE"/>
              </w:rPr>
              <w:t>customer data integrity review</w:t>
            </w:r>
            <w:r w:rsidRPr="00D36745">
              <w:rPr>
                <w:rFonts w:ascii="Calibri" w:hAnsi="Calibri" w:cs="Calibri"/>
                <w:color w:val="0D0D0D" w:themeColor="text1" w:themeTint="F2"/>
                <w:sz w:val="22"/>
                <w:szCs w:val="22"/>
                <w:lang w:val="en-IE"/>
              </w:rPr>
              <w:t xml:space="preserve"> will also be conducted to identify inconsistencies, inactive accounts, and data quality issues within existing customer databases. Improving the reliability of customer information will support more accurate billing and stronger customer engagement.</w:t>
            </w:r>
          </w:p>
          <w:p w14:paraId="4ECFB19A" w14:textId="241F093F" w:rsidR="00D36745" w:rsidRPr="00D36745" w:rsidRDefault="001D26F4" w:rsidP="008F143C">
            <w:pPr>
              <w:spacing w:afterLines="20" w:after="48"/>
              <w:rPr>
                <w:rFonts w:ascii="Calibri" w:hAnsi="Calibri" w:cs="Calibri"/>
                <w:color w:val="0D0D0D" w:themeColor="text1" w:themeTint="F2"/>
                <w:sz w:val="22"/>
                <w:szCs w:val="22"/>
                <w:lang w:val="en-IE"/>
              </w:rPr>
            </w:pPr>
            <w:r w:rsidRPr="006A5536">
              <w:rPr>
                <w:rFonts w:ascii="Calibri" w:hAnsi="Calibri" w:cs="Calibri"/>
                <w:b/>
                <w:color w:val="0D0D0D" w:themeColor="text1" w:themeTint="F2"/>
                <w:sz w:val="22"/>
                <w:szCs w:val="22"/>
                <w:lang w:val="en-IE"/>
              </w:rPr>
              <w:t>Energy</w:t>
            </w:r>
            <w:r w:rsidR="00D36745" w:rsidRPr="00D36745">
              <w:rPr>
                <w:rFonts w:ascii="Calibri" w:hAnsi="Calibri" w:cs="Calibri"/>
                <w:b/>
                <w:bCs/>
                <w:color w:val="0D0D0D" w:themeColor="text1" w:themeTint="F2"/>
                <w:sz w:val="22"/>
                <w:szCs w:val="22"/>
                <w:lang w:val="en-IE"/>
              </w:rPr>
              <w:t xml:space="preserve"> flow mapping</w:t>
            </w:r>
            <w:r w:rsidRPr="006A5536">
              <w:rPr>
                <w:rFonts w:ascii="Calibri" w:hAnsi="Calibri" w:cs="Calibri"/>
                <w:b/>
                <w:bCs/>
                <w:color w:val="0D0D0D" w:themeColor="text1" w:themeTint="F2"/>
                <w:sz w:val="22"/>
                <w:szCs w:val="22"/>
                <w:lang w:val="en-IE"/>
              </w:rPr>
              <w:t xml:space="preserve"> </w:t>
            </w:r>
            <w:r w:rsidRPr="006A5536">
              <w:rPr>
                <w:rFonts w:ascii="Calibri" w:hAnsi="Calibri" w:cs="Calibri"/>
                <w:color w:val="0D0D0D" w:themeColor="text1" w:themeTint="F2"/>
                <w:sz w:val="22"/>
                <w:szCs w:val="22"/>
                <w:lang w:val="en-IE"/>
              </w:rPr>
              <w:t>will</w:t>
            </w:r>
            <w:r w:rsidRPr="006A5536">
              <w:rPr>
                <w:rFonts w:ascii="Calibri" w:hAnsi="Calibri" w:cs="Calibri"/>
                <w:b/>
                <w:bCs/>
                <w:color w:val="0D0D0D" w:themeColor="text1" w:themeTint="F2"/>
                <w:sz w:val="22"/>
                <w:szCs w:val="22"/>
                <w:lang w:val="en-IE"/>
              </w:rPr>
              <w:t xml:space="preserve"> </w:t>
            </w:r>
            <w:r w:rsidR="00D36745" w:rsidRPr="00D36745">
              <w:rPr>
                <w:rFonts w:ascii="Calibri" w:hAnsi="Calibri" w:cs="Calibri"/>
                <w:color w:val="0D0D0D" w:themeColor="text1" w:themeTint="F2"/>
                <w:sz w:val="22"/>
                <w:szCs w:val="22"/>
                <w:lang w:val="en-IE"/>
              </w:rPr>
              <w:t>strengthen the connection between feeders, transformers, and customer accounts. This mapping process will create the analytical foundation for targeted loss reduction initiatives.</w:t>
            </w:r>
          </w:p>
          <w:p w14:paraId="10DD38B1" w14:textId="77777777" w:rsidR="00D36745" w:rsidRDefault="00D36745" w:rsidP="008F143C">
            <w:pPr>
              <w:spacing w:afterLines="20" w:after="48"/>
              <w:rPr>
                <w:rFonts w:ascii="Calibri" w:hAnsi="Calibri" w:cs="Calibri"/>
                <w:color w:val="0D0D0D" w:themeColor="text1" w:themeTint="F2"/>
                <w:sz w:val="22"/>
                <w:szCs w:val="22"/>
                <w:lang w:val="en-IE"/>
              </w:rPr>
            </w:pPr>
            <w:r w:rsidRPr="00D36745">
              <w:rPr>
                <w:rFonts w:ascii="Calibri" w:hAnsi="Calibri" w:cs="Calibri"/>
                <w:color w:val="0D0D0D" w:themeColor="text1" w:themeTint="F2"/>
                <w:sz w:val="22"/>
                <w:szCs w:val="22"/>
                <w:lang w:val="en-IE"/>
              </w:rPr>
              <w:t xml:space="preserve">Finally, </w:t>
            </w:r>
            <w:r w:rsidRPr="00D36745">
              <w:rPr>
                <w:rFonts w:ascii="Calibri" w:hAnsi="Calibri" w:cs="Calibri"/>
                <w:b/>
                <w:bCs/>
                <w:color w:val="0D0D0D" w:themeColor="text1" w:themeTint="F2"/>
                <w:sz w:val="22"/>
                <w:szCs w:val="22"/>
                <w:lang w:val="en-IE"/>
              </w:rPr>
              <w:t>operational process reviews</w:t>
            </w:r>
            <w:r w:rsidRPr="00D36745">
              <w:rPr>
                <w:rFonts w:ascii="Calibri" w:hAnsi="Calibri" w:cs="Calibri"/>
                <w:color w:val="0D0D0D" w:themeColor="text1" w:themeTint="F2"/>
                <w:sz w:val="22"/>
                <w:szCs w:val="22"/>
                <w:lang w:val="en-IE"/>
              </w:rPr>
              <w:t xml:space="preserve"> may be conducted for key activities such as meter installation, transformer energisation, and service request handling. Observational exercises and process walkthroughs will help identify opportunities to improve operational discipline and efficiency.</w:t>
            </w:r>
          </w:p>
          <w:p w14:paraId="6806B431" w14:textId="77777777" w:rsidR="00693DAA" w:rsidRPr="00D36745" w:rsidRDefault="00693DAA" w:rsidP="008F143C">
            <w:pPr>
              <w:spacing w:afterLines="20" w:after="48"/>
              <w:rPr>
                <w:rFonts w:ascii="Calibri" w:hAnsi="Calibri" w:cs="Calibri"/>
                <w:color w:val="0D0D0D" w:themeColor="text1" w:themeTint="F2"/>
                <w:sz w:val="22"/>
                <w:szCs w:val="22"/>
                <w:lang w:val="en-IE"/>
              </w:rPr>
            </w:pPr>
          </w:p>
          <w:p w14:paraId="69949FBD" w14:textId="7DB4ADF0" w:rsidR="00D36745" w:rsidRPr="006A5536" w:rsidRDefault="005C7F10" w:rsidP="008F143C">
            <w:pPr>
              <w:spacing w:afterLines="20" w:after="48"/>
              <w:rPr>
                <w:rFonts w:ascii="Calibri" w:hAnsi="Calibri" w:cs="Calibri"/>
                <w:b/>
                <w:bCs/>
                <w:color w:val="0D0D0D" w:themeColor="text1" w:themeTint="F2"/>
                <w:sz w:val="22"/>
                <w:szCs w:val="22"/>
              </w:rPr>
            </w:pPr>
            <w:r w:rsidRPr="006A5536">
              <w:rPr>
                <w:rFonts w:ascii="Calibri" w:hAnsi="Calibri" w:cs="Calibri"/>
                <w:b/>
                <w:bCs/>
                <w:color w:val="0D0D0D" w:themeColor="text1" w:themeTint="F2"/>
                <w:sz w:val="22"/>
                <w:szCs w:val="22"/>
              </w:rPr>
              <w:t>Phase 2: Commercial Programme Improvement</w:t>
            </w:r>
            <w:r w:rsidR="00CB0530" w:rsidRPr="006A5536">
              <w:rPr>
                <w:rFonts w:ascii="Calibri" w:hAnsi="Calibri" w:cs="Calibri"/>
                <w:b/>
                <w:bCs/>
                <w:color w:val="0D0D0D" w:themeColor="text1" w:themeTint="F2"/>
                <w:sz w:val="22"/>
                <w:szCs w:val="22"/>
              </w:rPr>
              <w:t xml:space="preserve"> (3 – 18 months)</w:t>
            </w:r>
          </w:p>
          <w:p w14:paraId="0C7A806E" w14:textId="77777777" w:rsidR="00024AE8" w:rsidRPr="00024AE8" w:rsidRDefault="00024AE8" w:rsidP="008F143C">
            <w:pPr>
              <w:spacing w:afterLines="20" w:after="48"/>
              <w:rPr>
                <w:rFonts w:ascii="Calibri" w:hAnsi="Calibri" w:cs="Calibri"/>
                <w:color w:val="0D0D0D" w:themeColor="text1" w:themeTint="F2"/>
                <w:sz w:val="22"/>
                <w:szCs w:val="22"/>
                <w:lang w:val="en-IE"/>
              </w:rPr>
            </w:pPr>
            <w:r w:rsidRPr="00024AE8">
              <w:rPr>
                <w:rFonts w:ascii="Calibri" w:hAnsi="Calibri" w:cs="Calibri"/>
                <w:color w:val="0D0D0D" w:themeColor="text1" w:themeTint="F2"/>
                <w:sz w:val="22"/>
                <w:szCs w:val="22"/>
                <w:lang w:val="en-IE"/>
              </w:rPr>
              <w:t>Once diagnostic insights are established, the focus shifts toward improving measurable commercial performance.</w:t>
            </w:r>
          </w:p>
          <w:p w14:paraId="529DAAF1" w14:textId="0F7AEFE1" w:rsidR="00024AE8" w:rsidRPr="00024AE8" w:rsidRDefault="00024AE8" w:rsidP="008F143C">
            <w:pPr>
              <w:spacing w:afterLines="20" w:after="48"/>
              <w:rPr>
                <w:rFonts w:ascii="Calibri" w:hAnsi="Calibri" w:cs="Calibri"/>
                <w:color w:val="0D0D0D" w:themeColor="text1" w:themeTint="F2"/>
                <w:sz w:val="22"/>
                <w:szCs w:val="22"/>
                <w:lang w:val="en-IE"/>
              </w:rPr>
            </w:pPr>
            <w:r w:rsidRPr="006A5536">
              <w:rPr>
                <w:rFonts w:ascii="Calibri" w:hAnsi="Calibri" w:cs="Calibri"/>
                <w:b/>
                <w:bCs/>
                <w:color w:val="0D0D0D" w:themeColor="text1" w:themeTint="F2"/>
                <w:sz w:val="22"/>
                <w:szCs w:val="22"/>
                <w:lang w:val="en-IE"/>
              </w:rPr>
              <w:t>B</w:t>
            </w:r>
            <w:r w:rsidRPr="00024AE8">
              <w:rPr>
                <w:rFonts w:ascii="Calibri" w:hAnsi="Calibri" w:cs="Calibri"/>
                <w:b/>
                <w:bCs/>
                <w:color w:val="0D0D0D" w:themeColor="text1" w:themeTint="F2"/>
                <w:sz w:val="22"/>
                <w:szCs w:val="22"/>
                <w:lang w:val="en-IE"/>
              </w:rPr>
              <w:t>illing</w:t>
            </w:r>
            <w:r w:rsidRPr="00024AE8">
              <w:rPr>
                <w:rFonts w:ascii="Calibri" w:hAnsi="Calibri" w:cs="Calibri"/>
                <w:color w:val="0D0D0D" w:themeColor="text1" w:themeTint="F2"/>
                <w:sz w:val="22"/>
                <w:szCs w:val="22"/>
                <w:lang w:val="en-IE"/>
              </w:rPr>
              <w:t xml:space="preserve"> </w:t>
            </w:r>
            <w:r w:rsidRPr="00024AE8">
              <w:rPr>
                <w:rFonts w:ascii="Calibri" w:hAnsi="Calibri" w:cs="Calibri"/>
                <w:b/>
                <w:bCs/>
                <w:color w:val="0D0D0D" w:themeColor="text1" w:themeTint="F2"/>
                <w:sz w:val="22"/>
                <w:szCs w:val="22"/>
                <w:lang w:val="en-IE"/>
              </w:rPr>
              <w:t>accuracy</w:t>
            </w:r>
            <w:r w:rsidRPr="00024AE8">
              <w:rPr>
                <w:rFonts w:ascii="Calibri" w:hAnsi="Calibri" w:cs="Calibri"/>
                <w:color w:val="0D0D0D" w:themeColor="text1" w:themeTint="F2"/>
                <w:sz w:val="22"/>
                <w:szCs w:val="22"/>
                <w:lang w:val="en-IE"/>
              </w:rPr>
              <w:t xml:space="preserve"> is a central objective. Enhanced data quality and stronger operational processes will reduce disputes and improve customer trust in the billing system.</w:t>
            </w:r>
          </w:p>
          <w:p w14:paraId="05B3B51F" w14:textId="2E74B4F2" w:rsidR="00024AE8" w:rsidRPr="00024AE8" w:rsidRDefault="007070C4" w:rsidP="008F143C">
            <w:pPr>
              <w:spacing w:afterLines="20" w:after="48"/>
              <w:rPr>
                <w:rFonts w:ascii="Calibri" w:hAnsi="Calibri" w:cs="Calibri"/>
                <w:color w:val="0D0D0D" w:themeColor="text1" w:themeTint="F2"/>
                <w:sz w:val="22"/>
                <w:szCs w:val="22"/>
                <w:lang w:val="en-IE"/>
              </w:rPr>
            </w:pPr>
            <w:r w:rsidRPr="006A5536">
              <w:rPr>
                <w:rFonts w:ascii="Calibri" w:hAnsi="Calibri" w:cs="Calibri"/>
                <w:b/>
                <w:bCs/>
                <w:color w:val="0D0D0D" w:themeColor="text1" w:themeTint="F2"/>
                <w:sz w:val="22"/>
                <w:szCs w:val="22"/>
                <w:lang w:val="en-IE"/>
              </w:rPr>
              <w:t>R</w:t>
            </w:r>
            <w:r w:rsidR="008B33BA" w:rsidRPr="006A5536">
              <w:rPr>
                <w:rFonts w:ascii="Calibri" w:hAnsi="Calibri" w:cs="Calibri"/>
                <w:b/>
                <w:bCs/>
                <w:color w:val="0D0D0D" w:themeColor="text1" w:themeTint="F2"/>
                <w:sz w:val="22"/>
                <w:szCs w:val="22"/>
                <w:lang w:val="en-IE"/>
              </w:rPr>
              <w:t xml:space="preserve">evenue </w:t>
            </w:r>
            <w:r w:rsidR="00024AE8" w:rsidRPr="00024AE8">
              <w:rPr>
                <w:rFonts w:ascii="Calibri" w:hAnsi="Calibri" w:cs="Calibri"/>
                <w:b/>
                <w:bCs/>
                <w:color w:val="0D0D0D" w:themeColor="text1" w:themeTint="F2"/>
                <w:sz w:val="22"/>
                <w:szCs w:val="22"/>
                <w:lang w:val="en-IE"/>
              </w:rPr>
              <w:t>collection</w:t>
            </w:r>
            <w:r w:rsidR="00024AE8" w:rsidRPr="00024AE8">
              <w:rPr>
                <w:rFonts w:ascii="Calibri" w:hAnsi="Calibri" w:cs="Calibri"/>
                <w:color w:val="0D0D0D" w:themeColor="text1" w:themeTint="F2"/>
                <w:sz w:val="22"/>
                <w:szCs w:val="22"/>
                <w:lang w:val="en-IE"/>
              </w:rPr>
              <w:t xml:space="preserve"> </w:t>
            </w:r>
            <w:r w:rsidR="00024AE8" w:rsidRPr="00024AE8">
              <w:rPr>
                <w:rFonts w:ascii="Calibri" w:hAnsi="Calibri" w:cs="Calibri"/>
                <w:b/>
                <w:bCs/>
                <w:color w:val="0D0D0D" w:themeColor="text1" w:themeTint="F2"/>
                <w:sz w:val="22"/>
                <w:szCs w:val="22"/>
                <w:lang w:val="en-IE"/>
              </w:rPr>
              <w:t>optimisation</w:t>
            </w:r>
            <w:r w:rsidRPr="006A5536">
              <w:rPr>
                <w:rFonts w:ascii="Calibri" w:hAnsi="Calibri" w:cs="Calibri"/>
                <w:color w:val="0D0D0D" w:themeColor="text1" w:themeTint="F2"/>
                <w:sz w:val="22"/>
                <w:szCs w:val="22"/>
                <w:lang w:val="en-IE"/>
              </w:rPr>
              <w:t xml:space="preserve"> will be key</w:t>
            </w:r>
            <w:r w:rsidR="00024AE8" w:rsidRPr="00024AE8">
              <w:rPr>
                <w:rFonts w:ascii="Calibri" w:hAnsi="Calibri" w:cs="Calibri"/>
                <w:color w:val="0D0D0D" w:themeColor="text1" w:themeTint="F2"/>
                <w:sz w:val="22"/>
                <w:szCs w:val="22"/>
                <w:lang w:val="en-IE"/>
              </w:rPr>
              <w:t>, using analytical tools to prioritise receivable recovery and target high-value customer segments.</w:t>
            </w:r>
          </w:p>
          <w:p w14:paraId="5A382A5F" w14:textId="03ED32EE" w:rsidR="00024AE8" w:rsidRPr="00024AE8" w:rsidRDefault="00024AE8" w:rsidP="008F143C">
            <w:pPr>
              <w:spacing w:afterLines="20" w:after="48"/>
              <w:rPr>
                <w:rFonts w:ascii="Calibri" w:hAnsi="Calibri" w:cs="Calibri"/>
                <w:color w:val="0D0D0D" w:themeColor="text1" w:themeTint="F2"/>
                <w:sz w:val="22"/>
                <w:szCs w:val="22"/>
                <w:lang w:val="en-IE"/>
              </w:rPr>
            </w:pPr>
            <w:r w:rsidRPr="00024AE8">
              <w:rPr>
                <w:rFonts w:ascii="Calibri" w:hAnsi="Calibri" w:cs="Calibri"/>
                <w:b/>
                <w:bCs/>
                <w:color w:val="0D0D0D" w:themeColor="text1" w:themeTint="F2"/>
                <w:sz w:val="22"/>
                <w:szCs w:val="22"/>
                <w:lang w:val="en-IE"/>
              </w:rPr>
              <w:t>Expanding digital payment channels</w:t>
            </w:r>
            <w:r w:rsidRPr="00024AE8">
              <w:rPr>
                <w:rFonts w:ascii="Calibri" w:hAnsi="Calibri" w:cs="Calibri"/>
                <w:color w:val="0D0D0D" w:themeColor="text1" w:themeTint="F2"/>
                <w:sz w:val="22"/>
                <w:szCs w:val="22"/>
                <w:lang w:val="en-IE"/>
              </w:rPr>
              <w:t xml:space="preserve"> is another initiative. Providing convenient payment options increases transparency and reduces friction in the customer payment process.</w:t>
            </w:r>
          </w:p>
          <w:p w14:paraId="37BE5C9F" w14:textId="4DB3C145" w:rsidR="00024AE8" w:rsidRPr="006A5536" w:rsidRDefault="00963F28" w:rsidP="008F143C">
            <w:pPr>
              <w:spacing w:afterLines="20" w:after="48"/>
              <w:rPr>
                <w:rFonts w:ascii="Calibri" w:hAnsi="Calibri" w:cs="Calibri"/>
                <w:color w:val="0D0D0D" w:themeColor="text1" w:themeTint="F2"/>
                <w:sz w:val="22"/>
                <w:szCs w:val="22"/>
                <w:lang w:val="en-IE"/>
              </w:rPr>
            </w:pPr>
            <w:r w:rsidRPr="006A5536">
              <w:rPr>
                <w:rFonts w:ascii="Calibri" w:hAnsi="Calibri" w:cs="Calibri"/>
                <w:b/>
                <w:bCs/>
                <w:color w:val="0D0D0D" w:themeColor="text1" w:themeTint="F2"/>
                <w:sz w:val="22"/>
                <w:szCs w:val="22"/>
                <w:lang w:val="en-IE"/>
              </w:rPr>
              <w:t>P</w:t>
            </w:r>
            <w:r w:rsidR="00024AE8" w:rsidRPr="00024AE8">
              <w:rPr>
                <w:rFonts w:ascii="Calibri" w:hAnsi="Calibri" w:cs="Calibri"/>
                <w:b/>
                <w:bCs/>
                <w:color w:val="0D0D0D" w:themeColor="text1" w:themeTint="F2"/>
                <w:sz w:val="22"/>
                <w:szCs w:val="22"/>
                <w:lang w:val="en-IE"/>
              </w:rPr>
              <w:t>erformance monitoring dashboards</w:t>
            </w:r>
            <w:r w:rsidR="00024AE8" w:rsidRPr="00024AE8">
              <w:rPr>
                <w:rFonts w:ascii="Calibri" w:hAnsi="Calibri" w:cs="Calibri"/>
                <w:color w:val="0D0D0D" w:themeColor="text1" w:themeTint="F2"/>
                <w:sz w:val="22"/>
                <w:szCs w:val="22"/>
                <w:lang w:val="en-IE"/>
              </w:rPr>
              <w:t xml:space="preserve"> </w:t>
            </w:r>
            <w:r w:rsidRPr="006A5536">
              <w:rPr>
                <w:rFonts w:ascii="Calibri" w:hAnsi="Calibri" w:cs="Calibri"/>
                <w:color w:val="0D0D0D" w:themeColor="text1" w:themeTint="F2"/>
                <w:sz w:val="22"/>
                <w:szCs w:val="22"/>
                <w:lang w:val="en-IE"/>
              </w:rPr>
              <w:t>will</w:t>
            </w:r>
            <w:r w:rsidR="00024AE8" w:rsidRPr="00024AE8">
              <w:rPr>
                <w:rFonts w:ascii="Calibri" w:hAnsi="Calibri" w:cs="Calibri"/>
                <w:color w:val="0D0D0D" w:themeColor="text1" w:themeTint="F2"/>
                <w:sz w:val="22"/>
                <w:szCs w:val="22"/>
                <w:lang w:val="en-IE"/>
              </w:rPr>
              <w:t xml:space="preserve"> be introduced to provide leadership with regular insights into billing efficiency, collection rates, and feeder-level losses. These dashboards support data-driven decision making and stronger operational control.</w:t>
            </w:r>
          </w:p>
          <w:p w14:paraId="5F441336" w14:textId="77777777" w:rsidR="002C18E9" w:rsidRPr="006A5536" w:rsidRDefault="002C18E9" w:rsidP="008F143C">
            <w:pPr>
              <w:spacing w:afterLines="20" w:after="48"/>
              <w:rPr>
                <w:rFonts w:ascii="Calibri" w:hAnsi="Calibri" w:cs="Calibri"/>
                <w:color w:val="0D0D0D" w:themeColor="text1" w:themeTint="F2"/>
                <w:sz w:val="22"/>
                <w:szCs w:val="22"/>
                <w:lang w:val="en-IE"/>
              </w:rPr>
            </w:pPr>
          </w:p>
          <w:p w14:paraId="4E0A37D9" w14:textId="0084B732" w:rsidR="002C18E9" w:rsidRPr="006A5536" w:rsidRDefault="002C18E9" w:rsidP="008F143C">
            <w:pPr>
              <w:spacing w:afterLines="20" w:after="48"/>
              <w:rPr>
                <w:rFonts w:ascii="Calibri" w:hAnsi="Calibri" w:cs="Calibri"/>
                <w:b/>
                <w:bCs/>
                <w:color w:val="0D0D0D" w:themeColor="text1" w:themeTint="F2"/>
                <w:sz w:val="22"/>
                <w:szCs w:val="22"/>
                <w:lang w:val="en-IE"/>
              </w:rPr>
            </w:pPr>
            <w:r w:rsidRPr="006A5536">
              <w:rPr>
                <w:rFonts w:ascii="Calibri" w:hAnsi="Calibri" w:cs="Calibri"/>
                <w:b/>
                <w:bCs/>
                <w:color w:val="0D0D0D" w:themeColor="text1" w:themeTint="F2"/>
                <w:sz w:val="22"/>
                <w:szCs w:val="22"/>
                <w:lang w:val="en-IE"/>
              </w:rPr>
              <w:t xml:space="preserve">Phase 3: </w:t>
            </w:r>
            <w:r w:rsidR="00357D11" w:rsidRPr="006A5536">
              <w:rPr>
                <w:rFonts w:ascii="Calibri" w:hAnsi="Calibri" w:cs="Calibri"/>
                <w:b/>
                <w:bCs/>
                <w:color w:val="0D0D0D" w:themeColor="text1" w:themeTint="F2"/>
                <w:sz w:val="22"/>
                <w:szCs w:val="22"/>
                <w:lang w:val="en-IE"/>
              </w:rPr>
              <w:t>System strengthening and long-term capability (18 – 36 months)</w:t>
            </w:r>
          </w:p>
          <w:p w14:paraId="6A820E08" w14:textId="77777777" w:rsidR="00AF3EB7" w:rsidRPr="00AF3EB7" w:rsidRDefault="00AF3EB7" w:rsidP="008F143C">
            <w:pPr>
              <w:spacing w:afterLines="20" w:after="48"/>
              <w:rPr>
                <w:rFonts w:ascii="Calibri" w:hAnsi="Calibri" w:cs="Calibri"/>
                <w:color w:val="0D0D0D" w:themeColor="text1" w:themeTint="F2"/>
                <w:sz w:val="22"/>
                <w:szCs w:val="22"/>
                <w:lang w:val="en-IE"/>
              </w:rPr>
            </w:pPr>
            <w:r w:rsidRPr="00AF3EB7">
              <w:rPr>
                <w:rFonts w:ascii="Calibri" w:hAnsi="Calibri" w:cs="Calibri"/>
                <w:color w:val="0D0D0D" w:themeColor="text1" w:themeTint="F2"/>
                <w:sz w:val="22"/>
                <w:szCs w:val="22"/>
                <w:lang w:val="en-IE"/>
              </w:rPr>
              <w:t>The final phase focuses on building long-term organisational resilience and strengthening operational systems.</w:t>
            </w:r>
          </w:p>
          <w:p w14:paraId="1A6137E1" w14:textId="3F2BB0D8" w:rsidR="00AF3EB7" w:rsidRPr="00AF3EB7" w:rsidRDefault="00AF3EB7" w:rsidP="008F143C">
            <w:pPr>
              <w:spacing w:afterLines="20" w:after="48"/>
              <w:rPr>
                <w:rFonts w:ascii="Calibri" w:hAnsi="Calibri" w:cs="Calibri"/>
                <w:color w:val="0D0D0D" w:themeColor="text1" w:themeTint="F2"/>
                <w:sz w:val="22"/>
                <w:szCs w:val="22"/>
                <w:lang w:val="en-IE"/>
              </w:rPr>
            </w:pPr>
            <w:r w:rsidRPr="006A5536">
              <w:rPr>
                <w:rFonts w:ascii="Calibri" w:hAnsi="Calibri" w:cs="Calibri"/>
                <w:b/>
                <w:bCs/>
                <w:color w:val="0D0D0D" w:themeColor="text1" w:themeTint="F2"/>
                <w:sz w:val="22"/>
                <w:szCs w:val="22"/>
                <w:lang w:val="en-IE"/>
              </w:rPr>
              <w:t>A</w:t>
            </w:r>
            <w:r w:rsidRPr="00AF3EB7">
              <w:rPr>
                <w:rFonts w:ascii="Calibri" w:hAnsi="Calibri" w:cs="Calibri"/>
                <w:b/>
                <w:bCs/>
                <w:color w:val="0D0D0D" w:themeColor="text1" w:themeTint="F2"/>
                <w:sz w:val="22"/>
                <w:szCs w:val="22"/>
                <w:lang w:val="en-IE"/>
              </w:rPr>
              <w:t>dvanced metering technologies</w:t>
            </w:r>
            <w:r w:rsidRPr="00AF3EB7">
              <w:rPr>
                <w:rFonts w:ascii="Calibri" w:hAnsi="Calibri" w:cs="Calibri"/>
                <w:color w:val="0D0D0D" w:themeColor="text1" w:themeTint="F2"/>
                <w:sz w:val="22"/>
                <w:szCs w:val="22"/>
                <w:lang w:val="en-IE"/>
              </w:rPr>
              <w:t>, particularly for high-value customers and critical network locations</w:t>
            </w:r>
            <w:r w:rsidRPr="006A5536">
              <w:rPr>
                <w:rFonts w:ascii="Calibri" w:hAnsi="Calibri" w:cs="Calibri"/>
                <w:color w:val="0D0D0D" w:themeColor="text1" w:themeTint="F2"/>
                <w:sz w:val="22"/>
                <w:szCs w:val="22"/>
                <w:lang w:val="en-IE"/>
              </w:rPr>
              <w:t>,</w:t>
            </w:r>
            <w:r w:rsidRPr="00AF3EB7">
              <w:rPr>
                <w:rFonts w:ascii="Calibri" w:hAnsi="Calibri" w:cs="Calibri"/>
                <w:color w:val="0D0D0D" w:themeColor="text1" w:themeTint="F2"/>
                <w:sz w:val="22"/>
                <w:szCs w:val="22"/>
                <w:lang w:val="en-IE"/>
              </w:rPr>
              <w:t xml:space="preserve"> </w:t>
            </w:r>
            <w:r w:rsidR="00461112" w:rsidRPr="006A5536">
              <w:rPr>
                <w:rFonts w:ascii="Calibri" w:hAnsi="Calibri" w:cs="Calibri"/>
                <w:color w:val="0D0D0D" w:themeColor="text1" w:themeTint="F2"/>
                <w:sz w:val="22"/>
                <w:szCs w:val="22"/>
                <w:lang w:val="en-IE"/>
              </w:rPr>
              <w:t xml:space="preserve">will be put in place for </w:t>
            </w:r>
            <w:r w:rsidRPr="00AF3EB7">
              <w:rPr>
                <w:rFonts w:ascii="Calibri" w:hAnsi="Calibri" w:cs="Calibri"/>
                <w:color w:val="0D0D0D" w:themeColor="text1" w:themeTint="F2"/>
                <w:sz w:val="22"/>
                <w:szCs w:val="22"/>
                <w:lang w:val="en-IE"/>
              </w:rPr>
              <w:t xml:space="preserve">measurement accuracy and </w:t>
            </w:r>
            <w:r w:rsidR="00461112" w:rsidRPr="006A5536">
              <w:rPr>
                <w:rFonts w:ascii="Calibri" w:hAnsi="Calibri" w:cs="Calibri"/>
                <w:color w:val="0D0D0D" w:themeColor="text1" w:themeTint="F2"/>
                <w:sz w:val="22"/>
                <w:szCs w:val="22"/>
                <w:lang w:val="en-IE"/>
              </w:rPr>
              <w:t xml:space="preserve">to </w:t>
            </w:r>
            <w:r w:rsidRPr="00AF3EB7">
              <w:rPr>
                <w:rFonts w:ascii="Calibri" w:hAnsi="Calibri" w:cs="Calibri"/>
                <w:color w:val="0D0D0D" w:themeColor="text1" w:themeTint="F2"/>
                <w:sz w:val="22"/>
                <w:szCs w:val="22"/>
                <w:lang w:val="en-IE"/>
              </w:rPr>
              <w:t>strengthen billing credibility.</w:t>
            </w:r>
          </w:p>
          <w:p w14:paraId="1EA96697" w14:textId="77777777" w:rsidR="00AF3EB7" w:rsidRPr="00AF3EB7" w:rsidRDefault="00AF3EB7" w:rsidP="008F143C">
            <w:pPr>
              <w:spacing w:afterLines="20" w:after="48"/>
              <w:rPr>
                <w:rFonts w:ascii="Calibri" w:hAnsi="Calibri" w:cs="Calibri"/>
                <w:color w:val="0D0D0D" w:themeColor="text1" w:themeTint="F2"/>
                <w:sz w:val="22"/>
                <w:szCs w:val="22"/>
                <w:lang w:val="en-IE"/>
              </w:rPr>
            </w:pPr>
            <w:r w:rsidRPr="00AF3EB7">
              <w:rPr>
                <w:rFonts w:ascii="Calibri" w:hAnsi="Calibri" w:cs="Calibri"/>
                <w:b/>
                <w:bCs/>
                <w:color w:val="0D0D0D" w:themeColor="text1" w:themeTint="F2"/>
                <w:sz w:val="22"/>
                <w:szCs w:val="22"/>
                <w:lang w:val="en-IE"/>
              </w:rPr>
              <w:t>Improved network monitoring</w:t>
            </w:r>
            <w:r w:rsidRPr="00AF3EB7">
              <w:rPr>
                <w:rFonts w:ascii="Calibri" w:hAnsi="Calibri" w:cs="Calibri"/>
                <w:color w:val="0D0D0D" w:themeColor="text1" w:themeTint="F2"/>
                <w:sz w:val="22"/>
                <w:szCs w:val="22"/>
                <w:lang w:val="en-IE"/>
              </w:rPr>
              <w:t xml:space="preserve"> tools will also support proactive management of feeder and transformer performance.</w:t>
            </w:r>
          </w:p>
          <w:p w14:paraId="3BE8E373" w14:textId="38677511" w:rsidR="00FA5D79" w:rsidRPr="00532E22" w:rsidRDefault="00AF3EB7" w:rsidP="008F143C">
            <w:pPr>
              <w:spacing w:afterLines="20" w:after="48"/>
              <w:rPr>
                <w:rFonts w:ascii="Calibri" w:hAnsi="Calibri" w:cs="Calibri"/>
                <w:color w:val="0D0D0D" w:themeColor="text1" w:themeTint="F2"/>
                <w:sz w:val="22"/>
                <w:szCs w:val="22"/>
                <w:lang w:val="en-IE"/>
              </w:rPr>
            </w:pPr>
            <w:r w:rsidRPr="00AF3EB7">
              <w:rPr>
                <w:rFonts w:ascii="Calibri" w:hAnsi="Calibri" w:cs="Calibri"/>
                <w:color w:val="0D0D0D" w:themeColor="text1" w:themeTint="F2"/>
                <w:sz w:val="22"/>
                <w:szCs w:val="22"/>
                <w:lang w:val="en-IE"/>
              </w:rPr>
              <w:t xml:space="preserve">Finally, the programme aims to build </w:t>
            </w:r>
            <w:r w:rsidRPr="00AF3EB7">
              <w:rPr>
                <w:rFonts w:ascii="Calibri" w:hAnsi="Calibri" w:cs="Calibri"/>
                <w:b/>
                <w:bCs/>
                <w:color w:val="0D0D0D" w:themeColor="text1" w:themeTint="F2"/>
                <w:sz w:val="22"/>
                <w:szCs w:val="22"/>
                <w:lang w:val="en-IE"/>
              </w:rPr>
              <w:t>internal commercial analytics capability</w:t>
            </w:r>
            <w:r w:rsidRPr="00AF3EB7">
              <w:rPr>
                <w:rFonts w:ascii="Calibri" w:hAnsi="Calibri" w:cs="Calibri"/>
                <w:color w:val="0D0D0D" w:themeColor="text1" w:themeTint="F2"/>
                <w:sz w:val="22"/>
                <w:szCs w:val="22"/>
                <w:lang w:val="en-IE"/>
              </w:rPr>
              <w:t>, enabling IBEDC teams to continuously analyse operational data, monitor performance indicators, and identify improvement opportunities.</w:t>
            </w:r>
          </w:p>
        </w:tc>
      </w:tr>
      <w:tr w:rsidR="00CD6A2D" w:rsidRPr="002D10A6" w14:paraId="64DB0043" w14:textId="77777777" w:rsidTr="00EE46AC">
        <w:trPr>
          <w:trHeight w:val="576"/>
        </w:trPr>
        <w:tc>
          <w:tcPr>
            <w:tcW w:w="10070" w:type="dxa"/>
            <w:tcBorders>
              <w:bottom w:val="single" w:sz="4" w:space="0" w:color="BFBFBF" w:themeColor="background1" w:themeShade="BF"/>
            </w:tcBorders>
          </w:tcPr>
          <w:p w14:paraId="41794864" w14:textId="66F5A984" w:rsidR="00CD6A2D" w:rsidRPr="00693DAA" w:rsidRDefault="00CD6A2D" w:rsidP="00FC455A">
            <w:pPr>
              <w:pStyle w:val="Heading2"/>
              <w:spacing w:afterLines="20" w:after="48"/>
              <w:rPr>
                <w:rFonts w:ascii="Calibri" w:hAnsi="Calibri" w:cs="Calibri"/>
                <w:b/>
                <w:bCs/>
                <w:color w:val="595959" w:themeColor="text1" w:themeTint="A6"/>
                <w:sz w:val="32"/>
                <w:szCs w:val="48"/>
              </w:rPr>
            </w:pPr>
            <w:sdt>
              <w:sdtPr>
                <w:rPr>
                  <w:rFonts w:ascii="Calibri" w:hAnsi="Calibri" w:cs="Calibri"/>
                  <w:b/>
                  <w:bCs/>
                  <w:color w:val="595959" w:themeColor="text1" w:themeTint="A6"/>
                  <w:sz w:val="32"/>
                  <w:szCs w:val="48"/>
                </w:rPr>
                <w:id w:val="777536084"/>
                <w:placeholder>
                  <w:docPart w:val="33F85B683B9D4C3B91BABF4C109D90F1"/>
                </w:placeholder>
                <w15:appearance w15:val="hidden"/>
              </w:sdtPr>
              <w:sdtContent>
                <w:r w:rsidR="00A5770E" w:rsidRPr="00693DAA">
                  <w:rPr>
                    <w:rFonts w:ascii="Calibri" w:hAnsi="Calibri" w:cs="Calibri"/>
                    <w:b/>
                    <w:bCs/>
                    <w:color w:val="595959" w:themeColor="text1" w:themeTint="A6"/>
                    <w:sz w:val="32"/>
                    <w:szCs w:val="48"/>
                  </w:rPr>
                  <w:t>organisational enablement</w:t>
                </w:r>
              </w:sdtContent>
            </w:sdt>
            <w:r w:rsidRPr="00693DAA">
              <w:rPr>
                <w:rFonts w:ascii="Calibri" w:hAnsi="Calibri" w:cs="Calibri"/>
                <w:b/>
                <w:bCs/>
                <w:color w:val="595959" w:themeColor="text1" w:themeTint="A6"/>
                <w:sz w:val="32"/>
                <w:szCs w:val="48"/>
              </w:rPr>
              <w:t xml:space="preserve"> </w:t>
            </w:r>
          </w:p>
        </w:tc>
      </w:tr>
      <w:tr w:rsidR="00CD6A2D" w:rsidRPr="002D10A6" w14:paraId="3C347093" w14:textId="77777777" w:rsidTr="00E61ABB">
        <w:trPr>
          <w:trHeight w:val="864"/>
        </w:trPr>
        <w:tc>
          <w:tcPr>
            <w:tcW w:w="10070" w:type="dxa"/>
            <w:tcBorders>
              <w:top w:val="single" w:sz="4" w:space="0" w:color="BFBFBF" w:themeColor="background1" w:themeShade="BF"/>
            </w:tcBorders>
          </w:tcPr>
          <w:p w14:paraId="58200A06" w14:textId="0C305F3A" w:rsidR="00532E22" w:rsidRPr="00532E22" w:rsidRDefault="00532E22" w:rsidP="00FC455A">
            <w:pPr>
              <w:spacing w:afterLines="20" w:after="48"/>
              <w:rPr>
                <w:rFonts w:ascii="Calibri" w:hAnsi="Calibri" w:cs="Calibri"/>
                <w:b/>
                <w:bCs/>
                <w:sz w:val="22"/>
                <w:szCs w:val="22"/>
                <w:lang w:val="en-IE"/>
              </w:rPr>
            </w:pPr>
            <w:r w:rsidRPr="00532E22">
              <w:rPr>
                <w:rFonts w:ascii="Calibri" w:hAnsi="Calibri" w:cs="Calibri"/>
                <w:sz w:val="22"/>
                <w:szCs w:val="22"/>
                <w:lang w:val="en-IE"/>
              </w:rPr>
              <w:t xml:space="preserve">Operational improvements must be supported by organisational capability. The programme therefore emphasises several enabling factors, </w:t>
            </w:r>
            <w:r w:rsidRPr="00532E22">
              <w:rPr>
                <w:rFonts w:ascii="Calibri" w:hAnsi="Calibri" w:cs="Calibri"/>
                <w:b/>
                <w:bCs/>
                <w:sz w:val="22"/>
                <w:szCs w:val="22"/>
                <w:lang w:val="en-IE"/>
              </w:rPr>
              <w:t>including leadership alignment, clear accountability frameworks, staff training and development, and robust performance measurement systems.</w:t>
            </w:r>
            <w:r w:rsidRPr="00532E22">
              <w:rPr>
                <w:rFonts w:ascii="Calibri" w:hAnsi="Calibri" w:cs="Calibri"/>
                <w:sz w:val="22"/>
                <w:szCs w:val="22"/>
                <w:lang w:val="en-IE"/>
              </w:rPr>
              <w:t>These elements ensure that improvements become embedded within the organisation’s operating model rather than remaining temporary initiatives</w:t>
            </w:r>
            <w:r w:rsidRPr="00532E22">
              <w:rPr>
                <w:rFonts w:ascii="Calibri" w:hAnsi="Calibri" w:cs="Calibri"/>
                <w:lang w:val="en-IE"/>
              </w:rPr>
              <w:t>.</w:t>
            </w:r>
          </w:p>
          <w:p w14:paraId="40A605AC" w14:textId="77777777" w:rsidR="00CD6A2D" w:rsidRPr="002D10A6" w:rsidRDefault="00CD6A2D" w:rsidP="00FC455A">
            <w:pPr>
              <w:spacing w:afterLines="20" w:after="48"/>
              <w:rPr>
                <w:rFonts w:ascii="Calibri" w:hAnsi="Calibri" w:cs="Calibri"/>
              </w:rPr>
            </w:pPr>
          </w:p>
        </w:tc>
      </w:tr>
      <w:tr w:rsidR="00CD6A2D" w:rsidRPr="002D10A6" w14:paraId="2FD8AB23" w14:textId="77777777" w:rsidTr="00E61ABB">
        <w:trPr>
          <w:trHeight w:val="576"/>
        </w:trPr>
        <w:tc>
          <w:tcPr>
            <w:tcW w:w="10070" w:type="dxa"/>
            <w:tcBorders>
              <w:bottom w:val="single" w:sz="4" w:space="0" w:color="BFBFBF" w:themeColor="background1" w:themeShade="BF"/>
            </w:tcBorders>
          </w:tcPr>
          <w:p w14:paraId="42CF901E" w14:textId="4F5A7D89" w:rsidR="00CD6A2D" w:rsidRPr="00693DAA" w:rsidRDefault="00540A7E" w:rsidP="00FC455A">
            <w:pPr>
              <w:pStyle w:val="Heading2"/>
              <w:spacing w:afterLines="20" w:after="48"/>
              <w:rPr>
                <w:rFonts w:ascii="Calibri" w:hAnsi="Calibri" w:cs="Calibri"/>
                <w:b/>
                <w:bCs/>
                <w:color w:val="595959" w:themeColor="text1" w:themeTint="A6"/>
                <w:sz w:val="32"/>
                <w:szCs w:val="48"/>
              </w:rPr>
            </w:pPr>
            <w:r w:rsidRPr="00693DAA">
              <w:rPr>
                <w:rFonts w:ascii="Calibri" w:hAnsi="Calibri" w:cs="Calibri"/>
                <w:b/>
                <w:bCs/>
                <w:color w:val="595959" w:themeColor="text1" w:themeTint="A6"/>
                <w:sz w:val="32"/>
                <w:szCs w:val="48"/>
              </w:rPr>
              <w:lastRenderedPageBreak/>
              <w:t>expected outcomes</w:t>
            </w:r>
          </w:p>
        </w:tc>
      </w:tr>
      <w:tr w:rsidR="00CD6A2D" w:rsidRPr="002D10A6" w14:paraId="3A54CEC5" w14:textId="77777777" w:rsidTr="00E61ABB">
        <w:trPr>
          <w:trHeight w:val="864"/>
        </w:trPr>
        <w:tc>
          <w:tcPr>
            <w:tcW w:w="10070" w:type="dxa"/>
            <w:tcBorders>
              <w:top w:val="single" w:sz="4" w:space="0" w:color="BFBFBF" w:themeColor="background1" w:themeShade="BF"/>
            </w:tcBorders>
          </w:tcPr>
          <w:p w14:paraId="290ADD8F" w14:textId="4DE8BD03" w:rsidR="00540A7E" w:rsidRPr="00DF0DD8" w:rsidRDefault="00540A7E" w:rsidP="00FC455A">
            <w:pPr>
              <w:spacing w:afterLines="20" w:after="48"/>
              <w:rPr>
                <w:rFonts w:ascii="Calibri" w:hAnsi="Calibri" w:cs="Calibri"/>
                <w:sz w:val="22"/>
                <w:szCs w:val="22"/>
                <w:lang w:val="en-IE"/>
              </w:rPr>
            </w:pPr>
            <w:r w:rsidRPr="00540A7E">
              <w:rPr>
                <w:rFonts w:ascii="Calibri" w:hAnsi="Calibri" w:cs="Calibri"/>
                <w:sz w:val="22"/>
                <w:szCs w:val="22"/>
                <w:lang w:val="en-IE"/>
              </w:rPr>
              <w:t>Through disciplined implementation of the framework, IBEDC can expect improvements in several key performance indicators</w:t>
            </w:r>
            <w:r w:rsidR="0075155F">
              <w:rPr>
                <w:rFonts w:ascii="Calibri" w:hAnsi="Calibri" w:cs="Calibri"/>
                <w:sz w:val="22"/>
                <w:szCs w:val="22"/>
                <w:lang w:val="en-IE"/>
              </w:rPr>
              <w:t>:</w:t>
            </w:r>
          </w:p>
          <w:tbl>
            <w:tblPr>
              <w:tblStyle w:val="TableGrid"/>
              <w:tblW w:w="0" w:type="auto"/>
              <w:tblLook w:val="04A0" w:firstRow="1" w:lastRow="0" w:firstColumn="1" w:lastColumn="0" w:noHBand="0" w:noVBand="1"/>
            </w:tblPr>
            <w:tblGrid>
              <w:gridCol w:w="328"/>
              <w:gridCol w:w="4394"/>
            </w:tblGrid>
            <w:tr w:rsidR="0075155F" w14:paraId="2988FC8D" w14:textId="77777777" w:rsidTr="007A6778">
              <w:tc>
                <w:tcPr>
                  <w:tcW w:w="259" w:type="dxa"/>
                </w:tcPr>
                <w:p w14:paraId="76887EB0" w14:textId="08D7B0F0" w:rsidR="0075155F" w:rsidRDefault="0074552B" w:rsidP="00FC455A">
                  <w:pPr>
                    <w:spacing w:afterLines="20" w:after="48"/>
                    <w:rPr>
                      <w:rFonts w:ascii="Calibri" w:hAnsi="Calibri" w:cs="Calibri"/>
                      <w:b/>
                      <w:bCs/>
                      <w:sz w:val="22"/>
                      <w:szCs w:val="22"/>
                      <w:lang w:val="en-IE"/>
                    </w:rPr>
                  </w:pPr>
                  <w:r>
                    <w:rPr>
                      <w:rFonts w:ascii="Calibri" w:hAnsi="Calibri" w:cs="Calibri"/>
                      <w:b/>
                      <w:bCs/>
                      <w:sz w:val="22"/>
                      <w:szCs w:val="22"/>
                      <w:lang w:val="en-IE"/>
                    </w:rPr>
                    <w:t>1</w:t>
                  </w:r>
                </w:p>
              </w:tc>
              <w:tc>
                <w:tcPr>
                  <w:tcW w:w="4394" w:type="dxa"/>
                </w:tcPr>
                <w:p w14:paraId="6D712AEF" w14:textId="4A90C9F6" w:rsidR="0075155F" w:rsidRDefault="0075155F" w:rsidP="00FC455A">
                  <w:pPr>
                    <w:spacing w:afterLines="20" w:after="48"/>
                    <w:rPr>
                      <w:rFonts w:ascii="Calibri" w:hAnsi="Calibri" w:cs="Calibri"/>
                      <w:b/>
                      <w:bCs/>
                      <w:sz w:val="22"/>
                      <w:szCs w:val="22"/>
                      <w:lang w:val="en-IE"/>
                    </w:rPr>
                  </w:pPr>
                  <w:r>
                    <w:rPr>
                      <w:rFonts w:ascii="Calibri" w:hAnsi="Calibri" w:cs="Calibri"/>
                      <w:b/>
                      <w:bCs/>
                      <w:sz w:val="22"/>
                      <w:szCs w:val="22"/>
                      <w:lang w:val="en-IE"/>
                    </w:rPr>
                    <w:t>Improved billing efficiency</w:t>
                  </w:r>
                </w:p>
              </w:tc>
            </w:tr>
            <w:tr w:rsidR="0075155F" w14:paraId="50557FCC" w14:textId="77777777" w:rsidTr="007A6778">
              <w:tc>
                <w:tcPr>
                  <w:tcW w:w="259" w:type="dxa"/>
                </w:tcPr>
                <w:p w14:paraId="074D6C17" w14:textId="55AB8D66" w:rsidR="0075155F" w:rsidRDefault="0074552B" w:rsidP="00FC455A">
                  <w:pPr>
                    <w:spacing w:afterLines="20" w:after="48"/>
                    <w:rPr>
                      <w:rFonts w:ascii="Calibri" w:hAnsi="Calibri" w:cs="Calibri"/>
                      <w:b/>
                      <w:bCs/>
                      <w:sz w:val="22"/>
                      <w:szCs w:val="22"/>
                      <w:lang w:val="en-IE"/>
                    </w:rPr>
                  </w:pPr>
                  <w:r>
                    <w:rPr>
                      <w:rFonts w:ascii="Calibri" w:hAnsi="Calibri" w:cs="Calibri"/>
                      <w:b/>
                      <w:bCs/>
                      <w:sz w:val="22"/>
                      <w:szCs w:val="22"/>
                      <w:lang w:val="en-IE"/>
                    </w:rPr>
                    <w:t>2</w:t>
                  </w:r>
                </w:p>
              </w:tc>
              <w:tc>
                <w:tcPr>
                  <w:tcW w:w="4394" w:type="dxa"/>
                </w:tcPr>
                <w:p w14:paraId="4038710B" w14:textId="20034885" w:rsidR="0075155F" w:rsidRDefault="0075155F" w:rsidP="00FC455A">
                  <w:pPr>
                    <w:spacing w:afterLines="20" w:after="48"/>
                    <w:rPr>
                      <w:rFonts w:ascii="Calibri" w:hAnsi="Calibri" w:cs="Calibri"/>
                      <w:b/>
                      <w:bCs/>
                      <w:sz w:val="22"/>
                      <w:szCs w:val="22"/>
                      <w:lang w:val="en-IE"/>
                    </w:rPr>
                  </w:pPr>
                  <w:r>
                    <w:rPr>
                      <w:rFonts w:ascii="Calibri" w:hAnsi="Calibri" w:cs="Calibri"/>
                      <w:b/>
                      <w:bCs/>
                      <w:sz w:val="22"/>
                      <w:szCs w:val="22"/>
                      <w:lang w:val="en-IE"/>
                    </w:rPr>
                    <w:t>Strong revenue collection performance</w:t>
                  </w:r>
                </w:p>
              </w:tc>
            </w:tr>
            <w:tr w:rsidR="0075155F" w14:paraId="1C63A893" w14:textId="77777777" w:rsidTr="007A6778">
              <w:tc>
                <w:tcPr>
                  <w:tcW w:w="259" w:type="dxa"/>
                </w:tcPr>
                <w:p w14:paraId="7B1495EA" w14:textId="315C7452" w:rsidR="0075155F" w:rsidRDefault="0074552B" w:rsidP="00FC455A">
                  <w:pPr>
                    <w:spacing w:afterLines="20" w:after="48"/>
                    <w:rPr>
                      <w:rFonts w:ascii="Calibri" w:hAnsi="Calibri" w:cs="Calibri"/>
                      <w:b/>
                      <w:bCs/>
                      <w:sz w:val="22"/>
                      <w:szCs w:val="22"/>
                      <w:lang w:val="en-IE"/>
                    </w:rPr>
                  </w:pPr>
                  <w:r>
                    <w:rPr>
                      <w:rFonts w:ascii="Calibri" w:hAnsi="Calibri" w:cs="Calibri"/>
                      <w:b/>
                      <w:bCs/>
                      <w:sz w:val="22"/>
                      <w:szCs w:val="22"/>
                      <w:lang w:val="en-IE"/>
                    </w:rPr>
                    <w:t>3</w:t>
                  </w:r>
                </w:p>
              </w:tc>
              <w:tc>
                <w:tcPr>
                  <w:tcW w:w="4394" w:type="dxa"/>
                </w:tcPr>
                <w:p w14:paraId="5FC825EC" w14:textId="15030B24" w:rsidR="0075155F" w:rsidRDefault="0075155F" w:rsidP="00FC455A">
                  <w:pPr>
                    <w:spacing w:afterLines="20" w:after="48"/>
                    <w:rPr>
                      <w:rFonts w:ascii="Calibri" w:hAnsi="Calibri" w:cs="Calibri"/>
                      <w:b/>
                      <w:bCs/>
                      <w:sz w:val="22"/>
                      <w:szCs w:val="22"/>
                      <w:lang w:val="en-IE"/>
                    </w:rPr>
                  </w:pPr>
                  <w:r>
                    <w:rPr>
                      <w:rFonts w:ascii="Calibri" w:hAnsi="Calibri" w:cs="Calibri"/>
                      <w:b/>
                      <w:bCs/>
                      <w:sz w:val="22"/>
                      <w:szCs w:val="22"/>
                      <w:lang w:val="en-IE"/>
                    </w:rPr>
                    <w:t>Expanded metering coverage</w:t>
                  </w:r>
                </w:p>
              </w:tc>
            </w:tr>
            <w:tr w:rsidR="0075155F" w14:paraId="14FB5E79" w14:textId="77777777" w:rsidTr="007A6778">
              <w:tc>
                <w:tcPr>
                  <w:tcW w:w="259" w:type="dxa"/>
                </w:tcPr>
                <w:p w14:paraId="3646E113" w14:textId="42E747B4" w:rsidR="0075155F" w:rsidRDefault="0074552B" w:rsidP="00FC455A">
                  <w:pPr>
                    <w:spacing w:afterLines="20" w:after="48"/>
                    <w:rPr>
                      <w:rFonts w:ascii="Calibri" w:hAnsi="Calibri" w:cs="Calibri"/>
                      <w:b/>
                      <w:bCs/>
                      <w:sz w:val="22"/>
                      <w:szCs w:val="22"/>
                      <w:lang w:val="en-IE"/>
                    </w:rPr>
                  </w:pPr>
                  <w:r>
                    <w:rPr>
                      <w:rFonts w:ascii="Calibri" w:hAnsi="Calibri" w:cs="Calibri"/>
                      <w:b/>
                      <w:bCs/>
                      <w:sz w:val="22"/>
                      <w:szCs w:val="22"/>
                      <w:lang w:val="en-IE"/>
                    </w:rPr>
                    <w:t>4</w:t>
                  </w:r>
                </w:p>
              </w:tc>
              <w:tc>
                <w:tcPr>
                  <w:tcW w:w="4394" w:type="dxa"/>
                </w:tcPr>
                <w:p w14:paraId="58356F4A" w14:textId="1FB6A869" w:rsidR="0075155F" w:rsidRDefault="0075155F" w:rsidP="00FC455A">
                  <w:pPr>
                    <w:spacing w:afterLines="20" w:after="48"/>
                    <w:rPr>
                      <w:rFonts w:ascii="Calibri" w:hAnsi="Calibri" w:cs="Calibri"/>
                      <w:b/>
                      <w:bCs/>
                      <w:sz w:val="22"/>
                      <w:szCs w:val="22"/>
                      <w:lang w:val="en-IE"/>
                    </w:rPr>
                  </w:pPr>
                  <w:r>
                    <w:rPr>
                      <w:rFonts w:ascii="Calibri" w:hAnsi="Calibri" w:cs="Calibri"/>
                      <w:b/>
                      <w:bCs/>
                      <w:sz w:val="22"/>
                      <w:szCs w:val="22"/>
                      <w:lang w:val="en-IE"/>
                    </w:rPr>
                    <w:t xml:space="preserve">Enhanced </w:t>
                  </w:r>
                  <w:r w:rsidR="0074552B">
                    <w:rPr>
                      <w:rFonts w:ascii="Calibri" w:hAnsi="Calibri" w:cs="Calibri"/>
                      <w:b/>
                      <w:bCs/>
                      <w:sz w:val="22"/>
                      <w:szCs w:val="22"/>
                      <w:lang w:val="en-IE"/>
                    </w:rPr>
                    <w:t xml:space="preserve">customer </w:t>
                  </w:r>
                  <w:r>
                    <w:rPr>
                      <w:rFonts w:ascii="Calibri" w:hAnsi="Calibri" w:cs="Calibri"/>
                      <w:b/>
                      <w:bCs/>
                      <w:sz w:val="22"/>
                      <w:szCs w:val="22"/>
                      <w:lang w:val="en-IE"/>
                    </w:rPr>
                    <w:t>visibility</w:t>
                  </w:r>
                </w:p>
              </w:tc>
            </w:tr>
            <w:tr w:rsidR="0075155F" w14:paraId="22E4EE9A" w14:textId="77777777" w:rsidTr="007A6778">
              <w:tc>
                <w:tcPr>
                  <w:tcW w:w="259" w:type="dxa"/>
                </w:tcPr>
                <w:p w14:paraId="0A6413B7" w14:textId="3DB69D08" w:rsidR="0075155F" w:rsidRDefault="0074552B" w:rsidP="00FC455A">
                  <w:pPr>
                    <w:spacing w:afterLines="20" w:after="48"/>
                    <w:rPr>
                      <w:rFonts w:ascii="Calibri" w:hAnsi="Calibri" w:cs="Calibri"/>
                      <w:b/>
                      <w:bCs/>
                      <w:sz w:val="22"/>
                      <w:szCs w:val="22"/>
                      <w:lang w:val="en-IE"/>
                    </w:rPr>
                  </w:pPr>
                  <w:r>
                    <w:rPr>
                      <w:rFonts w:ascii="Calibri" w:hAnsi="Calibri" w:cs="Calibri"/>
                      <w:b/>
                      <w:bCs/>
                      <w:sz w:val="22"/>
                      <w:szCs w:val="22"/>
                      <w:lang w:val="en-IE"/>
                    </w:rPr>
                    <w:t>5</w:t>
                  </w:r>
                </w:p>
              </w:tc>
              <w:tc>
                <w:tcPr>
                  <w:tcW w:w="4394" w:type="dxa"/>
                </w:tcPr>
                <w:p w14:paraId="3C54F918" w14:textId="4425DD62" w:rsidR="0075155F" w:rsidRDefault="0074552B" w:rsidP="00FC455A">
                  <w:pPr>
                    <w:spacing w:afterLines="20" w:after="48"/>
                    <w:rPr>
                      <w:rFonts w:ascii="Calibri" w:hAnsi="Calibri" w:cs="Calibri"/>
                      <w:b/>
                      <w:bCs/>
                      <w:sz w:val="22"/>
                      <w:szCs w:val="22"/>
                      <w:lang w:val="en-IE"/>
                    </w:rPr>
                  </w:pPr>
                  <w:r>
                    <w:rPr>
                      <w:rFonts w:ascii="Calibri" w:hAnsi="Calibri" w:cs="Calibri"/>
                      <w:b/>
                      <w:bCs/>
                      <w:sz w:val="22"/>
                      <w:szCs w:val="22"/>
                      <w:lang w:val="en-IE"/>
                    </w:rPr>
                    <w:t>Reduced commercial losses</w:t>
                  </w:r>
                </w:p>
              </w:tc>
            </w:tr>
            <w:tr w:rsidR="0075155F" w14:paraId="1E6FEC75" w14:textId="77777777" w:rsidTr="007A6778">
              <w:tc>
                <w:tcPr>
                  <w:tcW w:w="259" w:type="dxa"/>
                </w:tcPr>
                <w:p w14:paraId="43A25E77" w14:textId="21B3112D" w:rsidR="0075155F" w:rsidRDefault="0074552B" w:rsidP="00FC455A">
                  <w:pPr>
                    <w:spacing w:afterLines="20" w:after="48"/>
                    <w:rPr>
                      <w:rFonts w:ascii="Calibri" w:hAnsi="Calibri" w:cs="Calibri"/>
                      <w:b/>
                      <w:bCs/>
                      <w:sz w:val="22"/>
                      <w:szCs w:val="22"/>
                      <w:lang w:val="en-IE"/>
                    </w:rPr>
                  </w:pPr>
                  <w:r>
                    <w:rPr>
                      <w:rFonts w:ascii="Calibri" w:hAnsi="Calibri" w:cs="Calibri"/>
                      <w:b/>
                      <w:bCs/>
                      <w:sz w:val="22"/>
                      <w:szCs w:val="22"/>
                      <w:lang w:val="en-IE"/>
                    </w:rPr>
                    <w:t>6</w:t>
                  </w:r>
                </w:p>
              </w:tc>
              <w:tc>
                <w:tcPr>
                  <w:tcW w:w="4394" w:type="dxa"/>
                </w:tcPr>
                <w:p w14:paraId="470ED0E0" w14:textId="2BC3927E" w:rsidR="0075155F" w:rsidRDefault="0074552B" w:rsidP="00FC455A">
                  <w:pPr>
                    <w:spacing w:afterLines="20" w:after="48"/>
                    <w:rPr>
                      <w:rFonts w:ascii="Calibri" w:hAnsi="Calibri" w:cs="Calibri"/>
                      <w:b/>
                      <w:bCs/>
                      <w:sz w:val="22"/>
                      <w:szCs w:val="22"/>
                      <w:lang w:val="en-IE"/>
                    </w:rPr>
                  </w:pPr>
                  <w:r>
                    <w:rPr>
                      <w:rFonts w:ascii="Calibri" w:hAnsi="Calibri" w:cs="Calibri"/>
                      <w:b/>
                      <w:bCs/>
                      <w:sz w:val="22"/>
                      <w:szCs w:val="22"/>
                      <w:lang w:val="en-IE"/>
                    </w:rPr>
                    <w:t>Increased operational transparency</w:t>
                  </w:r>
                </w:p>
              </w:tc>
            </w:tr>
          </w:tbl>
          <w:p w14:paraId="062E59A8" w14:textId="77777777" w:rsidR="009D7DB9" w:rsidRDefault="009D7DB9" w:rsidP="00FC455A">
            <w:pPr>
              <w:spacing w:afterLines="20" w:after="48"/>
              <w:rPr>
                <w:rFonts w:ascii="Calibri" w:hAnsi="Calibri" w:cs="Calibri"/>
                <w:sz w:val="22"/>
                <w:szCs w:val="22"/>
                <w:lang w:val="en-IE"/>
              </w:rPr>
            </w:pPr>
          </w:p>
          <w:p w14:paraId="20E291FD" w14:textId="3C46E0E4" w:rsidR="00540A7E" w:rsidRPr="00540A7E" w:rsidRDefault="00540A7E" w:rsidP="00FC455A">
            <w:pPr>
              <w:spacing w:afterLines="20" w:after="48"/>
              <w:rPr>
                <w:rFonts w:ascii="Calibri" w:hAnsi="Calibri" w:cs="Calibri"/>
                <w:sz w:val="22"/>
                <w:szCs w:val="22"/>
                <w:lang w:val="en-IE"/>
              </w:rPr>
            </w:pPr>
            <w:r w:rsidRPr="00540A7E">
              <w:rPr>
                <w:rFonts w:ascii="Calibri" w:hAnsi="Calibri" w:cs="Calibri"/>
                <w:sz w:val="22"/>
                <w:szCs w:val="22"/>
                <w:lang w:val="en-IE"/>
              </w:rPr>
              <w:t>Collectively, these improvements contribute to IBEDC’s long-term objective of building a financially sustainable and operationally resilient electricity distribution business.</w:t>
            </w:r>
          </w:p>
          <w:p w14:paraId="262A2832" w14:textId="77777777" w:rsidR="00CD6A2D" w:rsidRPr="002D10A6" w:rsidRDefault="00CD6A2D" w:rsidP="00FC455A">
            <w:pPr>
              <w:spacing w:afterLines="20" w:after="48"/>
              <w:rPr>
                <w:rFonts w:ascii="Calibri" w:hAnsi="Calibri" w:cs="Calibri"/>
              </w:rPr>
            </w:pPr>
          </w:p>
        </w:tc>
      </w:tr>
      <w:tr w:rsidR="00CD6A2D" w:rsidRPr="002D10A6" w14:paraId="5E5507CE" w14:textId="77777777" w:rsidTr="00466475">
        <w:trPr>
          <w:trHeight w:val="523"/>
        </w:trPr>
        <w:tc>
          <w:tcPr>
            <w:tcW w:w="10070" w:type="dxa"/>
            <w:tcBorders>
              <w:bottom w:val="single" w:sz="4" w:space="0" w:color="BFBFBF" w:themeColor="background1" w:themeShade="BF"/>
            </w:tcBorders>
          </w:tcPr>
          <w:p w14:paraId="628D35C7" w14:textId="1D5D2006" w:rsidR="00CD6A2D" w:rsidRPr="00693DAA" w:rsidRDefault="00AA7566" w:rsidP="00FC455A">
            <w:pPr>
              <w:pStyle w:val="Heading2"/>
              <w:spacing w:afterLines="20" w:after="48"/>
              <w:rPr>
                <w:rFonts w:ascii="Calibri" w:hAnsi="Calibri" w:cs="Calibri"/>
                <w:b/>
                <w:bCs/>
                <w:color w:val="595959" w:themeColor="text1" w:themeTint="A6"/>
                <w:sz w:val="32"/>
                <w:szCs w:val="48"/>
              </w:rPr>
            </w:pPr>
            <w:r w:rsidRPr="00693DAA">
              <w:rPr>
                <w:rFonts w:ascii="Calibri" w:hAnsi="Calibri" w:cs="Calibri"/>
                <w:b/>
                <w:bCs/>
                <w:color w:val="595959" w:themeColor="text1" w:themeTint="A6"/>
                <w:sz w:val="32"/>
                <w:szCs w:val="48"/>
              </w:rPr>
              <w:t>next steps</w:t>
            </w:r>
          </w:p>
        </w:tc>
      </w:tr>
      <w:tr w:rsidR="00120C2D" w:rsidRPr="002D10A6" w14:paraId="09DE17A6" w14:textId="77777777" w:rsidTr="00373FA7">
        <w:trPr>
          <w:trHeight w:val="91"/>
        </w:trPr>
        <w:tc>
          <w:tcPr>
            <w:tcW w:w="10070" w:type="dxa"/>
            <w:tcBorders>
              <w:top w:val="single" w:sz="4" w:space="0" w:color="BFBFBF" w:themeColor="background1" w:themeShade="BF"/>
            </w:tcBorders>
          </w:tcPr>
          <w:p w14:paraId="134A3F05" w14:textId="77777777" w:rsidR="00DF50C5" w:rsidRPr="00DF50C5" w:rsidRDefault="00DF50C5" w:rsidP="00FC455A">
            <w:pPr>
              <w:spacing w:afterLines="20" w:after="48"/>
              <w:rPr>
                <w:rFonts w:ascii="Calibri" w:hAnsi="Calibri" w:cs="Calibri"/>
                <w:sz w:val="22"/>
                <w:szCs w:val="36"/>
                <w:lang w:val="en-IE"/>
              </w:rPr>
            </w:pPr>
            <w:r w:rsidRPr="00DF50C5">
              <w:rPr>
                <w:rFonts w:ascii="Calibri" w:hAnsi="Calibri" w:cs="Calibri"/>
                <w:sz w:val="22"/>
                <w:szCs w:val="36"/>
                <w:lang w:val="en-IE"/>
              </w:rPr>
              <w:t>The next step involves supporting a leadership strategy session to align management around performance priorities. This session will review diagnostic findings, define implementation timelines, and establish monitoring and governance structures.</w:t>
            </w:r>
          </w:p>
          <w:p w14:paraId="7F1954FB" w14:textId="42B6F4E7" w:rsidR="00DF50C5" w:rsidRPr="00797B70" w:rsidRDefault="00DF50C5" w:rsidP="00FC455A">
            <w:pPr>
              <w:spacing w:afterLines="20" w:after="48"/>
              <w:rPr>
                <w:rFonts w:ascii="Calibri" w:hAnsi="Calibri" w:cs="Calibri"/>
                <w:sz w:val="22"/>
                <w:szCs w:val="36"/>
                <w:lang w:val="en-IE"/>
              </w:rPr>
            </w:pPr>
            <w:r w:rsidRPr="00DF50C5">
              <w:rPr>
                <w:rFonts w:ascii="Calibri" w:hAnsi="Calibri" w:cs="Calibri"/>
                <w:sz w:val="22"/>
                <w:szCs w:val="36"/>
                <w:lang w:val="en-IE"/>
              </w:rPr>
              <w:t>A collaborative approach will ensure that transformation initiatives remain aligned with IBEDC’s strategic direction and operational needs</w:t>
            </w:r>
            <w:r w:rsidR="00797B70">
              <w:rPr>
                <w:rFonts w:ascii="Calibri" w:hAnsi="Calibri" w:cs="Calibri"/>
                <w:sz w:val="22"/>
                <w:szCs w:val="36"/>
                <w:lang w:val="en-IE"/>
              </w:rPr>
              <w:t>.</w:t>
            </w:r>
          </w:p>
        </w:tc>
      </w:tr>
    </w:tbl>
    <w:p w14:paraId="283DF587" w14:textId="77777777" w:rsidR="00E37729" w:rsidRPr="002D10A6" w:rsidRDefault="00E37729" w:rsidP="00E61ABB">
      <w:pPr>
        <w:spacing w:after="0"/>
        <w:rPr>
          <w:rFonts w:ascii="Calibri" w:hAnsi="Calibri" w:cs="Calibri"/>
          <w:sz w:val="8"/>
          <w:szCs w:val="8"/>
        </w:rPr>
      </w:pPr>
    </w:p>
    <w:sectPr w:rsidR="00E37729" w:rsidRPr="002D10A6" w:rsidSect="006C31FB">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lim">
    <w:panose1 w:val="020B0600000101010101"/>
    <w:charset w:val="81"/>
    <w:family w:val="swiss"/>
    <w:pitch w:val="variable"/>
    <w:sig w:usb0="B00002AF" w:usb1="69D77CFB" w:usb2="00000030" w:usb3="00000000" w:csb0="0008009F" w:csb1="00000000"/>
  </w:font>
  <w:font w:name="Times New Roman (Headings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004D"/>
    <w:multiLevelType w:val="hybridMultilevel"/>
    <w:tmpl w:val="0382CC3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A5279CC"/>
    <w:multiLevelType w:val="hybridMultilevel"/>
    <w:tmpl w:val="3C0ACCF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464D91B0"/>
    <w:multiLevelType w:val="hybridMultilevel"/>
    <w:tmpl w:val="E1B0D3C6"/>
    <w:lvl w:ilvl="0" w:tplc="CE4E1AB2">
      <w:start w:val="1"/>
      <w:numFmt w:val="decimal"/>
      <w:lvlText w:val="%1."/>
      <w:lvlJc w:val="left"/>
      <w:pPr>
        <w:ind w:left="720" w:hanging="360"/>
      </w:pPr>
    </w:lvl>
    <w:lvl w:ilvl="1" w:tplc="6F00C3B8">
      <w:start w:val="1"/>
      <w:numFmt w:val="lowerLetter"/>
      <w:lvlText w:val="%2."/>
      <w:lvlJc w:val="left"/>
      <w:pPr>
        <w:ind w:left="1440" w:hanging="360"/>
      </w:pPr>
    </w:lvl>
    <w:lvl w:ilvl="2" w:tplc="0B7E4AB4">
      <w:start w:val="1"/>
      <w:numFmt w:val="lowerRoman"/>
      <w:lvlText w:val="%3."/>
      <w:lvlJc w:val="right"/>
      <w:pPr>
        <w:ind w:left="2160" w:hanging="180"/>
      </w:pPr>
    </w:lvl>
    <w:lvl w:ilvl="3" w:tplc="695C5EB2">
      <w:start w:val="1"/>
      <w:numFmt w:val="decimal"/>
      <w:lvlText w:val="%4."/>
      <w:lvlJc w:val="left"/>
      <w:pPr>
        <w:ind w:left="2880" w:hanging="360"/>
      </w:pPr>
    </w:lvl>
    <w:lvl w:ilvl="4" w:tplc="31CCE60A">
      <w:start w:val="1"/>
      <w:numFmt w:val="lowerLetter"/>
      <w:lvlText w:val="%5."/>
      <w:lvlJc w:val="left"/>
      <w:pPr>
        <w:ind w:left="3600" w:hanging="360"/>
      </w:pPr>
    </w:lvl>
    <w:lvl w:ilvl="5" w:tplc="996EB36C">
      <w:start w:val="1"/>
      <w:numFmt w:val="lowerRoman"/>
      <w:lvlText w:val="%6."/>
      <w:lvlJc w:val="right"/>
      <w:pPr>
        <w:ind w:left="4320" w:hanging="180"/>
      </w:pPr>
    </w:lvl>
    <w:lvl w:ilvl="6" w:tplc="A48E74E2">
      <w:start w:val="1"/>
      <w:numFmt w:val="decimal"/>
      <w:lvlText w:val="%7."/>
      <w:lvlJc w:val="left"/>
      <w:pPr>
        <w:ind w:left="5040" w:hanging="360"/>
      </w:pPr>
    </w:lvl>
    <w:lvl w:ilvl="7" w:tplc="97A4DE78">
      <w:start w:val="1"/>
      <w:numFmt w:val="lowerLetter"/>
      <w:lvlText w:val="%8."/>
      <w:lvlJc w:val="left"/>
      <w:pPr>
        <w:ind w:left="5760" w:hanging="360"/>
      </w:pPr>
    </w:lvl>
    <w:lvl w:ilvl="8" w:tplc="4552DA7C">
      <w:start w:val="1"/>
      <w:numFmt w:val="lowerRoman"/>
      <w:lvlText w:val="%9."/>
      <w:lvlJc w:val="right"/>
      <w:pPr>
        <w:ind w:left="6480" w:hanging="180"/>
      </w:pPr>
    </w:lvl>
  </w:abstractNum>
  <w:abstractNum w:abstractNumId="3" w15:restartNumberingAfterBreak="0">
    <w:nsid w:val="4BF11B19"/>
    <w:multiLevelType w:val="hybridMultilevel"/>
    <w:tmpl w:val="0692886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51637C4A"/>
    <w:multiLevelType w:val="hybridMultilevel"/>
    <w:tmpl w:val="3A16B3D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714579114">
    <w:abstractNumId w:val="2"/>
  </w:num>
  <w:num w:numId="2" w16cid:durableId="2045858654">
    <w:abstractNumId w:val="3"/>
  </w:num>
  <w:num w:numId="3" w16cid:durableId="24798048">
    <w:abstractNumId w:val="4"/>
  </w:num>
  <w:num w:numId="4" w16cid:durableId="874073719">
    <w:abstractNumId w:val="0"/>
  </w:num>
  <w:num w:numId="5" w16cid:durableId="359622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0A6"/>
    <w:rsid w:val="00024AE8"/>
    <w:rsid w:val="0006110E"/>
    <w:rsid w:val="00076DC3"/>
    <w:rsid w:val="000A63E8"/>
    <w:rsid w:val="000C76C0"/>
    <w:rsid w:val="000F01E5"/>
    <w:rsid w:val="00120C2D"/>
    <w:rsid w:val="00145A9F"/>
    <w:rsid w:val="001538A0"/>
    <w:rsid w:val="001D26F4"/>
    <w:rsid w:val="001F1380"/>
    <w:rsid w:val="001F6D30"/>
    <w:rsid w:val="00204026"/>
    <w:rsid w:val="002102B7"/>
    <w:rsid w:val="0021167F"/>
    <w:rsid w:val="002C18E9"/>
    <w:rsid w:val="002D077C"/>
    <w:rsid w:val="002D10A6"/>
    <w:rsid w:val="002D234B"/>
    <w:rsid w:val="002F0BDE"/>
    <w:rsid w:val="00357D11"/>
    <w:rsid w:val="00373FA7"/>
    <w:rsid w:val="003878F0"/>
    <w:rsid w:val="003B0C7A"/>
    <w:rsid w:val="00420A9D"/>
    <w:rsid w:val="0043650D"/>
    <w:rsid w:val="00443D29"/>
    <w:rsid w:val="00461112"/>
    <w:rsid w:val="00466475"/>
    <w:rsid w:val="004771E7"/>
    <w:rsid w:val="004771EB"/>
    <w:rsid w:val="004772B4"/>
    <w:rsid w:val="004B08D5"/>
    <w:rsid w:val="004D3025"/>
    <w:rsid w:val="004D685F"/>
    <w:rsid w:val="00532E22"/>
    <w:rsid w:val="00540A7E"/>
    <w:rsid w:val="00551D4B"/>
    <w:rsid w:val="00572877"/>
    <w:rsid w:val="005A1FAD"/>
    <w:rsid w:val="005C7F10"/>
    <w:rsid w:val="005E50E9"/>
    <w:rsid w:val="00600894"/>
    <w:rsid w:val="00650CD1"/>
    <w:rsid w:val="00666674"/>
    <w:rsid w:val="00687A34"/>
    <w:rsid w:val="00691993"/>
    <w:rsid w:val="00692782"/>
    <w:rsid w:val="00693DAA"/>
    <w:rsid w:val="006A5536"/>
    <w:rsid w:val="006C31FB"/>
    <w:rsid w:val="007070C4"/>
    <w:rsid w:val="007251AB"/>
    <w:rsid w:val="0074552B"/>
    <w:rsid w:val="0075155F"/>
    <w:rsid w:val="007958E2"/>
    <w:rsid w:val="00797B70"/>
    <w:rsid w:val="007A6778"/>
    <w:rsid w:val="007F1EE5"/>
    <w:rsid w:val="00823D5D"/>
    <w:rsid w:val="00863DD0"/>
    <w:rsid w:val="008722BD"/>
    <w:rsid w:val="008950B0"/>
    <w:rsid w:val="008B33BA"/>
    <w:rsid w:val="008C3EA4"/>
    <w:rsid w:val="008F143C"/>
    <w:rsid w:val="00933839"/>
    <w:rsid w:val="00963F28"/>
    <w:rsid w:val="00973459"/>
    <w:rsid w:val="0098077C"/>
    <w:rsid w:val="009D3B9D"/>
    <w:rsid w:val="009D7DB9"/>
    <w:rsid w:val="00A5770E"/>
    <w:rsid w:val="00AA7566"/>
    <w:rsid w:val="00AC6649"/>
    <w:rsid w:val="00AF1DD1"/>
    <w:rsid w:val="00AF368B"/>
    <w:rsid w:val="00AF3EB7"/>
    <w:rsid w:val="00B05809"/>
    <w:rsid w:val="00B2086D"/>
    <w:rsid w:val="00B46CA8"/>
    <w:rsid w:val="00BC1371"/>
    <w:rsid w:val="00C47865"/>
    <w:rsid w:val="00CB0189"/>
    <w:rsid w:val="00CB0530"/>
    <w:rsid w:val="00CC0233"/>
    <w:rsid w:val="00CD6A2D"/>
    <w:rsid w:val="00CE4EE3"/>
    <w:rsid w:val="00D03D07"/>
    <w:rsid w:val="00D04DDE"/>
    <w:rsid w:val="00D36745"/>
    <w:rsid w:val="00D8336C"/>
    <w:rsid w:val="00DF0DD8"/>
    <w:rsid w:val="00DF50C5"/>
    <w:rsid w:val="00E32E7C"/>
    <w:rsid w:val="00E37729"/>
    <w:rsid w:val="00E56CE9"/>
    <w:rsid w:val="00E61ABB"/>
    <w:rsid w:val="00EA594A"/>
    <w:rsid w:val="00EC111B"/>
    <w:rsid w:val="00EE46AC"/>
    <w:rsid w:val="00F34B2B"/>
    <w:rsid w:val="00F3517C"/>
    <w:rsid w:val="00F669CC"/>
    <w:rsid w:val="00F9507A"/>
    <w:rsid w:val="00FA5D79"/>
    <w:rsid w:val="00FC455A"/>
    <w:rsid w:val="05CB61F9"/>
    <w:rsid w:val="0A28ED34"/>
    <w:rsid w:val="0E1088EA"/>
    <w:rsid w:val="0E4E5C9C"/>
    <w:rsid w:val="11D7745F"/>
    <w:rsid w:val="150F1521"/>
    <w:rsid w:val="175AE076"/>
    <w:rsid w:val="179EA875"/>
    <w:rsid w:val="187FAE9B"/>
    <w:rsid w:val="1B8F917C"/>
    <w:rsid w:val="1EC034C3"/>
    <w:rsid w:val="26AFCE75"/>
    <w:rsid w:val="2B833F98"/>
    <w:rsid w:val="2D7B9AB3"/>
    <w:rsid w:val="2EBAE05A"/>
    <w:rsid w:val="338E517D"/>
    <w:rsid w:val="34ED4A4B"/>
    <w:rsid w:val="36273222"/>
    <w:rsid w:val="3D99AC03"/>
    <w:rsid w:val="44DB9A97"/>
    <w:rsid w:val="45EC2FB0"/>
    <w:rsid w:val="4911E74D"/>
    <w:rsid w:val="4C4D4A2F"/>
    <w:rsid w:val="4F84EAF1"/>
    <w:rsid w:val="5120BB52"/>
    <w:rsid w:val="5F16B083"/>
    <w:rsid w:val="63AD4A13"/>
    <w:rsid w:val="75E7CB56"/>
    <w:rsid w:val="79ABE9AC"/>
    <w:rsid w:val="7A8856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4F23"/>
  <w15:chartTrackingRefBased/>
  <w15:docId w15:val="{B3B8AED3-0E52-406D-8980-A5FB2B2A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uiPriority="31" w:qFormat="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ABB"/>
  </w:style>
  <w:style w:type="paragraph" w:styleId="Heading1">
    <w:name w:val="heading 1"/>
    <w:basedOn w:val="Normal"/>
    <w:next w:val="Normal"/>
    <w:link w:val="Heading1Char"/>
    <w:uiPriority w:val="9"/>
    <w:qFormat/>
    <w:rsid w:val="00E61ABB"/>
    <w:pPr>
      <w:keepNext/>
      <w:keepLines/>
      <w:spacing w:before="480" w:after="80"/>
      <w:outlineLvl w:val="0"/>
    </w:pPr>
    <w:rPr>
      <w:rFonts w:eastAsia="Gulim" w:cs="Times New Roman (Headings CS)"/>
      <w:caps/>
      <w:color w:val="595959" w:themeColor="text1" w:themeTint="A6"/>
      <w:spacing w:val="20"/>
      <w:sz w:val="32"/>
      <w:szCs w:val="40"/>
    </w:rPr>
  </w:style>
  <w:style w:type="paragraph" w:styleId="Heading2">
    <w:name w:val="heading 2"/>
    <w:basedOn w:val="Normal"/>
    <w:next w:val="Normal"/>
    <w:link w:val="Heading2Char"/>
    <w:uiPriority w:val="9"/>
    <w:qFormat/>
    <w:rsid w:val="00666674"/>
    <w:pPr>
      <w:keepNext/>
      <w:keepLines/>
      <w:spacing w:before="160" w:after="80"/>
      <w:outlineLvl w:val="1"/>
    </w:pPr>
    <w:rPr>
      <w:rFonts w:eastAsia="Gulim" w:cs="Times New Roman (Headings CS)"/>
      <w:caps/>
      <w:sz w:val="20"/>
      <w:szCs w:val="32"/>
    </w:rPr>
  </w:style>
  <w:style w:type="paragraph" w:styleId="Heading3">
    <w:name w:val="heading 3"/>
    <w:basedOn w:val="Normal"/>
    <w:next w:val="Normal"/>
    <w:link w:val="Heading3Char"/>
    <w:uiPriority w:val="9"/>
    <w:semiHidden/>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ABB"/>
    <w:rPr>
      <w:rFonts w:eastAsia="Gulim" w:cs="Times New Roman (Headings CS)"/>
      <w:caps/>
      <w:color w:val="595959" w:themeColor="text1" w:themeTint="A6"/>
      <w:spacing w:val="20"/>
      <w:sz w:val="32"/>
      <w:szCs w:val="40"/>
    </w:rPr>
  </w:style>
  <w:style w:type="character" w:customStyle="1" w:styleId="Heading2Char">
    <w:name w:val="Heading 2 Char"/>
    <w:basedOn w:val="DefaultParagraphFont"/>
    <w:link w:val="Heading2"/>
    <w:uiPriority w:val="9"/>
    <w:rsid w:val="00666674"/>
    <w:rPr>
      <w:rFonts w:eastAsia="Gulim" w:cs="Times New Roman (Headings CS)"/>
      <w:caps/>
      <w:sz w:val="20"/>
      <w:szCs w:val="32"/>
    </w:rPr>
  </w:style>
  <w:style w:type="character" w:customStyle="1" w:styleId="Heading3Char">
    <w:name w:val="Heading 3 Char"/>
    <w:basedOn w:val="DefaultParagraphFont"/>
    <w:link w:val="Heading3"/>
    <w:uiPriority w:val="9"/>
    <w:semiHidden/>
    <w:rsid w:val="00E61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674"/>
    <w:rPr>
      <w:rFonts w:eastAsiaTheme="majorEastAsia" w:cstheme="majorBidi"/>
      <w:color w:val="272727" w:themeColor="text1" w:themeTint="D8"/>
    </w:rPr>
  </w:style>
  <w:style w:type="character" w:customStyle="1" w:styleId="TitleChar">
    <w:name w:val="Title Char"/>
    <w:basedOn w:val="DefaultParagraphFont"/>
    <w:link w:val="Title"/>
    <w:uiPriority w:val="10"/>
    <w:rsid w:val="00E32E7C"/>
    <w:rPr>
      <w:rFonts w:ascii="Gulim" w:eastAsia="Gulim" w:hAnsi="Gulim" w:cs="Times New Roman (Headings CS)"/>
      <w:caps/>
      <w:color w:val="7F7F7F" w:themeColor="text1" w:themeTint="80"/>
      <w:spacing w:val="10"/>
      <w:kern w:val="28"/>
      <w:sz w:val="56"/>
      <w:szCs w:val="56"/>
    </w:rPr>
  </w:style>
  <w:style w:type="paragraph" w:styleId="Title">
    <w:name w:val="Title"/>
    <w:basedOn w:val="Normal"/>
    <w:next w:val="Normal"/>
    <w:link w:val="TitleChar"/>
    <w:uiPriority w:val="10"/>
    <w:qFormat/>
    <w:rsid w:val="00E32E7C"/>
    <w:pPr>
      <w:spacing w:after="240" w:line="240" w:lineRule="auto"/>
      <w:contextualSpacing/>
    </w:pPr>
    <w:rPr>
      <w:rFonts w:eastAsia="Gulim" w:cs="Times New Roman (Headings CS)"/>
      <w:caps/>
      <w:color w:val="7F7F7F" w:themeColor="text1" w:themeTint="80"/>
      <w:spacing w:val="10"/>
      <w:kern w:val="28"/>
      <w:sz w:val="56"/>
      <w:szCs w:val="56"/>
    </w:rPr>
  </w:style>
  <w:style w:type="character" w:customStyle="1" w:styleId="SubtitleChar">
    <w:name w:val="Subtitle Char"/>
    <w:basedOn w:val="DefaultParagraphFont"/>
    <w:link w:val="Subtitle"/>
    <w:uiPriority w:val="11"/>
    <w:semiHidden/>
    <w:rsid w:val="00E61ABB"/>
    <w:rPr>
      <w:rFonts w:eastAsia="Gulim" w:cs="Times New Roman (Headings CS)"/>
      <w:szCs w:val="28"/>
    </w:rPr>
  </w:style>
  <w:style w:type="paragraph" w:styleId="Subtitle">
    <w:name w:val="Subtitle"/>
    <w:basedOn w:val="Normal"/>
    <w:next w:val="Normal"/>
    <w:link w:val="SubtitleChar"/>
    <w:uiPriority w:val="11"/>
    <w:semiHidden/>
    <w:qFormat/>
    <w:rsid w:val="00E32E7C"/>
    <w:pPr>
      <w:numPr>
        <w:ilvl w:val="1"/>
      </w:numPr>
    </w:pPr>
    <w:rPr>
      <w:rFonts w:eastAsia="Gulim" w:cs="Times New Roman (Headings CS)"/>
      <w:szCs w:val="28"/>
    </w:rPr>
  </w:style>
  <w:style w:type="character" w:styleId="IntenseEmphasis">
    <w:name w:val="Intense Emphasis"/>
    <w:basedOn w:val="DefaultParagraphFont"/>
    <w:uiPriority w:val="21"/>
    <w:semiHidden/>
    <w:rPr>
      <w:i/>
      <w:iCs/>
      <w:color w:val="0F4761" w:themeColor="accent1" w:themeShade="BF"/>
    </w:rPr>
  </w:style>
  <w:style w:type="character" w:customStyle="1" w:styleId="QuoteChar">
    <w:name w:val="Quote Char"/>
    <w:basedOn w:val="DefaultParagraphFont"/>
    <w:link w:val="Quote"/>
    <w:uiPriority w:val="29"/>
    <w:semiHidden/>
    <w:rsid w:val="00666674"/>
    <w:rPr>
      <w:i/>
      <w:iCs/>
      <w:color w:val="404040" w:themeColor="text1" w:themeTint="BF"/>
    </w:rPr>
  </w:style>
  <w:style w:type="paragraph" w:styleId="Quote">
    <w:name w:val="Quote"/>
    <w:basedOn w:val="Normal"/>
    <w:next w:val="Normal"/>
    <w:link w:val="QuoteChar"/>
    <w:uiPriority w:val="29"/>
    <w:semiHidden/>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666674"/>
    <w:rPr>
      <w:i/>
      <w:iCs/>
      <w:color w:val="0F4761" w:themeColor="accent1" w:themeShade="BF"/>
    </w:rPr>
  </w:style>
  <w:style w:type="paragraph" w:styleId="IntenseQuote">
    <w:name w:val="Intense Quote"/>
    <w:basedOn w:val="Normal"/>
    <w:next w:val="Normal"/>
    <w:link w:val="IntenseQuoteChar"/>
    <w:uiPriority w:val="30"/>
    <w:semiHidden/>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semiHidden/>
    <w:rPr>
      <w:b/>
      <w:bCs/>
      <w:smallCaps/>
      <w:color w:val="0F4761" w:themeColor="accent1" w:themeShade="BF"/>
      <w:spacing w:val="5"/>
    </w:rPr>
  </w:style>
  <w:style w:type="paragraph" w:styleId="ListParagraph">
    <w:name w:val="List Paragraph"/>
    <w:basedOn w:val="Normal"/>
    <w:uiPriority w:val="34"/>
    <w:semiHidden/>
    <w:rsid w:val="05CB61F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B46C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Reference">
    <w:name w:val="Subtle Reference"/>
    <w:basedOn w:val="DefaultParagraphFont"/>
    <w:uiPriority w:val="31"/>
    <w:semiHidden/>
    <w:qFormat/>
    <w:rsid w:val="00F3517C"/>
    <w:rPr>
      <w:smallCaps/>
      <w:color w:val="5A5A5A" w:themeColor="text1" w:themeTint="A5"/>
    </w:rPr>
  </w:style>
  <w:style w:type="character" w:styleId="PlaceholderText">
    <w:name w:val="Placeholder Text"/>
    <w:basedOn w:val="DefaultParagraphFont"/>
    <w:uiPriority w:val="99"/>
    <w:semiHidden/>
    <w:rsid w:val="006666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ny\AppData\Roaming\Microsoft\Templates\Plain%20and%20simple%20project%20brief.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15C104706344F9B501125CDBACB232"/>
        <w:category>
          <w:name w:val="General"/>
          <w:gallery w:val="placeholder"/>
        </w:category>
        <w:types>
          <w:type w:val="bbPlcHdr"/>
        </w:types>
        <w:behaviors>
          <w:behavior w:val="content"/>
        </w:behaviors>
        <w:guid w:val="{BD265DDD-67DB-4AFE-89DE-55661C567F4A}"/>
      </w:docPartPr>
      <w:docPartBody>
        <w:p w:rsidR="00E66AF9" w:rsidRDefault="00E66AF9">
          <w:pPr>
            <w:pStyle w:val="F615C104706344F9B501125CDBACB232"/>
          </w:pPr>
          <w:r w:rsidRPr="00666674">
            <w:t>Overview</w:t>
          </w:r>
        </w:p>
      </w:docPartBody>
    </w:docPart>
    <w:docPart>
      <w:docPartPr>
        <w:name w:val="E710A31F42FA422DB8E2E65C669DA991"/>
        <w:category>
          <w:name w:val="General"/>
          <w:gallery w:val="placeholder"/>
        </w:category>
        <w:types>
          <w:type w:val="bbPlcHdr"/>
        </w:types>
        <w:behaviors>
          <w:behavior w:val="content"/>
        </w:behaviors>
        <w:guid w:val="{2C434A0A-14AA-4798-83D2-E1E0E13212F5}"/>
      </w:docPartPr>
      <w:docPartBody>
        <w:p w:rsidR="00E66AF9" w:rsidRDefault="00E66AF9">
          <w:pPr>
            <w:pStyle w:val="E710A31F42FA422DB8E2E65C669DA991"/>
          </w:pPr>
          <w:r w:rsidRPr="00666674">
            <w:t>Summary</w:t>
          </w:r>
        </w:p>
      </w:docPartBody>
    </w:docPart>
    <w:docPart>
      <w:docPartPr>
        <w:name w:val="0D3927F100644C00A277B7143E76A5CC"/>
        <w:category>
          <w:name w:val="General"/>
          <w:gallery w:val="placeholder"/>
        </w:category>
        <w:types>
          <w:type w:val="bbPlcHdr"/>
        </w:types>
        <w:behaviors>
          <w:behavior w:val="content"/>
        </w:behaviors>
        <w:guid w:val="{206CEDA8-FB83-4948-9859-B888E2EE991A}"/>
      </w:docPartPr>
      <w:docPartBody>
        <w:p w:rsidR="00E66AF9" w:rsidRDefault="00E66AF9">
          <w:pPr>
            <w:pStyle w:val="0D3927F100644C00A277B7143E76A5CC"/>
          </w:pPr>
          <w:r w:rsidRPr="008950B0">
            <w:t>Key Information</w:t>
          </w:r>
        </w:p>
      </w:docPartBody>
    </w:docPart>
    <w:docPart>
      <w:docPartPr>
        <w:name w:val="05F7B7F73FDF4EC1B45EAA0BB6E6BB3C"/>
        <w:category>
          <w:name w:val="General"/>
          <w:gallery w:val="placeholder"/>
        </w:category>
        <w:types>
          <w:type w:val="bbPlcHdr"/>
        </w:types>
        <w:behaviors>
          <w:behavior w:val="content"/>
        </w:behaviors>
        <w:guid w:val="{45234767-3FEA-40CB-8CF1-A9C0A29FA8A5}"/>
      </w:docPartPr>
      <w:docPartBody>
        <w:p w:rsidR="00E66AF9" w:rsidRDefault="00C678BE" w:rsidP="00C678BE">
          <w:pPr>
            <w:pStyle w:val="05F7B7F73FDF4EC1B45EAA0BB6E6BB3C"/>
          </w:pPr>
          <w:r w:rsidRPr="00666674">
            <w:t>Summary</w:t>
          </w:r>
        </w:p>
      </w:docPartBody>
    </w:docPart>
    <w:docPart>
      <w:docPartPr>
        <w:name w:val="33F85B683B9D4C3B91BABF4C109D90F1"/>
        <w:category>
          <w:name w:val="General"/>
          <w:gallery w:val="placeholder"/>
        </w:category>
        <w:types>
          <w:type w:val="bbPlcHdr"/>
        </w:types>
        <w:behaviors>
          <w:behavior w:val="content"/>
        </w:behaviors>
        <w:guid w:val="{190FCACF-0624-4884-A74D-BE8431053CDC}"/>
      </w:docPartPr>
      <w:docPartBody>
        <w:p w:rsidR="00E66AF9" w:rsidRDefault="00C678BE" w:rsidP="00C678BE">
          <w:pPr>
            <w:pStyle w:val="33F85B683B9D4C3B91BABF4C109D90F1"/>
          </w:pPr>
          <w:r w:rsidRPr="008950B0">
            <w:t>Project Deliverables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lim">
    <w:panose1 w:val="020B0600000101010101"/>
    <w:charset w:val="81"/>
    <w:family w:val="swiss"/>
    <w:pitch w:val="variable"/>
    <w:sig w:usb0="B00002AF" w:usb1="69D77CFB" w:usb2="00000030" w:usb3="00000000" w:csb0="0008009F" w:csb1="00000000"/>
  </w:font>
  <w:font w:name="Times New Roman (Headings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BE"/>
    <w:rsid w:val="00C678BE"/>
    <w:rsid w:val="00CC0233"/>
    <w:rsid w:val="00E66AF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3B94FD864E20417C84A95E6552B26F35">
    <w:name w:val="3B94FD864E20417C84A95E6552B26F35"/>
  </w:style>
  <w:style w:type="paragraph" w:customStyle="1" w:styleId="CD0D4083F96248CF88E137BFC0270642">
    <w:name w:val="CD0D4083F96248CF88E137BFC0270642"/>
  </w:style>
  <w:style w:type="paragraph" w:customStyle="1" w:styleId="F615C104706344F9B501125CDBACB232">
    <w:name w:val="F615C104706344F9B501125CDBACB232"/>
  </w:style>
  <w:style w:type="paragraph" w:customStyle="1" w:styleId="E45D12C3E20845198ECF9396AAB0BA31">
    <w:name w:val="E45D12C3E20845198ECF9396AAB0BA31"/>
  </w:style>
  <w:style w:type="paragraph" w:customStyle="1" w:styleId="E710A31F42FA422DB8E2E65C669DA991">
    <w:name w:val="E710A31F42FA422DB8E2E65C669DA991"/>
  </w:style>
  <w:style w:type="paragraph" w:customStyle="1" w:styleId="CC465C503B734D0C96ECACF8B428BC55">
    <w:name w:val="CC465C503B734D0C96ECACF8B428BC55"/>
  </w:style>
  <w:style w:type="paragraph" w:customStyle="1" w:styleId="0D3927F100644C00A277B7143E76A5CC">
    <w:name w:val="0D3927F100644C00A277B7143E76A5CC"/>
  </w:style>
  <w:style w:type="paragraph" w:customStyle="1" w:styleId="74561131D4104717A73103212B55EF06">
    <w:name w:val="74561131D4104717A73103212B55EF06"/>
  </w:style>
  <w:style w:type="paragraph" w:customStyle="1" w:styleId="C960E153195C416EA09263C42E3FCF9A">
    <w:name w:val="C960E153195C416EA09263C42E3FCF9A"/>
  </w:style>
  <w:style w:type="paragraph" w:customStyle="1" w:styleId="11FB831A69064BB99E36E6AB259B2094">
    <w:name w:val="11FB831A69064BB99E36E6AB259B2094"/>
  </w:style>
  <w:style w:type="paragraph" w:customStyle="1" w:styleId="7CFB09DF84C84C508BAA18B1BB7E47DC">
    <w:name w:val="7CFB09DF84C84C508BAA18B1BB7E47DC"/>
  </w:style>
  <w:style w:type="paragraph" w:customStyle="1" w:styleId="05F7B7F73FDF4EC1B45EAA0BB6E6BB3C">
    <w:name w:val="05F7B7F73FDF4EC1B45EAA0BB6E6BB3C"/>
    <w:rsid w:val="00C678BE"/>
  </w:style>
  <w:style w:type="paragraph" w:customStyle="1" w:styleId="5C89FFCBA4C943ADA8474D7EFC60E220">
    <w:name w:val="5C89FFCBA4C943ADA8474D7EFC60E220"/>
    <w:rsid w:val="00C678BE"/>
  </w:style>
  <w:style w:type="paragraph" w:customStyle="1" w:styleId="33F85B683B9D4C3B91BABF4C109D90F1">
    <w:name w:val="33F85B683B9D4C3B91BABF4C109D90F1"/>
    <w:rsid w:val="00C678BE"/>
  </w:style>
  <w:style w:type="paragraph" w:customStyle="1" w:styleId="2C3198E2F9B14BBF8187E8C0444D905D">
    <w:name w:val="2C3198E2F9B14BBF8187E8C0444D905D"/>
    <w:rsid w:val="00C678BE"/>
  </w:style>
  <w:style w:type="paragraph" w:customStyle="1" w:styleId="AEAA4A5E07394C40A47EACAD7A2E9471">
    <w:name w:val="AEAA4A5E07394C40A47EACAD7A2E9471"/>
    <w:rsid w:val="00C678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59">
      <a:majorFont>
        <a:latin typeface="Gulim"/>
        <a:ea typeface=""/>
        <a:cs typeface=""/>
      </a:majorFont>
      <a:minorFont>
        <a:latin typeface="Guli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F383A8-2410-4F12-B5B2-9CAB82F6434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4E42BF2-5B37-445F-AE44-47CDB1E04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554447-50B2-4B25-92F9-C72C1C983449}">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Plain and simple project brief.dotx</Template>
  <TotalTime>219</TotalTime>
  <Pages>4</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Odunsi</dc:creator>
  <cp:keywords/>
  <dc:description/>
  <cp:lastModifiedBy>Daniel Odunsi</cp:lastModifiedBy>
  <cp:revision>79</cp:revision>
  <cp:lastPrinted>2026-03-10T19:58:00Z</cp:lastPrinted>
  <dcterms:created xsi:type="dcterms:W3CDTF">2026-03-10T16:17:00Z</dcterms:created>
  <dcterms:modified xsi:type="dcterms:W3CDTF">2026-03-10T20:07:00Z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