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0BCD4"/>
          <w:sz w:val="104"/>
        </w:rPr>
        <w:t>PhysicsFlow</w:t>
      </w:r>
    </w:p>
    <w:p>
      <w:pPr>
        <w:spacing w:before="0" w:after="200"/>
        <w:jc w:val="center"/>
      </w:pPr>
      <w:r>
        <w:rPr>
          <w:rFonts w:ascii="Calibri" w:hAnsi="Calibri"/>
          <w:b w:val="0"/>
          <w:i w:val="0"/>
          <w:color w:val="FFFFFF"/>
          <w:sz w:val="32"/>
        </w:rPr>
        <w:t>The AI-Native Reservoir Simulation Platform</w:t>
      </w:r>
    </w:p>
    <w:p>
      <w:pPr>
        <w:spacing w:before="80" w:after="80"/>
        <w:pBdr>
          <w:bottom w:val="single" w:sz="6" w:color="1565C0"/>
        </w:pBdr>
      </w:pPr>
    </w:p>
    <w:p>
      <w:pPr>
        <w:spacing w:before="80" w:after="320"/>
        <w:jc w:val="center"/>
      </w:pPr>
      <w:r>
        <w:rPr>
          <w:rFonts w:ascii="Calibri" w:hAnsi="Calibri"/>
          <w:b w:val="0"/>
          <w:i/>
          <w:color w:val="00BCD4"/>
          <w:sz w:val="22"/>
        </w:rPr>
        <w:t>Physics-Informed Neural Operator  ·  Ensemble History Matching  ·  3D Visualisation  ·  RAG + Knowledge Graph AI  ·  REST API  ·  Docker  ·  tNavigator Bridge</w:t>
      </w:r>
    </w:p>
    <w:tbl>
      <w:tblPr>
        <w:tblStyle w:val="TableGrid"/>
        <w:tblW w:type="auto" w:w="0"/>
        <w:jc w:val="center"/>
        <w:tblLook w:firstColumn="1" w:firstRow="1" w:lastColumn="0" w:lastRow="0" w:noHBand="0" w:noVBand="1" w:val="04A0"/>
      </w:tblPr>
      <w:tblGrid>
        <w:gridCol w:w="5721"/>
        <w:gridCol w:w="5721"/>
        <w:gridCol w:w="5721"/>
      </w:tblGrid>
      <w:tr>
        <w:tc>
          <w:tcPr>
            <w:tcW w:type="dxa" w:w="5721"/>
            <w:shd w:val="clear" w:color="auto" w:fill="0D2B5E"/>
          </w:tcPr>
          <w:p>
            <w:pPr>
              <w:spacing w:before="40" w:after="40"/>
              <w:jc w:val="center"/>
            </w:pPr>
            <w:r>
              <w:rPr>
                <w:rFonts w:ascii="Calibri" w:hAnsi="Calibri"/>
                <w:b/>
                <w:i w:val="0"/>
                <w:color w:val="00BCD4"/>
                <w:sz w:val="56"/>
              </w:rPr>
              <w:t>6,000×</w:t>
            </w:r>
          </w:p>
        </w:tc>
        <w:tc>
          <w:tcPr>
            <w:tcW w:type="dxa" w:w="5721"/>
            <w:shd w:val="clear" w:color="auto" w:fill="0D2B5E"/>
          </w:tcPr>
          <w:p>
            <w:pPr>
              <w:spacing w:before="40" w:after="40"/>
              <w:jc w:val="center"/>
            </w:pPr>
            <w:r>
              <w:rPr>
                <w:rFonts w:ascii="Calibri" w:hAnsi="Calibri"/>
                <w:b/>
                <w:i w:val="0"/>
                <w:color w:val="00BCD4"/>
                <w:sz w:val="56"/>
              </w:rPr>
              <w:t>~1 Hour</w:t>
            </w:r>
          </w:p>
        </w:tc>
        <w:tc>
          <w:tcPr>
            <w:tcW w:type="dxa" w:w="5721"/>
            <w:shd w:val="clear" w:color="auto" w:fill="0D2B5E"/>
          </w:tcPr>
          <w:p>
            <w:pPr>
              <w:spacing w:before="40" w:after="40"/>
              <w:jc w:val="center"/>
            </w:pPr>
            <w:r>
              <w:rPr>
                <w:rFonts w:ascii="Calibri" w:hAnsi="Calibri"/>
                <w:b/>
                <w:i w:val="0"/>
                <w:color w:val="00BCD4"/>
                <w:sz w:val="56"/>
              </w:rPr>
              <w:t>90%</w:t>
            </w:r>
          </w:p>
        </w:tc>
      </w:tr>
      <w:tr>
        <w:tc>
          <w:tcPr>
            <w:tcW w:type="dxa" w:w="5721"/>
            <w:shd w:val="clear" w:color="auto" w:fill="0A1628"/>
          </w:tcPr>
          <w:p>
            <w:pPr>
              <w:spacing w:before="40" w:after="40"/>
              <w:jc w:val="center"/>
            </w:pPr>
            <w:r>
              <w:rPr>
                <w:rFonts w:ascii="Calibri" w:hAnsi="Calibri"/>
                <w:b/>
                <w:i w:val="0"/>
                <w:color w:val="78909C"/>
                <w:sz w:val="16"/>
              </w:rPr>
              <w:t>FASTER THAN ECLIPSE 100</w:t>
            </w:r>
          </w:p>
        </w:tc>
        <w:tc>
          <w:tcPr>
            <w:tcW w:type="dxa" w:w="5721"/>
            <w:shd w:val="clear" w:color="auto" w:fill="0A1628"/>
          </w:tcPr>
          <w:p>
            <w:pPr>
              <w:spacing w:before="40" w:after="40"/>
              <w:jc w:val="center"/>
            </w:pPr>
            <w:r>
              <w:rPr>
                <w:rFonts w:ascii="Calibri" w:hAnsi="Calibri"/>
                <w:b/>
                <w:i w:val="0"/>
                <w:color w:val="78909C"/>
                <w:sz w:val="16"/>
              </w:rPr>
              <w:t>FULL HISTORY MATCH</w:t>
            </w:r>
          </w:p>
        </w:tc>
        <w:tc>
          <w:tcPr>
            <w:tcW w:type="dxa" w:w="5721"/>
            <w:shd w:val="clear" w:color="auto" w:fill="0A1628"/>
          </w:tcPr>
          <w:p>
            <w:pPr>
              <w:spacing w:before="40" w:after="40"/>
              <w:jc w:val="center"/>
            </w:pPr>
            <w:r>
              <w:rPr>
                <w:rFonts w:ascii="Calibri" w:hAnsi="Calibri"/>
                <w:b/>
                <w:i w:val="0"/>
                <w:color w:val="78909C"/>
                <w:sz w:val="16"/>
              </w:rPr>
              <w:t>COST REDUCTION VS. HPC</w:t>
            </w:r>
          </w:p>
        </w:tc>
      </w:tr>
    </w:tbl>
    <w:p>
      <w:pPr>
        <w:spacing w:after="240"/>
      </w:pPr>
    </w:p>
    <w:p>
      <w:pPr>
        <w:spacing w:before="160" w:after="0"/>
        <w:jc w:val="center"/>
      </w:pPr>
      <w:r>
        <w:rPr>
          <w:rFonts w:ascii="Calibri" w:hAnsi="Calibri"/>
          <w:b w:val="0"/>
          <w:i w:val="0"/>
          <w:color w:val="78909C"/>
          <w:sz w:val="18"/>
        </w:rPr>
        <w:t>Seed Round — $3.5M  |  contact@physicsflow.ai  |  physicsflow.ai</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E53935"/>
                <w:sz w:val="16"/>
              </w:rPr>
              <w:t>⚠  THE PROBLEM</w:t>
            </w:r>
          </w:p>
        </w:tc>
        <w:tc>
          <w:tcPr>
            <w:tcW w:type="dxa" w:w="5149"/>
            <w:shd w:val="clear" w:color="auto" w:fill="0A1628"/>
            <w:vAlign w:val="center"/>
          </w:tcPr>
          <w:p>
            <w:pPr>
              <w:jc w:val="right"/>
            </w:pPr>
            <w:r>
              <w:rPr>
                <w:rFonts w:ascii="Calibri" w:hAnsi="Calibri"/>
                <w:color w:val="78909C"/>
                <w:sz w:val="16"/>
              </w:rPr>
              <w:t>2 / 16</w:t>
            </w:r>
          </w:p>
        </w:tc>
      </w:tr>
    </w:tbl>
    <w:p>
      <w:pPr>
        <w:spacing w:after="120"/>
      </w:pPr>
    </w:p>
    <w:p>
      <w:pPr>
        <w:spacing w:before="0" w:after="80"/>
        <w:jc w:val="left"/>
      </w:pPr>
      <w:r>
        <w:rPr>
          <w:rFonts w:ascii="Calibri" w:hAnsi="Calibri"/>
          <w:b/>
          <w:color w:val="0A1628"/>
          <w:sz w:val="56"/>
        </w:rPr>
        <w:t>Reservoir Engineering Is Broken</w:t>
      </w:r>
    </w:p>
    <w:p>
      <w:pPr>
        <w:spacing w:before="0" w:after="200"/>
        <w:jc w:val="left"/>
      </w:pPr>
      <w:r>
        <w:rPr>
          <w:rFonts w:ascii="Calibri" w:hAnsi="Calibri"/>
          <w:b w:val="0"/>
          <w:i/>
          <w:color w:val="37474F"/>
          <w:sz w:val="22"/>
        </w:rPr>
        <w:t>The tools have not changed fundamentally in 40 years — and the industry is paying for it.</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FFF8F8"/>
            <w:vAlign w:val="top"/>
          </w:tcPr>
          <w:p/>
          <w:p>
            <w:pPr>
              <w:spacing w:before="120" w:after="80"/>
            </w:pPr>
            <w:r>
              <w:rPr>
                <w:rFonts w:ascii="Calibri" w:hAnsi="Calibri"/>
                <w:b/>
                <w:color w:val="E53935"/>
                <w:sz w:val="22"/>
              </w:rPr>
              <w:t>🐌  Unacceptably Slow</w:t>
            </w:r>
          </w:p>
          <w:p>
            <w:pPr>
              <w:spacing w:after="120"/>
            </w:pPr>
            <w:r>
              <w:rPr>
                <w:rFonts w:ascii="Calibri" w:hAnsi="Calibri"/>
                <w:color w:val="37474F"/>
                <w:sz w:val="19"/>
              </w:rPr>
              <w:t>2–8 hours per simulation run. History matching requires thousands of runs. Engineers wait months for results that should take hours.</w:t>
            </w:r>
          </w:p>
          <w:p>
            <w:r>
              <w:rPr>
                <w:rFonts w:ascii="Calibri" w:hAnsi="Calibri"/>
                <w:b/>
                <w:color w:val="E53935"/>
                <w:sz w:val="52"/>
              </w:rPr>
              <w:t>6 months</w:t>
            </w:r>
          </w:p>
          <w:p>
            <w:pPr>
              <w:spacing w:after="120"/>
            </w:pPr>
            <w:r>
              <w:rPr>
                <w:rFonts w:ascii="Calibri" w:hAnsi="Calibri"/>
                <w:color w:val="78909C"/>
                <w:sz w:val="16"/>
              </w:rPr>
              <w:t>Average HM project duration</w:t>
            </w:r>
          </w:p>
        </w:tc>
        <w:tc>
          <w:tcPr>
            <w:tcW w:type="dxa" w:w="5607"/>
            <w:shd w:val="clear" w:color="auto" w:fill="FFF8F8"/>
            <w:vAlign w:val="top"/>
          </w:tcPr>
          <w:p/>
          <w:p>
            <w:pPr>
              <w:spacing w:before="120" w:after="80"/>
            </w:pPr>
            <w:r>
              <w:rPr>
                <w:rFonts w:ascii="Calibri" w:hAnsi="Calibri"/>
                <w:b/>
                <w:color w:val="E53935"/>
                <w:sz w:val="22"/>
              </w:rPr>
              <w:t>💸  Prohibitively Expensive</w:t>
            </w:r>
          </w:p>
          <w:p>
            <w:pPr>
              <w:spacing w:after="120"/>
            </w:pPr>
            <w:r>
              <w:rPr>
                <w:rFonts w:ascii="Calibri" w:hAnsi="Calibri"/>
                <w:color w:val="37474F"/>
                <w:sz w:val="19"/>
              </w:rPr>
              <w:t>Eclipse licenses: $150,000–$400,000/year. HPC clusters: $500,000–$5M. Only supermajors can afford proper simulation workflows.</w:t>
            </w:r>
          </w:p>
          <w:p>
            <w:r>
              <w:rPr>
                <w:rFonts w:ascii="Calibri" w:hAnsi="Calibri"/>
                <w:b/>
                <w:color w:val="E53935"/>
                <w:sz w:val="52"/>
              </w:rPr>
              <w:t>$2M+</w:t>
            </w:r>
          </w:p>
          <w:p>
            <w:pPr>
              <w:spacing w:after="120"/>
            </w:pPr>
            <w:r>
              <w:rPr>
                <w:rFonts w:ascii="Calibri" w:hAnsi="Calibri"/>
                <w:color w:val="78909C"/>
                <w:sz w:val="16"/>
              </w:rPr>
              <w:t>Cost per HM project</w:t>
            </w:r>
          </w:p>
        </w:tc>
        <w:tc>
          <w:tcPr>
            <w:tcW w:type="dxa" w:w="5607"/>
            <w:shd w:val="clear" w:color="auto" w:fill="FFF8F8"/>
            <w:vAlign w:val="top"/>
          </w:tcPr>
          <w:p/>
          <w:p>
            <w:pPr>
              <w:spacing w:before="120" w:after="80"/>
            </w:pPr>
            <w:r>
              <w:rPr>
                <w:rFonts w:ascii="Calibri" w:hAnsi="Calibri"/>
                <w:b/>
                <w:color w:val="E53935"/>
                <w:sz w:val="22"/>
              </w:rPr>
              <w:t>🎲  No Real Uncertainty</w:t>
            </w:r>
          </w:p>
          <w:p>
            <w:pPr>
              <w:spacing w:after="120"/>
            </w:pPr>
            <w:r>
              <w:rPr>
                <w:rFonts w:ascii="Calibri" w:hAnsi="Calibri"/>
                <w:color w:val="37474F"/>
                <w:sz w:val="19"/>
              </w:rPr>
              <w:t>Most operators run one deterministic model and call it "the" reservoir. No P10/P50/P90. Billions in capex allocated based on a single guess.</w:t>
            </w:r>
          </w:p>
          <w:p>
            <w:r>
              <w:rPr>
                <w:rFonts w:ascii="Calibri" w:hAnsi="Calibri"/>
                <w:b/>
                <w:color w:val="E53935"/>
                <w:sz w:val="52"/>
              </w:rPr>
              <w:t>85%</w:t>
            </w:r>
          </w:p>
          <w:p>
            <w:pPr>
              <w:spacing w:after="120"/>
            </w:pPr>
            <w:r>
              <w:rPr>
                <w:rFonts w:ascii="Calibri" w:hAnsi="Calibri"/>
                <w:color w:val="78909C"/>
                <w:sz w:val="16"/>
              </w:rPr>
              <w:t>Of HM projects deliver one deterministic model only</w:t>
            </w:r>
          </w:p>
        </w:tc>
      </w:tr>
    </w:tbl>
    <w:p>
      <w:pPr>
        <w:spacing w:after="160"/>
      </w:pPr>
    </w:p>
    <w:tbl>
      <w:tblPr>
        <w:tblStyle w:val="TableGrid"/>
        <w:tblW w:type="auto" w:w="0"/>
        <w:jc w:val="center"/>
        <w:tblLook w:firstColumn="1" w:firstRow="1" w:lastColumn="0" w:lastRow="0" w:noHBand="0" w:noVBand="1" w:val="04A0"/>
      </w:tblPr>
      <w:tblGrid>
        <w:gridCol w:w="17162"/>
      </w:tblGrid>
      <w:tr>
        <w:tc>
          <w:tcPr>
            <w:tcW w:type="dxa" w:w="17162"/>
            <w:shd w:val="clear" w:color="auto" w:fill="FFF3F3"/>
          </w:tcPr>
          <w:p/>
          <w:p>
            <w:pPr>
              <w:spacing w:before="120" w:after="120"/>
            </w:pPr>
            <w:r>
              <w:rPr>
                <w:rFonts w:ascii="Calibri" w:hAnsi="Calibri"/>
                <w:b/>
                <w:color w:val="E53935"/>
                <w:sz w:val="21"/>
              </w:rPr>
              <w:t xml:space="preserve">⚠  The Hidden Cost of Wrong Models:  </w:t>
            </w:r>
            <w:r>
              <w:rPr>
                <w:rFonts w:ascii="Calibri" w:hAnsi="Calibri"/>
                <w:color w:val="37474F"/>
                <w:sz w:val="20"/>
              </w:rPr>
              <w:t>A 5% improvement in recovery factor on a 500 MMBOE field is worth $1.5 billion at $30/barrel. Poorly-matched reservoir models misallocate drilling capex, delay development decisions, and destroy value every single day.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THE SOLUTION</w:t>
            </w:r>
          </w:p>
        </w:tc>
        <w:tc>
          <w:tcPr>
            <w:tcW w:type="dxa" w:w="5149"/>
            <w:shd w:val="clear" w:color="auto" w:fill="0A1628"/>
            <w:vAlign w:val="center"/>
          </w:tcPr>
          <w:p>
            <w:pPr>
              <w:jc w:val="right"/>
            </w:pPr>
            <w:r>
              <w:rPr>
                <w:rFonts w:ascii="Calibri" w:hAnsi="Calibri"/>
                <w:color w:val="78909C"/>
                <w:sz w:val="16"/>
              </w:rPr>
              <w:t>3 / 16</w:t>
            </w:r>
          </w:p>
        </w:tc>
      </w:tr>
    </w:tbl>
    <w:p>
      <w:pPr>
        <w:spacing w:after="120"/>
      </w:pPr>
    </w:p>
    <w:p>
      <w:pPr>
        <w:spacing w:before="0" w:after="80"/>
        <w:jc w:val="left"/>
      </w:pPr>
      <w:r>
        <w:rPr>
          <w:rFonts w:ascii="Calibri" w:hAnsi="Calibri"/>
          <w:b/>
          <w:color w:val="0A1628"/>
          <w:sz w:val="56"/>
        </w:rPr>
        <w:t>PhysicsFlow: The AI-Native Reservoir Platform</w:t>
      </w:r>
    </w:p>
    <w:p>
      <w:pPr>
        <w:spacing w:before="0" w:after="200"/>
        <w:jc w:val="left"/>
      </w:pPr>
      <w:r>
        <w:rPr>
          <w:rFonts w:ascii="Calibri" w:hAnsi="Calibri"/>
          <w:b w:val="0"/>
          <w:i/>
          <w:color w:val="37474F"/>
          <w:sz w:val="22"/>
        </w:rPr>
        <w:t>Three breakthroughs combined into one industrial-grade desktop application.</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E8F4FD"/>
            <w:vAlign w:val="top"/>
          </w:tcPr>
          <w:p/>
          <w:p>
            <w:pPr>
              <w:spacing w:before="160" w:after="120"/>
            </w:pPr>
            <w:r>
              <w:rPr>
                <w:rFonts w:ascii="Calibri" w:hAnsi="Calibri"/>
                <w:b/>
                <w:color w:val="1565C0"/>
                <w:sz w:val="24"/>
              </w:rPr>
              <w:t>🧠  PINO Surrogate</w:t>
            </w:r>
          </w:p>
          <w:p>
            <w:pPr>
              <w:spacing w:after="160"/>
            </w:pPr>
            <w:r>
              <w:rPr>
                <w:rFonts w:ascii="Calibri" w:hAnsi="Calibri"/>
                <w:color w:val="37474F"/>
                <w:sz w:val="19"/>
              </w:rPr>
              <w:t>A Physics-Informed Neural Operator trained on real OPM FLOW simulation data. Predicts pressure, water and gas saturation fields across the entire reservoir at every time step. Enforces Darcy PDE physics through the loss function — not just curve fitting.</w:t>
            </w:r>
          </w:p>
          <w:p>
            <w:r>
              <w:rPr>
                <w:rFonts w:ascii="Calibri" w:hAnsi="Calibri"/>
                <w:b/>
                <w:color w:val="1565C0"/>
                <w:sz w:val="44"/>
              </w:rPr>
              <w:t>~7 seconds</w:t>
            </w:r>
          </w:p>
          <w:p>
            <w:pPr>
              <w:spacing w:after="160"/>
            </w:pPr>
            <w:r>
              <w:rPr>
                <w:rFonts w:ascii="Calibri" w:hAnsi="Calibri"/>
                <w:color w:val="78909C"/>
                <w:sz w:val="16"/>
              </w:rPr>
              <w:t>per full simulation (vs. 3–8 hours Eclipse)</w:t>
            </w:r>
          </w:p>
        </w:tc>
        <w:tc>
          <w:tcPr>
            <w:tcW w:type="dxa" w:w="5607"/>
            <w:shd w:val="clear" w:color="auto" w:fill="F0FFF4"/>
            <w:vAlign w:val="top"/>
          </w:tcPr>
          <w:p/>
          <w:p>
            <w:pPr>
              <w:spacing w:before="160" w:after="120"/>
            </w:pPr>
            <w:r>
              <w:rPr>
                <w:rFonts w:ascii="Calibri" w:hAnsi="Calibri"/>
                <w:b/>
                <w:color w:val="00C853"/>
                <w:sz w:val="24"/>
              </w:rPr>
              <w:t>🎯  αREKI History Matching</w:t>
            </w:r>
          </w:p>
          <w:p>
            <w:pPr>
              <w:spacing w:after="160"/>
            </w:pPr>
            <w:r>
              <w:rPr>
                <w:rFonts w:ascii="Calibri" w:hAnsi="Calibri"/>
                <w:color w:val="37474F"/>
                <w:sz w:val="19"/>
              </w:rPr>
              <w:t>Adaptive Regularised Ensemble Kalman Inversion automatically calibrates 200 reservoir realisations to match observed production data. JAX-accelerated ensemble operations deliver fully calibrated P10/P50/P90 uncertainty quantification in approximately one hour.</w:t>
            </w:r>
          </w:p>
          <w:p>
            <w:r>
              <w:rPr>
                <w:rFonts w:ascii="Calibri" w:hAnsi="Calibri"/>
                <w:b/>
                <w:color w:val="00C853"/>
                <w:sz w:val="44"/>
              </w:rPr>
              <w:t>200 members</w:t>
            </w:r>
          </w:p>
          <w:p>
            <w:pPr>
              <w:spacing w:after="160"/>
            </w:pPr>
            <w:r>
              <w:rPr>
                <w:rFonts w:ascii="Calibri" w:hAnsi="Calibri"/>
                <w:color w:val="78909C"/>
                <w:sz w:val="16"/>
              </w:rPr>
              <w:t>full ensemble UQ in ~1 hour</w:t>
            </w:r>
          </w:p>
        </w:tc>
        <w:tc>
          <w:tcPr>
            <w:tcW w:type="dxa" w:w="5607"/>
            <w:shd w:val="clear" w:color="auto" w:fill="FFFBF0"/>
            <w:vAlign w:val="top"/>
          </w:tcPr>
          <w:p/>
          <w:p>
            <w:pPr>
              <w:spacing w:before="160" w:after="120"/>
            </w:pPr>
            <w:r>
              <w:rPr>
                <w:rFonts w:ascii="Calibri" w:hAnsi="Calibri"/>
                <w:b/>
                <w:color w:val="FF8F00"/>
                <w:sz w:val="24"/>
              </w:rPr>
              <w:t>🤖  AI Reservoir Assistant</w:t>
            </w:r>
          </w:p>
          <w:p>
            <w:pPr>
              <w:spacing w:after="160"/>
            </w:pPr>
            <w:r>
              <w:rPr>
                <w:rFonts w:ascii="Calibri" w:hAnsi="Calibri"/>
                <w:color w:val="37474F"/>
                <w:sz w:val="19"/>
              </w:rPr>
              <w:t>An embedded local LLM (Ollama — runs on your machine, data never leaves) with live tool-calling access to simulation results. Engineers ask questions in plain English and get data-grounded answers instantly. No hallucinations: every answer is backed by a tool call.</w:t>
            </w:r>
          </w:p>
          <w:p>
            <w:r>
              <w:rPr>
                <w:rFonts w:ascii="Calibri" w:hAnsi="Calibri"/>
                <w:b/>
                <w:color w:val="FF8F00"/>
                <w:sz w:val="44"/>
              </w:rPr>
              <w:t>Local AI</w:t>
            </w:r>
          </w:p>
          <w:p>
            <w:pPr>
              <w:spacing w:after="160"/>
            </w:pPr>
            <w:r>
              <w:rPr>
                <w:rFonts w:ascii="Calibri" w:hAnsi="Calibri"/>
                <w:color w:val="78909C"/>
                <w:sz w:val="16"/>
              </w:rPr>
              <w:t>data stays on-premise, fully private</w:t>
            </w:r>
          </w:p>
        </w:tc>
      </w:tr>
    </w:tbl>
    <w:p>
      <w:pPr>
        <w:spacing w:after="160"/>
      </w:pPr>
    </w:p>
    <w:p>
      <w:pPr>
        <w:spacing w:before="0" w:after="80"/>
        <w:jc w:val="left"/>
      </w:pPr>
      <w:r>
        <w:rPr>
          <w:rFonts w:ascii="Calibri" w:hAnsi="Calibri"/>
          <w:b/>
          <w:i w:val="0"/>
          <w:color w:val="0A1628"/>
          <w:sz w:val="20"/>
        </w:rPr>
        <w:t>Workflow:</w:t>
      </w:r>
    </w:p>
    <w:tbl>
      <w:tblPr>
        <w:tblStyle w:val="TableGrid"/>
        <w:tblW w:type="auto" w:w="0"/>
        <w:jc w:val="center"/>
        <w:tblLook w:firstColumn="1" w:firstRow="1" w:lastColumn="0" w:lastRow="0" w:noHBand="0" w:noVBand="1" w:val="04A0"/>
      </w:tblPr>
      <w:tblGrid>
        <w:gridCol w:w="1907"/>
        <w:gridCol w:w="1907"/>
        <w:gridCol w:w="1907"/>
        <w:gridCol w:w="1907"/>
        <w:gridCol w:w="1907"/>
        <w:gridCol w:w="1907"/>
        <w:gridCol w:w="1907"/>
        <w:gridCol w:w="1907"/>
        <w:gridCol w:w="1907"/>
      </w:tblGrid>
      <w:tr>
        <w:tc>
          <w:tcPr>
            <w:tcW w:type="dxa" w:w="1871"/>
            <w:shd w:val="clear" w:color="auto" w:fill="D6EAF8"/>
            <w:vAlign w:val="center"/>
          </w:tcPr>
          <w:p>
            <w:pPr>
              <w:spacing w:before="80" w:after="80"/>
              <w:jc w:val="center"/>
            </w:pPr>
            <w:r>
              <w:rPr>
                <w:rFonts w:ascii="Calibri" w:hAnsi="Calibri"/>
                <w:b/>
                <w:i w:val="0"/>
                <w:color w:val="37474F"/>
                <w:sz w:val="18"/>
              </w:rPr>
              <w:t>📋 Eclipse Deck</w:t>
              <w:br/>
              <w:t>Import</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6EAF8"/>
            <w:vAlign w:val="center"/>
          </w:tcPr>
          <w:p>
            <w:pPr>
              <w:spacing w:before="80" w:after="80"/>
              <w:jc w:val="center"/>
            </w:pPr>
            <w:r>
              <w:rPr>
                <w:rFonts w:ascii="Calibri" w:hAnsi="Calibri"/>
                <w:b/>
                <w:i w:val="0"/>
                <w:color w:val="37474F"/>
                <w:sz w:val="18"/>
              </w:rPr>
              <w:t>🔬 OPM FLOW</w:t>
              <w:br/>
              <w:t>100 training runs</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6EAF8"/>
            <w:vAlign w:val="center"/>
          </w:tcPr>
          <w:p>
            <w:pPr>
              <w:spacing w:before="80" w:after="80"/>
              <w:jc w:val="center"/>
            </w:pPr>
            <w:r>
              <w:rPr>
                <w:rFonts w:ascii="Calibri" w:hAnsi="Calibri"/>
                <w:b/>
                <w:i w:val="0"/>
                <w:color w:val="37474F"/>
                <w:sz w:val="18"/>
              </w:rPr>
              <w:t>🧠 PINO Training</w:t>
              <w:br/>
              <w:t>5hrs on GPU</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5F5E3"/>
            <w:vAlign w:val="center"/>
          </w:tcPr>
          <w:p>
            <w:pPr>
              <w:spacing w:before="80" w:after="80"/>
              <w:jc w:val="center"/>
            </w:pPr>
            <w:r>
              <w:rPr>
                <w:rFonts w:ascii="Calibri" w:hAnsi="Calibri"/>
                <w:b/>
                <w:i w:val="0"/>
                <w:color w:val="37474F"/>
                <w:sz w:val="18"/>
              </w:rPr>
              <w:t>⚡ αREKI HM</w:t>
              <w:br/>
              <w:t>~1 hour</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5F5E3"/>
            <w:vAlign w:val="center"/>
          </w:tcPr>
          <w:p>
            <w:pPr>
              <w:spacing w:before="80" w:after="80"/>
              <w:jc w:val="center"/>
            </w:pPr>
            <w:r>
              <w:rPr>
                <w:rFonts w:ascii="Calibri" w:hAnsi="Calibri"/>
                <w:b/>
                <w:i w:val="0"/>
                <w:color w:val="37474F"/>
                <w:sz w:val="18"/>
              </w:rPr>
              <w:t>📊 P10/P50/P90</w:t>
              <w:br/>
              <w:t>Calibrated UQ</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TECHNOLOGY OVERVIEW</w:t>
            </w:r>
          </w:p>
        </w:tc>
        <w:tc>
          <w:tcPr>
            <w:tcW w:type="dxa" w:w="5149"/>
            <w:shd w:val="clear" w:color="auto" w:fill="0A1628"/>
            <w:vAlign w:val="center"/>
          </w:tcPr>
          <w:p>
            <w:pPr>
              <w:jc w:val="right"/>
            </w:pPr>
            <w:r>
              <w:rPr>
                <w:rFonts w:ascii="Calibri" w:hAnsi="Calibri"/>
                <w:color w:val="78909C"/>
                <w:sz w:val="16"/>
              </w:rPr>
              <w:t>4 / 16</w:t>
            </w:r>
          </w:p>
        </w:tc>
      </w:tr>
    </w:tbl>
    <w:p>
      <w:pPr>
        <w:spacing w:after="120"/>
      </w:pPr>
    </w:p>
    <w:p>
      <w:pPr>
        <w:spacing w:before="0" w:after="80"/>
        <w:jc w:val="left"/>
      </w:pPr>
      <w:r>
        <w:rPr>
          <w:rFonts w:ascii="Calibri" w:hAnsi="Calibri"/>
          <w:b/>
          <w:color w:val="0A1628"/>
          <w:sz w:val="56"/>
        </w:rPr>
        <w:t>How PhysicsFlow Works</w:t>
      </w:r>
    </w:p>
    <w:p>
      <w:pPr>
        <w:spacing w:before="0" w:after="200"/>
        <w:jc w:val="left"/>
      </w:pPr>
      <w:r>
        <w:rPr>
          <w:rFonts w:ascii="Calibri" w:hAnsi="Calibri"/>
          <w:b w:val="0"/>
          <w:i/>
          <w:color w:val="37474F"/>
          <w:sz w:val="22"/>
        </w:rPr>
        <w:t>Hybrid PyTorch + JAX engine — best framework for each phase of the workflow.</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F8FAFC"/>
          </w:tcPr>
          <w:p/>
          <w:p>
            <w:pPr>
              <w:spacing w:before="160" w:after="160"/>
            </w:pPr>
            <w:r>
              <w:rPr>
                <w:rFonts w:ascii="Calibri" w:hAnsi="Calibri"/>
                <w:b/>
                <w:color w:val="1565C0"/>
                <w:sz w:val="20"/>
              </w:rPr>
              <w:t>Training Phase — PyTorch + PhysicsNeMo (NVIDIA)</w:t>
            </w:r>
          </w:p>
          <w:p>
            <w:pPr>
              <w:spacing w:before="80" w:after="40"/>
            </w:pPr>
            <w:r>
              <w:rPr>
                <w:rFonts w:ascii="Calibri" w:hAnsi="Calibri"/>
                <w:b/>
                <w:color w:val="37474F"/>
                <w:sz w:val="19"/>
              </w:rPr>
              <w:t>📐  Fourier Neural Operator (FNO)</w:t>
            </w:r>
          </w:p>
          <w:p>
            <w:pPr>
              <w:spacing w:before="0" w:after="120"/>
              <w:ind w:left="227"/>
            </w:pPr>
            <w:r>
              <w:rPr>
                <w:rFonts w:ascii="Calibri" w:hAnsi="Calibri"/>
                <w:color w:val="78909C"/>
                <w:sz w:val="18"/>
              </w:rPr>
              <w:t>Three separate models: pressure, water saturation, gas saturation. Resolution-independent — trained at one grid size, applicable to others.</w:t>
            </w:r>
          </w:p>
          <w:p>
            <w:pPr>
              <w:spacing w:before="80" w:after="40"/>
            </w:pPr>
            <w:r>
              <w:rPr>
                <w:rFonts w:ascii="Calibri" w:hAnsi="Calibri"/>
                <w:b/>
                <w:color w:val="37474F"/>
                <w:sz w:val="19"/>
              </w:rPr>
              <w:t>⚖️  PINO Physics Loss</w:t>
            </w:r>
          </w:p>
          <w:p>
            <w:pPr>
              <w:spacing w:before="0" w:after="120"/>
              <w:ind w:left="227"/>
            </w:pPr>
            <w:r>
              <w:rPr>
                <w:rFonts w:ascii="Calibri" w:hAnsi="Calibri"/>
                <w:color w:val="78909C"/>
                <w:sz w:val="18"/>
              </w:rPr>
              <w:t>Darcy PDE residuals + Peacemann well model loss + initial/boundary conditions. Enforces physics between training data points — not just interpolation.</w:t>
            </w:r>
          </w:p>
          <w:p>
            <w:pPr>
              <w:spacing w:before="80" w:after="40"/>
            </w:pPr>
            <w:r>
              <w:rPr>
                <w:rFonts w:ascii="Calibri" w:hAnsi="Calibri"/>
                <w:b/>
                <w:color w:val="37474F"/>
                <w:sz w:val="19"/>
              </w:rPr>
              <w:t>🎲  VCAE + DDIM Priors</w:t>
            </w:r>
          </w:p>
          <w:p>
            <w:pPr>
              <w:spacing w:before="0" w:after="120"/>
              <w:ind w:left="227"/>
            </w:pPr>
            <w:r>
              <w:rPr>
                <w:rFonts w:ascii="Calibri" w:hAnsi="Calibri"/>
                <w:color w:val="78909C"/>
                <w:sz w:val="18"/>
              </w:rPr>
              <w:t>Variational autoencoder compresses permeability K → latent z. Denoising Diffusion Implicit Model decodes to non-Gaussian K fields.</w:t>
            </w:r>
          </w:p>
          <w:p>
            <w:pPr>
              <w:spacing w:before="80" w:after="40"/>
            </w:pPr>
            <w:r>
              <w:rPr>
                <w:rFonts w:ascii="Calibri" w:hAnsi="Calibri"/>
                <w:b/>
                <w:color w:val="37474F"/>
                <w:sz w:val="19"/>
              </w:rPr>
              <w:t>🌲  CCR Well Model</w:t>
            </w:r>
          </w:p>
          <w:p>
            <w:pPr>
              <w:spacing w:before="0" w:after="120"/>
              <w:ind w:left="227"/>
            </w:pPr>
            <w:r>
              <w:rPr>
                <w:rFonts w:ascii="Calibri" w:hAnsi="Calibri"/>
                <w:color w:val="78909C"/>
                <w:sz w:val="18"/>
              </w:rPr>
              <w:t>Cluster-Classify-Regress: XGBoost mixture of experts for the Peacemann well productivity surrogate. 66 outputs (WOPR/WWPR/WGPR × 22 wells).</w:t>
            </w:r>
          </w:p>
        </w:tc>
        <w:tc>
          <w:tcPr>
            <w:tcW w:type="dxa" w:w="8411"/>
            <w:shd w:val="clear" w:color="auto" w:fill="F0FFF4"/>
          </w:tcPr>
          <w:p/>
          <w:p>
            <w:pPr>
              <w:spacing w:before="160" w:after="160"/>
            </w:pPr>
            <w:r>
              <w:rPr>
                <w:rFonts w:ascii="Calibri" w:hAnsi="Calibri"/>
                <w:b/>
                <w:color w:val="00C853"/>
                <w:sz w:val="20"/>
              </w:rPr>
              <w:t>History Matching Phase — JAX / XLA (3–5× faster)</w:t>
            </w:r>
          </w:p>
          <w:p>
            <w:pPr>
              <w:spacing w:before="80" w:after="40"/>
            </w:pPr>
            <w:r>
              <w:rPr>
                <w:rFonts w:ascii="Calibri" w:hAnsi="Calibri"/>
                <w:b/>
                <w:color w:val="37474F"/>
                <w:sz w:val="19"/>
              </w:rPr>
              <w:t>⚡  jax.jit Compiled Kalman Update</w:t>
            </w:r>
          </w:p>
          <w:p>
            <w:pPr>
              <w:spacing w:before="0" w:after="120"/>
              <w:ind w:left="227"/>
            </w:pPr>
            <w:r>
              <w:rPr>
                <w:rFonts w:ascii="Calibri" w:hAnsi="Calibri"/>
                <w:color w:val="78909C"/>
                <w:sz w:val="18"/>
              </w:rPr>
              <w:t>Entire Kalman step compiled to XLA kernel. Vectorised over 200 ensemble members simultaneously. 3–5× faster than equivalent PyTorch loop.</w:t>
            </w:r>
          </w:p>
          <w:p>
            <w:pPr>
              <w:spacing w:before="80" w:after="40"/>
            </w:pPr>
            <w:r>
              <w:rPr>
                <w:rFonts w:ascii="Calibri" w:hAnsi="Calibri"/>
                <w:b/>
                <w:color w:val="37474F"/>
                <w:sz w:val="19"/>
              </w:rPr>
              <w:t>🗺️  Gaspari-Cohn Localisation</w:t>
            </w:r>
          </w:p>
          <w:p>
            <w:pPr>
              <w:spacing w:before="0" w:after="120"/>
              <w:ind w:left="227"/>
            </w:pPr>
            <w:r>
              <w:rPr>
                <w:rFonts w:ascii="Calibri" w:hAnsi="Calibri"/>
                <w:color w:val="78909C"/>
                <w:sz w:val="18"/>
              </w:rPr>
              <w:t>5th-order piecewise rational function eliminates spurious long-range correlations in the Kalman gain matrix. Configurable radius.</w:t>
            </w:r>
          </w:p>
          <w:p>
            <w:pPr>
              <w:spacing w:before="80" w:after="40"/>
            </w:pPr>
            <w:r>
              <w:rPr>
                <w:rFonts w:ascii="Calibri" w:hAnsi="Calibri"/>
                <w:b/>
                <w:color w:val="37474F"/>
                <w:sz w:val="19"/>
              </w:rPr>
              <w:t>🔄  SVD-Based Matrix Inversion</w:t>
            </w:r>
          </w:p>
          <w:p>
            <w:pPr>
              <w:spacing w:before="0" w:after="120"/>
              <w:ind w:left="227"/>
            </w:pPr>
            <w:r>
              <w:rPr>
                <w:rFonts w:ascii="Calibri" w:hAnsi="Calibri"/>
                <w:color w:val="78909C"/>
                <w:sz w:val="18"/>
              </w:rPr>
              <w:t>Numerically stable Kalman gain computation. Truncated singular values handle near-singular covariance matrices robustly.</w:t>
            </w:r>
          </w:p>
          <w:p>
            <w:pPr>
              <w:spacing w:before="80" w:after="40"/>
            </w:pPr>
            <w:r>
              <w:rPr>
                <w:rFonts w:ascii="Calibri" w:hAnsi="Calibri"/>
                <w:b/>
                <w:color w:val="37474F"/>
                <w:sz w:val="19"/>
              </w:rPr>
              <w:t>🎯  Adaptive α (Discrepancy Principle)</w:t>
            </w:r>
          </w:p>
          <w:p>
            <w:pPr>
              <w:spacing w:before="0" w:after="120"/>
              <w:ind w:left="227"/>
            </w:pPr>
            <w:r>
              <w:rPr>
                <w:rFonts w:ascii="Calibri" w:hAnsi="Calibri"/>
                <w:color w:val="78909C"/>
                <w:sz w:val="18"/>
              </w:rPr>
              <w:t>Automatic step-size tuning. Guarantees convergence. Stops when s_cumulative ≥ 1.0 — no manual tuning required.</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MARKET OPPORTUNITY</w:t>
            </w:r>
          </w:p>
        </w:tc>
        <w:tc>
          <w:tcPr>
            <w:tcW w:type="dxa" w:w="5149"/>
            <w:shd w:val="clear" w:color="auto" w:fill="0A1628"/>
            <w:vAlign w:val="center"/>
          </w:tcPr>
          <w:p>
            <w:pPr>
              <w:jc w:val="right"/>
            </w:pPr>
            <w:r>
              <w:rPr>
                <w:rFonts w:ascii="Calibri" w:hAnsi="Calibri"/>
                <w:color w:val="78909C"/>
                <w:sz w:val="16"/>
              </w:rPr>
              <w:t>5 / 16</w:t>
            </w:r>
          </w:p>
        </w:tc>
      </w:tr>
    </w:tbl>
    <w:p>
      <w:pPr>
        <w:spacing w:after="120"/>
      </w:pPr>
    </w:p>
    <w:p>
      <w:pPr>
        <w:spacing w:before="0" w:after="80"/>
        <w:jc w:val="left"/>
      </w:pPr>
      <w:r>
        <w:rPr>
          <w:rFonts w:ascii="Calibri" w:hAnsi="Calibri"/>
          <w:b/>
          <w:color w:val="0A1628"/>
          <w:sz w:val="56"/>
        </w:rPr>
        <w:t>A $12 Billion Market Ready for Disruption</w:t>
      </w:r>
    </w:p>
    <w:p>
      <w:pPr>
        <w:spacing w:before="0" w:after="200"/>
        <w:jc w:val="left"/>
      </w:pPr>
      <w:r>
        <w:rPr>
          <w:rFonts w:ascii="Calibri" w:hAnsi="Calibri"/>
          <w:b w:val="0"/>
          <w:i/>
          <w:color w:val="37474F"/>
          <w:sz w:val="22"/>
        </w:rPr>
        <w:t>Reservoir simulation software is a mature, high-margin, under-innovated market.</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EBF5FB"/>
          </w:tcPr>
          <w:p/>
          <w:p>
            <w:pPr>
              <w:spacing w:before="120"/>
            </w:pPr>
            <w:r>
              <w:rPr>
                <w:rFonts w:ascii="Calibri" w:hAnsi="Calibri"/>
                <w:b/>
                <w:color w:val="1565C0"/>
                <w:sz w:val="22"/>
              </w:rPr>
              <w:t>Market Size (TAM / SAM / SOM)</w:t>
            </w:r>
          </w:p>
          <w:p>
            <w:pPr>
              <w:spacing w:before="80" w:after="80"/>
            </w:pPr>
            <w:r>
              <w:rPr>
                <w:rFonts w:ascii="Calibri" w:hAnsi="Calibri"/>
                <w:b/>
                <w:color w:val="1565C0"/>
                <w:sz w:val="40"/>
              </w:rPr>
              <w:t xml:space="preserve">$12B+   </w:t>
            </w:r>
            <w:r>
              <w:rPr>
                <w:rFonts w:ascii="Calibri" w:hAnsi="Calibri"/>
                <w:color w:val="37474F"/>
                <w:sz w:val="18"/>
              </w:rPr>
              <w:t>TAM — Global Reservoir Simulation Software + Services</w:t>
            </w:r>
          </w:p>
          <w:p>
            <w:pPr>
              <w:spacing w:before="80" w:after="80"/>
            </w:pPr>
            <w:r>
              <w:rPr>
                <w:rFonts w:ascii="Calibri" w:hAnsi="Calibri"/>
                <w:b/>
                <w:color w:val="00BCD4"/>
                <w:sz w:val="40"/>
              </w:rPr>
              <w:t xml:space="preserve">$3.5B   </w:t>
            </w:r>
            <w:r>
              <w:rPr>
                <w:rFonts w:ascii="Calibri" w:hAnsi="Calibri"/>
                <w:color w:val="37474F"/>
                <w:sz w:val="18"/>
              </w:rPr>
              <w:t>SAM — History Matching Workflow Automation Tools</w:t>
            </w:r>
          </w:p>
          <w:p>
            <w:pPr>
              <w:spacing w:before="80" w:after="80"/>
            </w:pPr>
            <w:r>
              <w:rPr>
                <w:rFonts w:ascii="Calibri" w:hAnsi="Calibri"/>
                <w:b/>
                <w:color w:val="00C853"/>
                <w:sz w:val="40"/>
              </w:rPr>
              <w:t xml:space="preserve">$420M   </w:t>
            </w:r>
            <w:r>
              <w:rPr>
                <w:rFonts w:ascii="Calibri" w:hAnsi="Calibri"/>
                <w:color w:val="37474F"/>
                <w:sz w:val="18"/>
              </w:rPr>
              <w:t>SOM — Year 5 Revenue Target (conservative 1% penetration)</w:t>
            </w:r>
          </w:p>
        </w:tc>
        <w:tc>
          <w:tcPr>
            <w:tcW w:type="dxa" w:w="8411"/>
            <w:shd w:val="clear" w:color="auto" w:fill="F8F9FA"/>
          </w:tcPr>
          <w:p/>
          <w:p>
            <w:pPr>
              <w:spacing w:before="120"/>
            </w:pPr>
            <w:r>
              <w:rPr>
                <w:rFonts w:ascii="Calibri" w:hAnsi="Calibri"/>
                <w:b/>
                <w:color w:val="0A1628"/>
                <w:sz w:val="22"/>
              </w:rPr>
              <w:t>Key Market Indicators</w:t>
            </w:r>
          </w:p>
          <w:p>
            <w:pPr>
              <w:spacing w:before="120" w:after="40"/>
            </w:pPr>
            <w:r>
              <w:rPr>
                <w:rFonts w:ascii="Calibri" w:hAnsi="Calibri"/>
                <w:b/>
                <w:color w:val="00BCD4"/>
                <w:sz w:val="40"/>
              </w:rPr>
              <w:t>~7,000</w:t>
            </w:r>
          </w:p>
          <w:p>
            <w:pPr>
              <w:spacing w:before="0" w:after="120"/>
            </w:pPr>
            <w:r>
              <w:rPr>
                <w:rFonts w:ascii="Calibri" w:hAnsi="Calibri"/>
                <w:color w:val="37474F"/>
                <w:sz w:val="18"/>
              </w:rPr>
              <w:t>Active reservoir simulation licenses globally (2024)</w:t>
            </w:r>
          </w:p>
          <w:p>
            <w:pPr>
              <w:spacing w:before="120" w:after="40"/>
            </w:pPr>
            <w:r>
              <w:rPr>
                <w:rFonts w:ascii="Calibri" w:hAnsi="Calibri"/>
                <w:b/>
                <w:color w:val="00C853"/>
                <w:sz w:val="40"/>
              </w:rPr>
              <w:t>8.2% CAGR</w:t>
            </w:r>
          </w:p>
          <w:p>
            <w:pPr>
              <w:spacing w:before="0" w:after="120"/>
            </w:pPr>
            <w:r>
              <w:rPr>
                <w:rFonts w:ascii="Calibri" w:hAnsi="Calibri"/>
                <w:color w:val="37474F"/>
                <w:sz w:val="18"/>
              </w:rPr>
              <w:t>Market growth rate 2024–2030 (AI-driven acceleration)</w:t>
            </w:r>
          </w:p>
          <w:p>
            <w:pPr>
              <w:spacing w:before="120" w:after="40"/>
            </w:pPr>
            <w:r>
              <w:rPr>
                <w:rFonts w:ascii="Calibri" w:hAnsi="Calibri"/>
                <w:b/>
                <w:color w:val="FF8F00"/>
                <w:sz w:val="40"/>
              </w:rPr>
              <w:t>$180B+</w:t>
            </w:r>
          </w:p>
          <w:p>
            <w:pPr>
              <w:spacing w:before="0" w:after="120"/>
            </w:pPr>
            <w:r>
              <w:rPr>
                <w:rFonts w:ascii="Calibri" w:hAnsi="Calibri"/>
                <w:color w:val="37474F"/>
                <w:sz w:val="18"/>
              </w:rPr>
              <w:t>E&amp;P digital transformation investment by 2030</w:t>
            </w:r>
          </w:p>
          <w:p>
            <w:pPr>
              <w:spacing w:before="160"/>
            </w:pPr>
            <w:r>
              <w:rPr>
                <w:rFonts w:ascii="Calibri" w:hAnsi="Calibri"/>
                <w:b/>
                <w:color w:val="FF8F00"/>
                <w:sz w:val="19"/>
              </w:rPr>
              <w:t xml:space="preserve">Key Drivers:  </w:t>
            </w:r>
            <w:r>
              <w:rPr>
                <w:rFonts w:ascii="Calibri" w:hAnsi="Calibri"/>
                <w:color w:val="37474F"/>
                <w:sz w:val="18"/>
              </w:rPr>
              <w:t>Energy transition pressure → maximise recovery from existing fields. AI adoption mandates from NOCs. ESG reporting requires rigorous uncertainty quantification.</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COMPETITIVE LANDSCAPE</w:t>
            </w:r>
          </w:p>
        </w:tc>
        <w:tc>
          <w:tcPr>
            <w:tcW w:type="dxa" w:w="5149"/>
            <w:shd w:val="clear" w:color="auto" w:fill="0A1628"/>
            <w:vAlign w:val="center"/>
          </w:tcPr>
          <w:p>
            <w:pPr>
              <w:jc w:val="right"/>
            </w:pPr>
            <w:r>
              <w:rPr>
                <w:rFonts w:ascii="Calibri" w:hAnsi="Calibri"/>
                <w:color w:val="78909C"/>
                <w:sz w:val="16"/>
              </w:rPr>
              <w:t>6 / 16</w:t>
            </w:r>
          </w:p>
        </w:tc>
      </w:tr>
    </w:tbl>
    <w:p>
      <w:pPr>
        <w:spacing w:after="120"/>
      </w:pPr>
    </w:p>
    <w:p>
      <w:pPr>
        <w:spacing w:before="0" w:after="80"/>
        <w:jc w:val="left"/>
      </w:pPr>
      <w:r>
        <w:rPr>
          <w:rFonts w:ascii="Calibri" w:hAnsi="Calibri"/>
          <w:b/>
          <w:color w:val="0A1628"/>
          <w:sz w:val="56"/>
        </w:rPr>
        <w:t>We Win Where It Counts Most</w:t>
      </w:r>
    </w:p>
    <w:p>
      <w:pPr>
        <w:spacing w:before="0" w:after="160"/>
        <w:jc w:val="left"/>
      </w:pPr>
      <w:r>
        <w:rPr>
          <w:rFonts w:ascii="Calibri" w:hAnsi="Calibri"/>
          <w:b w:val="0"/>
          <w:i/>
          <w:color w:val="37474F"/>
          <w:sz w:val="22"/>
        </w:rPr>
        <w:t>Speed, uncertainty quantification, and AI assistance — three gaps no competitor has filled.</w:t>
      </w:r>
    </w:p>
    <w:tbl>
      <w:tblPr>
        <w:tblStyle w:val="TableGrid"/>
        <w:tblW w:type="auto" w:w="0"/>
        <w:jc w:val="center"/>
        <w:tblLook w:firstColumn="1" w:firstRow="1" w:lastColumn="0" w:lastRow="0" w:noHBand="0" w:noVBand="1" w:val="04A0"/>
      </w:tblPr>
      <w:tblGrid>
        <w:gridCol w:w="2452"/>
        <w:gridCol w:w="2452"/>
        <w:gridCol w:w="2452"/>
        <w:gridCol w:w="2452"/>
        <w:gridCol w:w="2452"/>
        <w:gridCol w:w="2452"/>
        <w:gridCol w:w="2452"/>
      </w:tblGrid>
      <w:tr>
        <w:tc>
          <w:tcPr>
            <w:tcW w:type="dxa" w:w="2721"/>
            <w:shd w:val="clear" w:color="auto" w:fill="0A1628"/>
          </w:tcPr>
          <w:p>
            <w:pPr>
              <w:jc w:val="center"/>
            </w:pPr>
            <w:r>
              <w:rPr>
                <w:rFonts w:ascii="Calibri" w:hAnsi="Calibri"/>
                <w:b/>
                <w:color w:val="FFFFFF"/>
                <w:sz w:val="17"/>
              </w:rPr>
              <w:t>Capability</w:t>
            </w:r>
          </w:p>
        </w:tc>
        <w:tc>
          <w:tcPr>
            <w:tcW w:type="dxa" w:w="2041"/>
            <w:shd w:val="clear" w:color="auto" w:fill="0D3B6E"/>
          </w:tcPr>
          <w:p>
            <w:pPr>
              <w:jc w:val="center"/>
            </w:pPr>
            <w:r>
              <w:rPr>
                <w:rFonts w:ascii="Calibri" w:hAnsi="Calibri"/>
                <w:b/>
                <w:color w:val="00BCD4"/>
                <w:sz w:val="17"/>
              </w:rPr>
              <w:t>PhysicsFlow ⚡</w:t>
            </w:r>
          </w:p>
        </w:tc>
        <w:tc>
          <w:tcPr>
            <w:tcW w:type="dxa" w:w="1701"/>
            <w:shd w:val="clear" w:color="auto" w:fill="0A1628"/>
          </w:tcPr>
          <w:p>
            <w:pPr>
              <w:jc w:val="center"/>
            </w:pPr>
            <w:r>
              <w:rPr>
                <w:rFonts w:ascii="Calibri" w:hAnsi="Calibri"/>
                <w:b/>
                <w:color w:val="FFFFFF"/>
                <w:sz w:val="17"/>
              </w:rPr>
              <w:t>Eclipse 100</w:t>
              <w:br/>
              <w:t>(SLB)</w:t>
            </w:r>
          </w:p>
        </w:tc>
        <w:tc>
          <w:tcPr>
            <w:tcW w:type="dxa" w:w="1701"/>
            <w:shd w:val="clear" w:color="auto" w:fill="0A1628"/>
          </w:tcPr>
          <w:p>
            <w:pPr>
              <w:jc w:val="center"/>
            </w:pPr>
            <w:r>
              <w:rPr>
                <w:rFonts w:ascii="Calibri" w:hAnsi="Calibri"/>
                <w:b/>
                <w:color w:val="FFFFFF"/>
                <w:sz w:val="17"/>
              </w:rPr>
              <w:t>tNavigator</w:t>
              <w:br/>
              <w:t>(RFD)</w:t>
            </w:r>
          </w:p>
        </w:tc>
        <w:tc>
          <w:tcPr>
            <w:tcW w:type="dxa" w:w="1701"/>
            <w:shd w:val="clear" w:color="auto" w:fill="0A1628"/>
          </w:tcPr>
          <w:p>
            <w:pPr>
              <w:jc w:val="center"/>
            </w:pPr>
            <w:r>
              <w:rPr>
                <w:rFonts w:ascii="Calibri" w:hAnsi="Calibri"/>
                <w:b/>
                <w:color w:val="FFFFFF"/>
                <w:sz w:val="17"/>
              </w:rPr>
              <w:t>CMG IMEX</w:t>
            </w:r>
          </w:p>
        </w:tc>
        <w:tc>
          <w:tcPr>
            <w:tcW w:type="dxa" w:w="1701"/>
            <w:shd w:val="clear" w:color="auto" w:fill="0A1628"/>
          </w:tcPr>
          <w:p>
            <w:pPr>
              <w:jc w:val="center"/>
            </w:pPr>
            <w:r>
              <w:rPr>
                <w:rFonts w:ascii="Calibri" w:hAnsi="Calibri"/>
                <w:b/>
                <w:color w:val="FFFFFF"/>
                <w:sz w:val="17"/>
              </w:rPr>
              <w:t>REVEAL</w:t>
              <w:br/>
              <w:t>(Petex)</w:t>
            </w:r>
          </w:p>
        </w:tc>
        <w:tc>
          <w:tcPr>
            <w:tcW w:type="dxa" w:w="1701"/>
            <w:shd w:val="clear" w:color="auto" w:fill="0A1628"/>
          </w:tcPr>
          <w:p>
            <w:pPr>
              <w:jc w:val="center"/>
            </w:pPr>
            <w:r>
              <w:rPr>
                <w:rFonts w:ascii="Calibri" w:hAnsi="Calibri"/>
                <w:b/>
                <w:color w:val="FFFFFF"/>
                <w:sz w:val="17"/>
              </w:rPr>
              <w:t>OPM FLOW</w:t>
              <w:br/>
              <w:t>(Open Source)</w:t>
            </w:r>
          </w:p>
        </w:tc>
      </w:tr>
      <w:tr>
        <w:tc>
          <w:tcPr>
            <w:tcW w:type="dxa" w:w="2721"/>
            <w:shd w:val="clear" w:color="auto" w:fill="F8FAFC"/>
            <w:vAlign w:val="center"/>
          </w:tcPr>
          <w:p>
            <w:pPr>
              <w:jc w:val="left"/>
            </w:pPr>
            <w:r>
              <w:rPr>
                <w:rFonts w:ascii="Calibri" w:hAnsi="Calibri"/>
                <w:b w:val="0"/>
                <w:color w:val="37474F"/>
                <w:sz w:val="18"/>
              </w:rPr>
              <w:t>HM simulation speed</w:t>
            </w:r>
          </w:p>
        </w:tc>
        <w:tc>
          <w:tcPr>
            <w:tcW w:type="dxa" w:w="2041"/>
            <w:shd w:val="clear" w:color="auto" w:fill="EBF5FB"/>
            <w:vAlign w:val="center"/>
          </w:tcPr>
          <w:p>
            <w:pPr>
              <w:jc w:val="center"/>
            </w:pPr>
            <w:r>
              <w:rPr>
                <w:rFonts w:ascii="Calibri" w:hAnsi="Calibri"/>
                <w:b/>
                <w:color w:val="1565C0"/>
                <w:sz w:val="17"/>
              </w:rPr>
              <w:t>~7 seconds</w:t>
            </w:r>
          </w:p>
        </w:tc>
        <w:tc>
          <w:tcPr>
            <w:tcW w:type="dxa" w:w="1701"/>
            <w:shd w:val="clear" w:color="auto" w:fill="F8FAFC"/>
            <w:vAlign w:val="center"/>
          </w:tcPr>
          <w:p>
            <w:pPr>
              <w:jc w:val="center"/>
            </w:pPr>
            <w:r>
              <w:rPr>
                <w:rFonts w:ascii="Calibri" w:hAnsi="Calibri"/>
                <w:b w:val="0"/>
                <w:color w:val="78909C"/>
                <w:sz w:val="17"/>
              </w:rPr>
              <w:t>3–8 hours</w:t>
            </w:r>
          </w:p>
        </w:tc>
        <w:tc>
          <w:tcPr>
            <w:tcW w:type="dxa" w:w="1701"/>
            <w:shd w:val="clear" w:color="auto" w:fill="F8FAFC"/>
            <w:vAlign w:val="center"/>
          </w:tcPr>
          <w:p>
            <w:pPr>
              <w:jc w:val="center"/>
            </w:pPr>
            <w:r>
              <w:rPr>
                <w:rFonts w:ascii="Calibri" w:hAnsi="Calibri"/>
                <w:b w:val="0"/>
                <w:color w:val="78909C"/>
                <w:sz w:val="17"/>
              </w:rPr>
              <w:t>1–4 hours</w:t>
            </w:r>
          </w:p>
        </w:tc>
        <w:tc>
          <w:tcPr>
            <w:tcW w:type="dxa" w:w="1701"/>
            <w:shd w:val="clear" w:color="auto" w:fill="F8FAFC"/>
            <w:vAlign w:val="center"/>
          </w:tcPr>
          <w:p>
            <w:pPr>
              <w:jc w:val="center"/>
            </w:pPr>
            <w:r>
              <w:rPr>
                <w:rFonts w:ascii="Calibri" w:hAnsi="Calibri"/>
                <w:b w:val="0"/>
                <w:color w:val="78909C"/>
                <w:sz w:val="17"/>
              </w:rPr>
              <w:t>2–6 hours</w:t>
            </w:r>
          </w:p>
        </w:tc>
        <w:tc>
          <w:tcPr>
            <w:tcW w:type="dxa" w:w="1701"/>
            <w:shd w:val="clear" w:color="auto" w:fill="F8FAFC"/>
            <w:vAlign w:val="center"/>
          </w:tcPr>
          <w:p>
            <w:pPr>
              <w:jc w:val="center"/>
            </w:pPr>
            <w:r>
              <w:rPr>
                <w:rFonts w:ascii="Calibri" w:hAnsi="Calibri"/>
                <w:b w:val="0"/>
                <w:color w:val="78909C"/>
                <w:sz w:val="17"/>
              </w:rPr>
              <w:t>1–3 hours</w:t>
            </w:r>
          </w:p>
        </w:tc>
        <w:tc>
          <w:tcPr>
            <w:tcW w:type="dxa" w:w="1701"/>
            <w:shd w:val="clear" w:color="auto" w:fill="F8FAFC"/>
            <w:vAlign w:val="center"/>
          </w:tcPr>
          <w:p>
            <w:pPr>
              <w:jc w:val="center"/>
            </w:pPr>
            <w:r>
              <w:rPr>
                <w:rFonts w:ascii="Calibri" w:hAnsi="Calibri"/>
                <w:b w:val="0"/>
                <w:color w:val="78909C"/>
                <w:sz w:val="17"/>
              </w:rPr>
              <w:t>2–8 hours</w:t>
            </w:r>
          </w:p>
        </w:tc>
      </w:tr>
      <w:tr>
        <w:tc>
          <w:tcPr>
            <w:tcW w:type="dxa" w:w="2721"/>
            <w:shd w:val="clear" w:color="auto" w:fill="FFFFFF"/>
            <w:vAlign w:val="center"/>
          </w:tcPr>
          <w:p>
            <w:pPr>
              <w:jc w:val="left"/>
            </w:pPr>
            <w:r>
              <w:rPr>
                <w:rFonts w:ascii="Calibri" w:hAnsi="Calibri"/>
                <w:b w:val="0"/>
                <w:color w:val="37474F"/>
                <w:sz w:val="18"/>
              </w:rPr>
              <w:t>Ensemble UQ (P10/P50/P90)</w:t>
            </w:r>
          </w:p>
        </w:tc>
        <w:tc>
          <w:tcPr>
            <w:tcW w:type="dxa" w:w="2041"/>
            <w:shd w:val="clear" w:color="auto" w:fill="EBF5FB"/>
            <w:vAlign w:val="center"/>
          </w:tcPr>
          <w:p>
            <w:pPr>
              <w:jc w:val="center"/>
            </w:pPr>
            <w:r>
              <w:rPr>
                <w:rFonts w:ascii="Calibri" w:hAnsi="Calibri"/>
                <w:b/>
                <w:color w:val="1565C0"/>
                <w:sz w:val="17"/>
              </w:rPr>
              <w:t>200 members, ~1hr</w:t>
            </w:r>
          </w:p>
        </w:tc>
        <w:tc>
          <w:tcPr>
            <w:tcW w:type="dxa" w:w="1701"/>
            <w:shd w:val="clear" w:color="auto" w:fill="FFFFFF"/>
            <w:vAlign w:val="center"/>
          </w:tcPr>
          <w:p>
            <w:pPr>
              <w:jc w:val="center"/>
            </w:pPr>
            <w:r>
              <w:rPr>
                <w:rFonts w:ascii="Calibri" w:hAnsi="Calibri"/>
                <w:b w:val="0"/>
                <w:color w:val="78909C"/>
                <w:sz w:val="17"/>
              </w:rPr>
              <w:t>Manual / expensive</w:t>
            </w:r>
          </w:p>
        </w:tc>
        <w:tc>
          <w:tcPr>
            <w:tcW w:type="dxa" w:w="1701"/>
            <w:shd w:val="clear" w:color="auto" w:fill="FFFFFF"/>
            <w:vAlign w:val="center"/>
          </w:tcPr>
          <w:p>
            <w:pPr>
              <w:jc w:val="center"/>
            </w:pPr>
            <w:r>
              <w:rPr>
                <w:rFonts w:ascii="Calibri" w:hAnsi="Calibri"/>
                <w:b w:val="0"/>
                <w:color w:val="78909C"/>
                <w:sz w:val="17"/>
              </w:rPr>
              <w:t>Limited</w:t>
            </w:r>
          </w:p>
        </w:tc>
        <w:tc>
          <w:tcPr>
            <w:tcW w:type="dxa" w:w="1701"/>
            <w:shd w:val="clear" w:color="auto" w:fill="FFFFFF"/>
            <w:vAlign w:val="center"/>
          </w:tcPr>
          <w:p>
            <w:pPr>
              <w:jc w:val="center"/>
            </w:pPr>
            <w:r>
              <w:rPr>
                <w:rFonts w:ascii="Calibri" w:hAnsi="Calibri"/>
                <w:b w:val="0"/>
                <w:color w:val="78909C"/>
                <w:sz w:val="17"/>
              </w:rPr>
              <w:t>Add-on only</w:t>
            </w:r>
          </w:p>
        </w:tc>
        <w:tc>
          <w:tcPr>
            <w:tcW w:type="dxa" w:w="1701"/>
            <w:shd w:val="clear" w:color="auto" w:fill="FFFFFF"/>
            <w:vAlign w:val="center"/>
          </w:tcPr>
          <w:p>
            <w:pPr>
              <w:jc w:val="center"/>
            </w:pPr>
            <w:r>
              <w:rPr>
                <w:rFonts w:ascii="Calibri" w:hAnsi="Calibri"/>
                <w:b w:val="0"/>
                <w:color w:val="78909C"/>
                <w:sz w:val="17"/>
              </w:rPr>
              <w:t>Basic</w:t>
            </w:r>
          </w:p>
        </w:tc>
        <w:tc>
          <w:tcPr>
            <w:tcW w:type="dxa" w:w="1701"/>
            <w:shd w:val="clear" w:color="auto" w:fill="FFFFFF"/>
            <w:vAlign w:val="center"/>
          </w:tcPr>
          <w:p>
            <w:pPr>
              <w:jc w:val="center"/>
            </w:pPr>
            <w:r>
              <w:rPr>
                <w:rFonts w:ascii="Calibri" w:hAnsi="Calibri"/>
                <w:b w:val="0"/>
                <w:color w:val="78909C"/>
                <w:sz w:val="17"/>
              </w:rPr>
              <w:t>None</w:t>
            </w:r>
          </w:p>
        </w:tc>
      </w:tr>
      <w:tr>
        <w:tc>
          <w:tcPr>
            <w:tcW w:type="dxa" w:w="2721"/>
            <w:shd w:val="clear" w:color="auto" w:fill="F8FAFC"/>
            <w:vAlign w:val="center"/>
          </w:tcPr>
          <w:p>
            <w:pPr>
              <w:jc w:val="left"/>
            </w:pPr>
            <w:r>
              <w:rPr>
                <w:rFonts w:ascii="Calibri" w:hAnsi="Calibri"/>
                <w:b w:val="0"/>
                <w:color w:val="37474F"/>
                <w:sz w:val="18"/>
              </w:rPr>
              <w:t>Built-in AI assistant</w:t>
            </w:r>
          </w:p>
        </w:tc>
        <w:tc>
          <w:tcPr>
            <w:tcW w:type="dxa" w:w="2041"/>
            <w:shd w:val="clear" w:color="auto" w:fill="EBF5FB"/>
            <w:vAlign w:val="center"/>
          </w:tcPr>
          <w:p>
            <w:pPr>
              <w:jc w:val="center"/>
            </w:pPr>
            <w:r>
              <w:rPr>
                <w:rFonts w:ascii="Calibri" w:hAnsi="Calibri"/>
                <w:b/>
                <w:color w:val="1565C0"/>
                <w:sz w:val="17"/>
              </w:rPr>
              <w:t>Yes — local LLM</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r>
      <w:tr>
        <w:tc>
          <w:tcPr>
            <w:tcW w:type="dxa" w:w="2721"/>
            <w:shd w:val="clear" w:color="auto" w:fill="FFFFFF"/>
            <w:vAlign w:val="center"/>
          </w:tcPr>
          <w:p>
            <w:pPr>
              <w:jc w:val="left"/>
            </w:pPr>
            <w:r>
              <w:rPr>
                <w:rFonts w:ascii="Calibri" w:hAnsi="Calibri"/>
                <w:b w:val="0"/>
                <w:color w:val="37474F"/>
                <w:sz w:val="18"/>
              </w:rPr>
              <w:t>HPC infrastructure needed</w:t>
            </w:r>
          </w:p>
        </w:tc>
        <w:tc>
          <w:tcPr>
            <w:tcW w:type="dxa" w:w="2041"/>
            <w:shd w:val="clear" w:color="auto" w:fill="EBF5FB"/>
            <w:vAlign w:val="center"/>
          </w:tcPr>
          <w:p>
            <w:pPr>
              <w:jc w:val="center"/>
            </w:pPr>
            <w:r>
              <w:rPr>
                <w:rFonts w:ascii="Calibri" w:hAnsi="Calibri"/>
                <w:b/>
                <w:color w:val="1565C0"/>
                <w:sz w:val="17"/>
              </w:rPr>
              <w:t>Laptop GPU only</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Workstation</w:t>
            </w:r>
          </w:p>
        </w:tc>
        <w:tc>
          <w:tcPr>
            <w:tcW w:type="dxa" w:w="1701"/>
            <w:shd w:val="clear" w:color="auto" w:fill="FFFFFF"/>
            <w:vAlign w:val="center"/>
          </w:tcPr>
          <w:p>
            <w:pPr>
              <w:jc w:val="center"/>
            </w:pPr>
            <w:r>
              <w:rPr>
                <w:rFonts w:ascii="Calibri" w:hAnsi="Calibri"/>
                <w:b w:val="0"/>
                <w:color w:val="78909C"/>
                <w:sz w:val="17"/>
              </w:rPr>
              <w:t>HPC cluster</w:t>
            </w:r>
          </w:p>
        </w:tc>
      </w:tr>
      <w:tr>
        <w:tc>
          <w:tcPr>
            <w:tcW w:type="dxa" w:w="2721"/>
            <w:shd w:val="clear" w:color="auto" w:fill="F8FAFC"/>
            <w:vAlign w:val="center"/>
          </w:tcPr>
          <w:p>
            <w:pPr>
              <w:jc w:val="left"/>
            </w:pPr>
            <w:r>
              <w:rPr>
                <w:rFonts w:ascii="Calibri" w:hAnsi="Calibri"/>
                <w:b w:val="0"/>
                <w:color w:val="37474F"/>
                <w:sz w:val="18"/>
              </w:rPr>
              <w:t>Annual license cost</w:t>
            </w:r>
          </w:p>
        </w:tc>
        <w:tc>
          <w:tcPr>
            <w:tcW w:type="dxa" w:w="2041"/>
            <w:shd w:val="clear" w:color="auto" w:fill="EBF5FB"/>
            <w:vAlign w:val="center"/>
          </w:tcPr>
          <w:p>
            <w:pPr>
              <w:jc w:val="center"/>
            </w:pPr>
            <w:r>
              <w:rPr>
                <w:rFonts w:ascii="Calibri" w:hAnsi="Calibri"/>
                <w:b/>
                <w:color w:val="1565C0"/>
                <w:sz w:val="17"/>
              </w:rPr>
              <w:t>$15k – $50k</w:t>
            </w:r>
          </w:p>
        </w:tc>
        <w:tc>
          <w:tcPr>
            <w:tcW w:type="dxa" w:w="1701"/>
            <w:shd w:val="clear" w:color="auto" w:fill="F8FAFC"/>
            <w:vAlign w:val="center"/>
          </w:tcPr>
          <w:p>
            <w:pPr>
              <w:jc w:val="center"/>
            </w:pPr>
            <w:r>
              <w:rPr>
                <w:rFonts w:ascii="Calibri" w:hAnsi="Calibri"/>
                <w:b w:val="0"/>
                <w:color w:val="78909C"/>
                <w:sz w:val="17"/>
              </w:rPr>
              <w:t>$150k – $400k</w:t>
            </w:r>
          </w:p>
        </w:tc>
        <w:tc>
          <w:tcPr>
            <w:tcW w:type="dxa" w:w="1701"/>
            <w:shd w:val="clear" w:color="auto" w:fill="F8FAFC"/>
            <w:vAlign w:val="center"/>
          </w:tcPr>
          <w:p>
            <w:pPr>
              <w:jc w:val="center"/>
            </w:pPr>
            <w:r>
              <w:rPr>
                <w:rFonts w:ascii="Calibri" w:hAnsi="Calibri"/>
                <w:b w:val="0"/>
                <w:color w:val="78909C"/>
                <w:sz w:val="17"/>
              </w:rPr>
              <w:t>$50k – $200k</w:t>
            </w:r>
          </w:p>
        </w:tc>
        <w:tc>
          <w:tcPr>
            <w:tcW w:type="dxa" w:w="1701"/>
            <w:shd w:val="clear" w:color="auto" w:fill="F8FAFC"/>
            <w:vAlign w:val="center"/>
          </w:tcPr>
          <w:p>
            <w:pPr>
              <w:jc w:val="center"/>
            </w:pPr>
            <w:r>
              <w:rPr>
                <w:rFonts w:ascii="Calibri" w:hAnsi="Calibri"/>
                <w:b w:val="0"/>
                <w:color w:val="78909C"/>
                <w:sz w:val="17"/>
              </w:rPr>
              <w:t>$100k – $300k</w:t>
            </w:r>
          </w:p>
        </w:tc>
        <w:tc>
          <w:tcPr>
            <w:tcW w:type="dxa" w:w="1701"/>
            <w:shd w:val="clear" w:color="auto" w:fill="F8FAFC"/>
            <w:vAlign w:val="center"/>
          </w:tcPr>
          <w:p>
            <w:pPr>
              <w:jc w:val="center"/>
            </w:pPr>
            <w:r>
              <w:rPr>
                <w:rFonts w:ascii="Calibri" w:hAnsi="Calibri"/>
                <w:b w:val="0"/>
                <w:color w:val="78909C"/>
                <w:sz w:val="17"/>
              </w:rPr>
              <w:t>$80k – $200k</w:t>
            </w:r>
          </w:p>
        </w:tc>
        <w:tc>
          <w:tcPr>
            <w:tcW w:type="dxa" w:w="1701"/>
            <w:shd w:val="clear" w:color="auto" w:fill="F8FAFC"/>
            <w:vAlign w:val="center"/>
          </w:tcPr>
          <w:p>
            <w:pPr>
              <w:jc w:val="center"/>
            </w:pPr>
            <w:r>
              <w:rPr>
                <w:rFonts w:ascii="Calibri" w:hAnsi="Calibri"/>
                <w:b w:val="0"/>
                <w:color w:val="78909C"/>
                <w:sz w:val="17"/>
              </w:rPr>
              <w:t>Free</w:t>
            </w:r>
          </w:p>
        </w:tc>
      </w:tr>
      <w:tr>
        <w:tc>
          <w:tcPr>
            <w:tcW w:type="dxa" w:w="2721"/>
            <w:shd w:val="clear" w:color="auto" w:fill="FFFFFF"/>
            <w:vAlign w:val="center"/>
          </w:tcPr>
          <w:p>
            <w:pPr>
              <w:jc w:val="left"/>
            </w:pPr>
            <w:r>
              <w:rPr>
                <w:rFonts w:ascii="Calibri" w:hAnsi="Calibri"/>
                <w:b w:val="0"/>
                <w:color w:val="37474F"/>
                <w:sz w:val="18"/>
              </w:rPr>
              <w:t>Physics compliance</w:t>
            </w:r>
          </w:p>
        </w:tc>
        <w:tc>
          <w:tcPr>
            <w:tcW w:type="dxa" w:w="2041"/>
            <w:shd w:val="clear" w:color="auto" w:fill="EBF5FB"/>
            <w:vAlign w:val="center"/>
          </w:tcPr>
          <w:p>
            <w:pPr>
              <w:jc w:val="center"/>
            </w:pPr>
            <w:r>
              <w:rPr>
                <w:rFonts w:ascii="Calibri" w:hAnsi="Calibri"/>
                <w:b/>
                <w:color w:val="1565C0"/>
                <w:sz w:val="17"/>
              </w:rPr>
              <w:t>PDE loss enforced</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r>
      <w:tr>
        <w:tc>
          <w:tcPr>
            <w:tcW w:type="dxa" w:w="2721"/>
            <w:shd w:val="clear" w:color="auto" w:fill="F8FAFC"/>
            <w:vAlign w:val="center"/>
          </w:tcPr>
          <w:p>
            <w:pPr>
              <w:jc w:val="left"/>
            </w:pPr>
            <w:r>
              <w:rPr>
                <w:rFonts w:ascii="Calibri" w:hAnsi="Calibri"/>
                <w:b w:val="0"/>
                <w:color w:val="37474F"/>
                <w:sz w:val="18"/>
              </w:rPr>
              <w:t>Generative priors (VCAE/DDIM)</w:t>
            </w:r>
          </w:p>
        </w:tc>
        <w:tc>
          <w:tcPr>
            <w:tcW w:type="dxa" w:w="2041"/>
            <w:shd w:val="clear" w:color="auto" w:fill="EBF5FB"/>
            <w:vAlign w:val="center"/>
          </w:tcPr>
          <w:p>
            <w:pPr>
              <w:jc w:val="center"/>
            </w:pPr>
            <w:r>
              <w:rPr>
                <w:rFonts w:ascii="Calibri" w:hAnsi="Calibri"/>
                <w:b/>
                <w:color w:val="1565C0"/>
                <w:sz w:val="17"/>
              </w:rPr>
              <w:t>Yes</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r>
      <w:tr>
        <w:tc>
          <w:tcPr>
            <w:tcW w:type="dxa" w:w="2721"/>
            <w:shd w:val="clear" w:color="auto" w:fill="FFFFFF"/>
            <w:vAlign w:val="center"/>
          </w:tcPr>
          <w:p>
            <w:pPr>
              <w:jc w:val="left"/>
            </w:pPr>
            <w:r>
              <w:rPr>
                <w:rFonts w:ascii="Calibri" w:hAnsi="Calibri"/>
                <w:b w:val="0"/>
                <w:color w:val="37474F"/>
                <w:sz w:val="18"/>
              </w:rPr>
              <w:t>Eclipse format support</w:t>
            </w:r>
          </w:p>
        </w:tc>
        <w:tc>
          <w:tcPr>
            <w:tcW w:type="dxa" w:w="2041"/>
            <w:shd w:val="clear" w:color="auto" w:fill="EBF5FB"/>
            <w:vAlign w:val="center"/>
          </w:tcPr>
          <w:p>
            <w:pPr>
              <w:jc w:val="center"/>
            </w:pPr>
            <w:r>
              <w:rPr>
                <w:rFonts w:ascii="Calibri" w:hAnsi="Calibri"/>
                <w:b/>
                <w:color w:val="1565C0"/>
                <w:sz w:val="17"/>
              </w:rPr>
              <w:t>Native import</w:t>
            </w:r>
          </w:p>
        </w:tc>
        <w:tc>
          <w:tcPr>
            <w:tcW w:type="dxa" w:w="1701"/>
            <w:shd w:val="clear" w:color="auto" w:fill="FFFFFF"/>
            <w:vAlign w:val="center"/>
          </w:tcPr>
          <w:p>
            <w:pPr>
              <w:jc w:val="center"/>
            </w:pPr>
            <w:r>
              <w:rPr>
                <w:rFonts w:ascii="Calibri" w:hAnsi="Calibri"/>
                <w:b w:val="0"/>
                <w:color w:val="78909C"/>
                <w:sz w:val="17"/>
              </w:rPr>
              <w:t>Native</w:t>
            </w:r>
          </w:p>
        </w:tc>
        <w:tc>
          <w:tcPr>
            <w:tcW w:type="dxa" w:w="1701"/>
            <w:shd w:val="clear" w:color="auto" w:fill="FFFFFF"/>
            <w:vAlign w:val="center"/>
          </w:tcPr>
          <w:p>
            <w:pPr>
              <w:jc w:val="center"/>
            </w:pPr>
            <w:r>
              <w:rPr>
                <w:rFonts w:ascii="Calibri" w:hAnsi="Calibri"/>
                <w:b w:val="0"/>
                <w:color w:val="78909C"/>
                <w:sz w:val="17"/>
              </w:rPr>
              <w:t>Full</w:t>
            </w:r>
          </w:p>
        </w:tc>
        <w:tc>
          <w:tcPr>
            <w:tcW w:type="dxa" w:w="1701"/>
            <w:shd w:val="clear" w:color="auto" w:fill="FFFFFF"/>
            <w:vAlign w:val="center"/>
          </w:tcPr>
          <w:p>
            <w:pPr>
              <w:jc w:val="center"/>
            </w:pPr>
            <w:r>
              <w:rPr>
                <w:rFonts w:ascii="Calibri" w:hAnsi="Calibri"/>
                <w:b w:val="0"/>
                <w:color w:val="78909C"/>
                <w:sz w:val="17"/>
              </w:rPr>
              <w:t>Partial</w:t>
            </w:r>
          </w:p>
        </w:tc>
        <w:tc>
          <w:tcPr>
            <w:tcW w:type="dxa" w:w="1701"/>
            <w:shd w:val="clear" w:color="auto" w:fill="FFFFFF"/>
            <w:vAlign w:val="center"/>
          </w:tcPr>
          <w:p>
            <w:pPr>
              <w:jc w:val="center"/>
            </w:pPr>
            <w:r>
              <w:rPr>
                <w:rFonts w:ascii="Calibri" w:hAnsi="Calibri"/>
                <w:b w:val="0"/>
                <w:color w:val="78909C"/>
                <w:sz w:val="17"/>
              </w:rPr>
              <w:t>Partial</w:t>
            </w:r>
          </w:p>
        </w:tc>
        <w:tc>
          <w:tcPr>
            <w:tcW w:type="dxa" w:w="1701"/>
            <w:shd w:val="clear" w:color="auto" w:fill="FFFFFF"/>
            <w:vAlign w:val="center"/>
          </w:tcPr>
          <w:p>
            <w:pPr>
              <w:jc w:val="center"/>
            </w:pPr>
            <w:r>
              <w:rPr>
                <w:rFonts w:ascii="Calibri" w:hAnsi="Calibri"/>
                <w:b w:val="0"/>
                <w:color w:val="78909C"/>
                <w:sz w:val="17"/>
              </w:rPr>
              <w:t>Native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COMPETITIVE ADVANTAGES</w:t>
            </w:r>
          </w:p>
        </w:tc>
        <w:tc>
          <w:tcPr>
            <w:tcW w:type="dxa" w:w="5149"/>
            <w:shd w:val="clear" w:color="auto" w:fill="0A1628"/>
            <w:vAlign w:val="center"/>
          </w:tcPr>
          <w:p>
            <w:pPr>
              <w:jc w:val="right"/>
            </w:pPr>
            <w:r>
              <w:rPr>
                <w:rFonts w:ascii="Calibri" w:hAnsi="Calibri"/>
                <w:color w:val="78909C"/>
                <w:sz w:val="16"/>
              </w:rPr>
              <w:t>7 / 16</w:t>
            </w:r>
          </w:p>
        </w:tc>
      </w:tr>
    </w:tbl>
    <w:p>
      <w:pPr>
        <w:spacing w:after="120"/>
      </w:pPr>
    </w:p>
    <w:p>
      <w:pPr>
        <w:spacing w:before="0" w:after="80"/>
        <w:jc w:val="left"/>
      </w:pPr>
      <w:r>
        <w:rPr>
          <w:rFonts w:ascii="Calibri" w:hAnsi="Calibri"/>
          <w:b/>
          <w:color w:val="0A1628"/>
          <w:sz w:val="56"/>
        </w:rPr>
        <w:t>Four Moats That Are Hard to Copy</w:t>
      </w:r>
    </w:p>
    <w:p>
      <w:pPr>
        <w:spacing w:before="0" w:after="160"/>
        <w:jc w:val="left"/>
      </w:pPr>
      <w:r>
        <w:rPr>
          <w:rFonts w:ascii="Calibri" w:hAnsi="Calibri"/>
          <w:b w:val="0"/>
          <w:i/>
          <w:color w:val="37474F"/>
          <w:sz w:val="22"/>
        </w:rPr>
        <w:t>Incumbents cannot easily retrofit AI into 40-year-old finite-volume codebases.</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EBF5FB"/>
            <w:vAlign w:val="top"/>
          </w:tcPr>
          <w:p/>
          <w:p>
            <w:pPr>
              <w:spacing w:before="160" w:after="120"/>
            </w:pPr>
            <w:r>
              <w:rPr>
                <w:rFonts w:ascii="Calibri" w:hAnsi="Calibri"/>
                <w:b/>
                <w:color w:val="1565C0"/>
                <w:sz w:val="20"/>
              </w:rPr>
              <w:t>⚡  6,000× Speed Moat — Physics-Informed Architecture</w:t>
            </w:r>
          </w:p>
          <w:p>
            <w:pPr>
              <w:spacing w:after="160"/>
            </w:pPr>
            <w:r>
              <w:rPr>
                <w:rFonts w:ascii="Calibri" w:hAnsi="Calibri"/>
                <w:color w:val="37474F"/>
                <w:sz w:val="19"/>
              </w:rPr>
              <w:t>The PINO surrogate is not a black box — it is trained with Darcy PDE residuals as a loss term. This is fundamentally different from ML curve-fitting. Incumbent vendors cannot add this to their FVM solvers without a ground-up rewrite. Our speed advantage compounds: faster runs → more ensemble members → better UQ → better decisions → more operator value.</w:t>
            </w:r>
          </w:p>
        </w:tc>
        <w:tc>
          <w:tcPr>
            <w:tcW w:type="dxa" w:w="8411"/>
            <w:shd w:val="clear" w:color="auto" w:fill="F0FFF4"/>
            <w:vAlign w:val="top"/>
          </w:tcPr>
          <w:p/>
          <w:p>
            <w:pPr>
              <w:spacing w:before="160" w:after="120"/>
            </w:pPr>
            <w:r>
              <w:rPr>
                <w:rFonts w:ascii="Calibri" w:hAnsi="Calibri"/>
                <w:b/>
                <w:color w:val="00C853"/>
                <w:sz w:val="20"/>
              </w:rPr>
              <w:t>📦  Data Moat — Growing Training Library</w:t>
            </w:r>
          </w:p>
          <w:p>
            <w:pPr>
              <w:spacing w:after="160"/>
            </w:pPr>
            <w:r>
              <w:rPr>
                <w:rFonts w:ascii="Calibri" w:hAnsi="Calibri"/>
                <w:color w:val="37474F"/>
                <w:sz w:val="19"/>
              </w:rPr>
              <w:t>Every new field a customer brings generates additional OPM FLOW training data. Over time, PhysicsFlow builds a proprietary library of pre-trained surrogates for common geological settings — reducing training time from 5 hours to minutes via transfer learning. This flywheel is impossible for new entrants to replicate quickly.</w:t>
            </w:r>
          </w:p>
        </w:tc>
      </w:tr>
      <w:tr>
        <w:tc>
          <w:tcPr>
            <w:tcW w:type="dxa" w:w="8411"/>
            <w:shd w:val="clear" w:color="auto" w:fill="FFFBF0"/>
            <w:vAlign w:val="top"/>
          </w:tcPr>
          <w:p/>
          <w:p>
            <w:pPr>
              <w:spacing w:before="160" w:after="120"/>
            </w:pPr>
            <w:r>
              <w:rPr>
                <w:rFonts w:ascii="Calibri" w:hAnsi="Calibri"/>
                <w:b/>
                <w:color w:val="FF8F00"/>
                <w:sz w:val="20"/>
              </w:rPr>
              <w:t>🤖  AI Assistant Moat — Embedded Knowledge</w:t>
            </w:r>
          </w:p>
          <w:p>
            <w:pPr>
              <w:spacing w:after="160"/>
            </w:pPr>
            <w:r>
              <w:rPr>
                <w:rFonts w:ascii="Calibri" w:hAnsi="Calibri"/>
                <w:color w:val="37474F"/>
                <w:sz w:val="19"/>
              </w:rPr>
              <w:t>No existing reservoir simulation tool has a natural-language interface grounded in live simulation data. Engineers who learn to ask questions in plain English will not want to go back to writing scripts and digging through spreadsheets. The AI assistant becomes a productivity multiplier that creates deep product stickiness and reduces support burden.</w:t>
            </w:r>
          </w:p>
        </w:tc>
        <w:tc>
          <w:tcPr>
            <w:tcW w:type="dxa" w:w="8411"/>
            <w:shd w:val="clear" w:color="auto" w:fill="FFF8F8"/>
            <w:vAlign w:val="top"/>
          </w:tcPr>
          <w:p/>
          <w:p>
            <w:pPr>
              <w:spacing w:before="160" w:after="120"/>
            </w:pPr>
            <w:r>
              <w:rPr>
                <w:rFonts w:ascii="Calibri" w:hAnsi="Calibri"/>
                <w:b/>
                <w:color w:val="E53935"/>
                <w:sz w:val="20"/>
              </w:rPr>
              <w:t>💰  Economics Moat — 10× Cost Advantage</w:t>
            </w:r>
          </w:p>
          <w:p>
            <w:pPr>
              <w:spacing w:after="160"/>
            </w:pPr>
            <w:r>
              <w:rPr>
                <w:rFonts w:ascii="Calibri" w:hAnsi="Calibri"/>
                <w:color w:val="37474F"/>
                <w:sz w:val="19"/>
              </w:rPr>
              <w:t>At $15,000/year Professional tier vs $150,000+ for Eclipse, PhysicsFlow opens the market to 10× more operators — particularly independents and NOCs in developing markets. Once a customer builds their workflow around PhysicsFlow, switching costs are high (trained models, project files, learned workflows). Low entry price drives high retention.</w:t>
            </w:r>
          </w:p>
        </w:tc>
      </w:tr>
    </w:tbl>
    <w:p>
      <w:pPr>
        <w:spacing w:after="120"/>
      </w:pPr>
    </w:p>
    <w:p>
      <w:pPr>
        <w:spacing w:before="0" w:after="0"/>
        <w:jc w:val="left"/>
      </w:pPr>
      <w:r>
        <w:rPr>
          <w:rFonts w:ascii="Calibri" w:hAnsi="Calibri"/>
          <w:b w:val="0"/>
          <w:i/>
          <w:color w:val="1565C0"/>
          <w:sz w:val="19"/>
        </w:rPr>
        <w:t>Scientific foundation: Built on peer-reviewed NVIDIA research (arXiv:2406.00889, 2024), validated on the real Norne Field benchmark — a publicly available Norwegian North Sea dataset. This is not vaporware. The physics and algorithms are published, peer-reviewed, and reproducible.</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TARGET CUSTOMERS</w:t>
            </w:r>
          </w:p>
        </w:tc>
        <w:tc>
          <w:tcPr>
            <w:tcW w:type="dxa" w:w="5149"/>
            <w:shd w:val="clear" w:color="auto" w:fill="0A1628"/>
            <w:vAlign w:val="center"/>
          </w:tcPr>
          <w:p>
            <w:pPr>
              <w:jc w:val="right"/>
            </w:pPr>
            <w:r>
              <w:rPr>
                <w:rFonts w:ascii="Calibri" w:hAnsi="Calibri"/>
                <w:color w:val="78909C"/>
                <w:sz w:val="16"/>
              </w:rPr>
              <w:t>8 / 16</w:t>
            </w:r>
          </w:p>
        </w:tc>
      </w:tr>
    </w:tbl>
    <w:p>
      <w:pPr>
        <w:spacing w:after="120"/>
      </w:pPr>
    </w:p>
    <w:p>
      <w:pPr>
        <w:spacing w:before="0" w:after="80"/>
        <w:jc w:val="left"/>
      </w:pPr>
      <w:r>
        <w:rPr>
          <w:rFonts w:ascii="Calibri" w:hAnsi="Calibri"/>
          <w:b/>
          <w:color w:val="0A1628"/>
          <w:sz w:val="56"/>
        </w:rPr>
        <w:t>Three High-Value Segments</w:t>
      </w:r>
    </w:p>
    <w:p>
      <w:pPr>
        <w:spacing w:before="0" w:after="160"/>
        <w:jc w:val="left"/>
      </w:pPr>
      <w:r>
        <w:rPr>
          <w:rFonts w:ascii="Calibri" w:hAnsi="Calibri"/>
          <w:b w:val="0"/>
          <w:i/>
          <w:color w:val="37474F"/>
          <w:sz w:val="22"/>
        </w:rPr>
        <w:t>Prioritised by ease of sale, willingness to pay, and strategic value.</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EBF5FB"/>
            <w:vAlign w:val="top"/>
          </w:tcPr>
          <w:p/>
          <w:p>
            <w:pPr>
              <w:spacing w:before="120"/>
            </w:pPr>
            <w:r>
              <w:rPr>
                <w:rFonts w:ascii="Calibri" w:hAnsi="Calibri"/>
                <w:b/>
                <w:color w:val="1565C0"/>
                <w:sz w:val="16"/>
              </w:rPr>
              <w:t>Priority 1 — Immediate</w:t>
              <w:br/>
            </w:r>
          </w:p>
          <w:p>
            <w:pPr>
              <w:spacing w:after="120"/>
            </w:pPr>
            <w:r>
              <w:rPr>
                <w:rFonts w:ascii="Calibri" w:hAnsi="Calibri"/>
                <w:b/>
                <w:color w:val="0A1628"/>
                <w:sz w:val="24"/>
              </w:rPr>
              <w:t>🏭  Independent Operators</w:t>
              <w:br/>
              <w:t>&amp; E&amp;P Consultancies</w:t>
            </w:r>
          </w:p>
          <w:p>
            <w:pPr>
              <w:spacing w:after="160"/>
            </w:pPr>
            <w:r>
              <w:rPr>
                <w:rFonts w:ascii="Calibri" w:hAnsi="Calibri"/>
                <w:color w:val="37474F"/>
                <w:sz w:val="19"/>
              </w:rPr>
              <w:t>Companies producing 1,000–50,000 BOE/day. Cannot afford $200,000+ Eclipse licenses or HPC infrastructure. PhysicsFlow gives them enterprise-grade history matching at 10% of the cost.</w:t>
            </w:r>
          </w:p>
          <w:p>
            <w:pPr>
              <w:spacing w:before="40" w:after="40"/>
            </w:pPr>
            <w:r>
              <w:rPr>
                <w:rFonts w:ascii="Calibri" w:hAnsi="Calibri"/>
                <w:color w:val="1565C0"/>
                <w:sz w:val="18"/>
              </w:rPr>
              <w:t>◆  ~3,500 companies globally</w:t>
            </w:r>
          </w:p>
          <w:p>
            <w:pPr>
              <w:spacing w:before="40" w:after="40"/>
            </w:pPr>
            <w:r>
              <w:rPr>
                <w:rFonts w:ascii="Calibri" w:hAnsi="Calibri"/>
                <w:color w:val="1565C0"/>
                <w:sz w:val="18"/>
              </w:rPr>
              <w:t>◆  Average deal: $15,000–$25,000/yr</w:t>
            </w:r>
          </w:p>
          <w:p>
            <w:pPr>
              <w:spacing w:before="40" w:after="40"/>
            </w:pPr>
            <w:r>
              <w:rPr>
                <w:rFonts w:ascii="Calibri" w:hAnsi="Calibri"/>
                <w:color w:val="1565C0"/>
                <w:sz w:val="18"/>
              </w:rPr>
              <w:t>◆  Sales cycle: 1–3 months</w:t>
            </w:r>
          </w:p>
          <w:p>
            <w:pPr>
              <w:spacing w:before="40" w:after="40"/>
            </w:pPr>
            <w:r>
              <w:rPr>
                <w:rFonts w:ascii="Calibri" w:hAnsi="Calibri"/>
                <w:color w:val="1565C0"/>
                <w:sz w:val="18"/>
              </w:rPr>
              <w:t>◆  Key pain: cost + speed</w:t>
            </w:r>
          </w:p>
        </w:tc>
        <w:tc>
          <w:tcPr>
            <w:tcW w:type="dxa" w:w="5607"/>
            <w:shd w:val="clear" w:color="auto" w:fill="F0FFF4"/>
            <w:vAlign w:val="top"/>
          </w:tcPr>
          <w:p/>
          <w:p>
            <w:pPr>
              <w:spacing w:before="120"/>
            </w:pPr>
            <w:r>
              <w:rPr>
                <w:rFonts w:ascii="Calibri" w:hAnsi="Calibri"/>
                <w:b/>
                <w:color w:val="00C853"/>
                <w:sz w:val="16"/>
              </w:rPr>
              <w:t>Priority 2 — 12–18 months</w:t>
              <w:br/>
            </w:r>
          </w:p>
          <w:p>
            <w:pPr>
              <w:spacing w:after="120"/>
            </w:pPr>
            <w:r>
              <w:rPr>
                <w:rFonts w:ascii="Calibri" w:hAnsi="Calibri"/>
                <w:b/>
                <w:color w:val="0A1628"/>
                <w:sz w:val="24"/>
              </w:rPr>
              <w:t>🏛️  National Oil Companies</w:t>
              <w:br/>
              <w:t>(NOCs)</w:t>
            </w:r>
          </w:p>
          <w:p>
            <w:pPr>
              <w:spacing w:after="160"/>
            </w:pPr>
            <w:r>
              <w:rPr>
                <w:rFonts w:ascii="Calibri" w:hAnsi="Calibri"/>
                <w:color w:val="37474F"/>
                <w:sz w:val="19"/>
              </w:rPr>
              <w:t>ADNOC, Petronas, ONGC, ENAP, Pertamina — all under mandate to digitise and apply AI. PhysicsFlow's speed and AI assistant align perfectly with their digital transformation programmes.</w:t>
            </w:r>
          </w:p>
          <w:p>
            <w:pPr>
              <w:spacing w:before="40" w:after="40"/>
            </w:pPr>
            <w:r>
              <w:rPr>
                <w:rFonts w:ascii="Calibri" w:hAnsi="Calibri"/>
                <w:color w:val="00C853"/>
                <w:sz w:val="18"/>
              </w:rPr>
              <w:t>◆  ~60 major NOCs worldwide</w:t>
            </w:r>
          </w:p>
          <w:p>
            <w:pPr>
              <w:spacing w:before="40" w:after="40"/>
            </w:pPr>
            <w:r>
              <w:rPr>
                <w:rFonts w:ascii="Calibri" w:hAnsi="Calibri"/>
                <w:color w:val="00C853"/>
                <w:sz w:val="18"/>
              </w:rPr>
              <w:t>◆  Average deal: $100k–$500k/yr</w:t>
            </w:r>
          </w:p>
          <w:p>
            <w:pPr>
              <w:spacing w:before="40" w:after="40"/>
            </w:pPr>
            <w:r>
              <w:rPr>
                <w:rFonts w:ascii="Calibri" w:hAnsi="Calibri"/>
                <w:color w:val="00C853"/>
                <w:sz w:val="18"/>
              </w:rPr>
              <w:t>◆  Sales cycle: 6–18 months</w:t>
            </w:r>
          </w:p>
          <w:p>
            <w:pPr>
              <w:spacing w:before="40" w:after="40"/>
            </w:pPr>
            <w:r>
              <w:rPr>
                <w:rFonts w:ascii="Calibri" w:hAnsi="Calibri"/>
                <w:color w:val="00C853"/>
                <w:sz w:val="18"/>
              </w:rPr>
              <w:t>◆  Key pain: UQ + AI adoption</w:t>
            </w:r>
          </w:p>
        </w:tc>
        <w:tc>
          <w:tcPr>
            <w:tcW w:type="dxa" w:w="5607"/>
            <w:shd w:val="clear" w:color="auto" w:fill="FFFBF0"/>
            <w:vAlign w:val="top"/>
          </w:tcPr>
          <w:p/>
          <w:p>
            <w:pPr>
              <w:spacing w:before="120"/>
            </w:pPr>
            <w:r>
              <w:rPr>
                <w:rFonts w:ascii="Calibri" w:hAnsi="Calibri"/>
                <w:b/>
                <w:color w:val="FF8F00"/>
                <w:sz w:val="16"/>
              </w:rPr>
              <w:t>Priority 3 — 18–36 months</w:t>
              <w:br/>
            </w:r>
          </w:p>
          <w:p>
            <w:pPr>
              <w:spacing w:after="120"/>
            </w:pPr>
            <w:r>
              <w:rPr>
                <w:rFonts w:ascii="Calibri" w:hAnsi="Calibri"/>
                <w:b/>
                <w:color w:val="0A1628"/>
                <w:sz w:val="24"/>
              </w:rPr>
              <w:t>🔬  Service Companies</w:t>
              <w:br/>
              <w:t>&amp; Engineering Consultants</w:t>
            </w:r>
          </w:p>
          <w:p>
            <w:pPr>
              <w:spacing w:after="160"/>
            </w:pPr>
            <w:r>
              <w:rPr>
                <w:rFonts w:ascii="Calibri" w:hAnsi="Calibri"/>
                <w:color w:val="37474F"/>
                <w:sz w:val="19"/>
              </w:rPr>
              <w:t>Halliburton, Baker Hughes, Gaffney Cline, Ryder Scott — firms that run HM studies for clients. 10× throughput increase means more projects, same staff, dramatically higher margins.</w:t>
            </w:r>
          </w:p>
          <w:p>
            <w:pPr>
              <w:spacing w:before="40" w:after="40"/>
            </w:pPr>
            <w:r>
              <w:rPr>
                <w:rFonts w:ascii="Calibri" w:hAnsi="Calibri"/>
                <w:color w:val="FF8F00"/>
                <w:sz w:val="18"/>
              </w:rPr>
              <w:t>◆  ~800 firms globally</w:t>
            </w:r>
          </w:p>
          <w:p>
            <w:pPr>
              <w:spacing w:before="40" w:after="40"/>
            </w:pPr>
            <w:r>
              <w:rPr>
                <w:rFonts w:ascii="Calibri" w:hAnsi="Calibri"/>
                <w:color w:val="FF8F00"/>
                <w:sz w:val="18"/>
              </w:rPr>
              <w:t>◆  Average deal: $50k–$200k/yr</w:t>
            </w:r>
          </w:p>
          <w:p>
            <w:pPr>
              <w:spacing w:before="40" w:after="40"/>
            </w:pPr>
            <w:r>
              <w:rPr>
                <w:rFonts w:ascii="Calibri" w:hAnsi="Calibri"/>
                <w:color w:val="FF8F00"/>
                <w:sz w:val="18"/>
              </w:rPr>
              <w:t>◆  Sales cycle: 3–9 months</w:t>
            </w:r>
          </w:p>
          <w:p>
            <w:pPr>
              <w:spacing w:before="40" w:after="40"/>
            </w:pPr>
            <w:r>
              <w:rPr>
                <w:rFonts w:ascii="Calibri" w:hAnsi="Calibri"/>
                <w:color w:val="FF8F00"/>
                <w:sz w:val="18"/>
              </w:rPr>
              <w:t>◆  OEM/white-label opportunity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BUSINESS MODEL</w:t>
            </w:r>
          </w:p>
        </w:tc>
        <w:tc>
          <w:tcPr>
            <w:tcW w:type="dxa" w:w="5149"/>
            <w:shd w:val="clear" w:color="auto" w:fill="0A1628"/>
            <w:vAlign w:val="center"/>
          </w:tcPr>
          <w:p>
            <w:pPr>
              <w:jc w:val="right"/>
            </w:pPr>
            <w:r>
              <w:rPr>
                <w:rFonts w:ascii="Calibri" w:hAnsi="Calibri"/>
                <w:color w:val="78909C"/>
                <w:sz w:val="16"/>
              </w:rPr>
              <w:t>9 / 16</w:t>
            </w:r>
          </w:p>
        </w:tc>
      </w:tr>
    </w:tbl>
    <w:p>
      <w:pPr>
        <w:spacing w:after="120"/>
      </w:pPr>
    </w:p>
    <w:p>
      <w:pPr>
        <w:spacing w:before="0" w:after="80"/>
        <w:jc w:val="left"/>
      </w:pPr>
      <w:r>
        <w:rPr>
          <w:rFonts w:ascii="Calibri" w:hAnsi="Calibri"/>
          <w:b/>
          <w:color w:val="0A1628"/>
          <w:sz w:val="56"/>
        </w:rPr>
        <w:t>SaaS + Perpetual · Multiple Revenue Streams</w:t>
      </w:r>
    </w:p>
    <w:p>
      <w:pPr>
        <w:spacing w:before="0" w:after="160"/>
        <w:jc w:val="left"/>
      </w:pPr>
      <w:r>
        <w:rPr>
          <w:rFonts w:ascii="Calibri" w:hAnsi="Calibri"/>
          <w:b w:val="0"/>
          <w:i/>
          <w:color w:val="37474F"/>
          <w:sz w:val="22"/>
        </w:rPr>
        <w:t>Annual subscription below competitors with high expansion revenue from cloud compute and professional services.</w:t>
      </w: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177"/>
            <w:shd w:val="clear" w:color="auto" w:fill="D6EAF8"/>
          </w:tcPr>
          <w:p>
            <w:pPr>
              <w:spacing w:before="40" w:after="40"/>
              <w:jc w:val="center"/>
            </w:pPr>
            <w:r>
              <w:rPr>
                <w:rFonts w:ascii="Calibri" w:hAnsi="Calibri"/>
                <w:b/>
                <w:i w:val="0"/>
                <w:color w:val="78909C"/>
                <w:sz w:val="18"/>
              </w:rPr>
              <w:t>COMMUNITY</w:t>
            </w:r>
          </w:p>
        </w:tc>
        <w:tc>
          <w:tcPr>
            <w:tcW w:type="dxa" w:w="4177"/>
            <w:shd w:val="clear" w:color="auto" w:fill="D5F5E3"/>
          </w:tcPr>
          <w:p>
            <w:pPr>
              <w:spacing w:before="40" w:after="40"/>
              <w:jc w:val="center"/>
            </w:pPr>
            <w:r>
              <w:rPr>
                <w:rFonts w:ascii="Calibri" w:hAnsi="Calibri"/>
                <w:b/>
                <w:i w:val="0"/>
                <w:color w:val="00C853"/>
                <w:sz w:val="18"/>
              </w:rPr>
              <w:t>PROFESSIONAL  ★</w:t>
            </w:r>
          </w:p>
        </w:tc>
        <w:tc>
          <w:tcPr>
            <w:tcW w:type="dxa" w:w="4177"/>
            <w:shd w:val="clear" w:color="auto" w:fill="D6EAF8"/>
          </w:tcPr>
          <w:p>
            <w:pPr>
              <w:spacing w:before="40" w:after="40"/>
              <w:jc w:val="center"/>
            </w:pPr>
            <w:r>
              <w:rPr>
                <w:rFonts w:ascii="Calibri" w:hAnsi="Calibri"/>
                <w:b/>
                <w:i w:val="0"/>
                <w:color w:val="1565C0"/>
                <w:sz w:val="18"/>
              </w:rPr>
              <w:t>ENTERPRISE</w:t>
            </w:r>
          </w:p>
        </w:tc>
        <w:tc>
          <w:tcPr>
            <w:tcW w:type="dxa" w:w="4177"/>
            <w:shd w:val="clear" w:color="auto" w:fill="FFF9E6"/>
          </w:tcPr>
          <w:p>
            <w:pPr>
              <w:spacing w:before="40" w:after="40"/>
              <w:jc w:val="center"/>
            </w:pPr>
            <w:r>
              <w:rPr>
                <w:rFonts w:ascii="Calibri" w:hAnsi="Calibri"/>
                <w:b/>
                <w:i w:val="0"/>
                <w:color w:val="FF8F00"/>
                <w:sz w:val="18"/>
              </w:rPr>
              <w:t>CLOUD / PAY-PER-USE</w:t>
            </w:r>
          </w:p>
        </w:tc>
      </w:tr>
      <w:tr>
        <w:tc>
          <w:tcPr>
            <w:tcW w:type="dxa" w:w="4177"/>
            <w:shd w:val="clear" w:color="auto" w:fill="D6EAF8"/>
          </w:tcPr>
          <w:p>
            <w:pPr>
              <w:spacing w:before="40" w:after="40"/>
              <w:jc w:val="center"/>
            </w:pPr>
            <w:r>
              <w:rPr>
                <w:rFonts w:ascii="Calibri" w:hAnsi="Calibri"/>
                <w:b/>
                <w:i w:val="0"/>
                <w:color w:val="0A1628"/>
                <w:sz w:val="48"/>
              </w:rPr>
              <w:t>Free</w:t>
            </w:r>
          </w:p>
        </w:tc>
        <w:tc>
          <w:tcPr>
            <w:tcW w:type="dxa" w:w="4177"/>
            <w:shd w:val="clear" w:color="auto" w:fill="D5F5E3"/>
          </w:tcPr>
          <w:p>
            <w:pPr>
              <w:spacing w:before="40" w:after="40"/>
              <w:jc w:val="center"/>
            </w:pPr>
            <w:r>
              <w:rPr>
                <w:rFonts w:ascii="Calibri" w:hAnsi="Calibri"/>
                <w:b/>
                <w:i w:val="0"/>
                <w:color w:val="0A1628"/>
                <w:sz w:val="48"/>
              </w:rPr>
              <w:t>$15,000</w:t>
            </w:r>
          </w:p>
        </w:tc>
        <w:tc>
          <w:tcPr>
            <w:tcW w:type="dxa" w:w="4177"/>
            <w:shd w:val="clear" w:color="auto" w:fill="D6EAF8"/>
          </w:tcPr>
          <w:p>
            <w:pPr>
              <w:spacing w:before="40" w:after="40"/>
              <w:jc w:val="center"/>
            </w:pPr>
            <w:r>
              <w:rPr>
                <w:rFonts w:ascii="Calibri" w:hAnsi="Calibri"/>
                <w:b/>
                <w:i w:val="0"/>
                <w:color w:val="0A1628"/>
                <w:sz w:val="48"/>
              </w:rPr>
              <w:t>$50,000</w:t>
            </w:r>
          </w:p>
        </w:tc>
        <w:tc>
          <w:tcPr>
            <w:tcW w:type="dxa" w:w="4177"/>
            <w:shd w:val="clear" w:color="auto" w:fill="FFF9E6"/>
          </w:tcPr>
          <w:p>
            <w:pPr>
              <w:spacing w:before="40" w:after="40"/>
              <w:jc w:val="center"/>
            </w:pPr>
            <w:r>
              <w:rPr>
                <w:rFonts w:ascii="Calibri" w:hAnsi="Calibri"/>
                <w:b/>
                <w:i w:val="0"/>
                <w:color w:val="0A1628"/>
                <w:sz w:val="48"/>
              </w:rPr>
              <w:t>$5 – $20</w:t>
            </w:r>
          </w:p>
        </w:tc>
      </w:tr>
      <w:tr>
        <w:tc>
          <w:tcPr>
            <w:tcW w:type="dxa" w:w="4177"/>
            <w:shd w:val="clear" w:color="auto" w:fill="D6EAF8"/>
          </w:tcPr>
          <w:p>
            <w:pPr>
              <w:spacing w:before="40" w:after="40"/>
              <w:jc w:val="center"/>
            </w:pPr>
            <w:r>
              <w:rPr>
                <w:rFonts w:ascii="Calibri" w:hAnsi="Calibri"/>
                <w:b w:val="0"/>
                <w:i w:val="0"/>
                <w:color w:val="78909C"/>
                <w:sz w:val="16"/>
              </w:rPr>
              <w:t>forever</w:t>
            </w:r>
          </w:p>
        </w:tc>
        <w:tc>
          <w:tcPr>
            <w:tcW w:type="dxa" w:w="4177"/>
            <w:shd w:val="clear" w:color="auto" w:fill="D5F5E3"/>
          </w:tcPr>
          <w:p>
            <w:pPr>
              <w:spacing w:before="40" w:after="40"/>
              <w:jc w:val="center"/>
            </w:pPr>
            <w:r>
              <w:rPr>
                <w:rFonts w:ascii="Calibri" w:hAnsi="Calibri"/>
                <w:b w:val="0"/>
                <w:i w:val="0"/>
                <w:color w:val="78909C"/>
                <w:sz w:val="16"/>
              </w:rPr>
              <w:t>per year · 1 seat</w:t>
            </w:r>
          </w:p>
        </w:tc>
        <w:tc>
          <w:tcPr>
            <w:tcW w:type="dxa" w:w="4177"/>
            <w:shd w:val="clear" w:color="auto" w:fill="D6EAF8"/>
          </w:tcPr>
          <w:p>
            <w:pPr>
              <w:spacing w:before="40" w:after="40"/>
              <w:jc w:val="center"/>
            </w:pPr>
            <w:r>
              <w:rPr>
                <w:rFonts w:ascii="Calibri" w:hAnsi="Calibri"/>
                <w:b w:val="0"/>
                <w:i w:val="0"/>
                <w:color w:val="78909C"/>
                <w:sz w:val="16"/>
              </w:rPr>
              <w:t>per year · 5 seats</w:t>
            </w:r>
          </w:p>
        </w:tc>
        <w:tc>
          <w:tcPr>
            <w:tcW w:type="dxa" w:w="4177"/>
            <w:shd w:val="clear" w:color="auto" w:fill="FFF9E6"/>
          </w:tcPr>
          <w:p>
            <w:pPr>
              <w:spacing w:before="40" w:after="40"/>
              <w:jc w:val="center"/>
            </w:pPr>
            <w:r>
              <w:rPr>
                <w:rFonts w:ascii="Calibri" w:hAnsi="Calibri"/>
                <w:b w:val="0"/>
                <w:i w:val="0"/>
                <w:color w:val="78909C"/>
                <w:sz w:val="16"/>
              </w:rPr>
              <w:t>per simulation run</w:t>
            </w:r>
          </w:p>
        </w:tc>
      </w:tr>
      <w:tr>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1 field / project</w:t>
            </w:r>
          </w:p>
          <w:p>
            <w:pPr>
              <w:spacing w:before="40" w:after="40"/>
            </w:pPr>
            <w:r>
              <w:rPr>
                <w:rFonts w:ascii="Calibri" w:hAnsi="Calibri"/>
                <w:color w:val="37474F"/>
                <w:sz w:val="17"/>
              </w:rPr>
              <w:t>✓  50 ensemble members</w:t>
            </w:r>
          </w:p>
          <w:p>
            <w:pPr>
              <w:spacing w:before="40" w:after="40"/>
            </w:pPr>
            <w:r>
              <w:rPr>
                <w:rFonts w:ascii="Calibri" w:hAnsi="Calibri"/>
                <w:color w:val="37474F"/>
                <w:sz w:val="17"/>
              </w:rPr>
              <w:t>✓  Basic PINO (FNO mode)</w:t>
            </w:r>
          </w:p>
          <w:p>
            <w:pPr>
              <w:spacing w:before="40" w:after="40"/>
            </w:pPr>
            <w:r>
              <w:rPr>
                <w:rFonts w:ascii="Calibri" w:hAnsi="Calibri"/>
                <w:color w:val="37474F"/>
                <w:sz w:val="17"/>
              </w:rPr>
              <w:t>✓  No CCR well model</w:t>
            </w:r>
          </w:p>
          <w:p>
            <w:pPr>
              <w:spacing w:before="40" w:after="40"/>
            </w:pPr>
            <w:r>
              <w:rPr>
                <w:rFonts w:ascii="Calibri" w:hAnsi="Calibri"/>
                <w:color w:val="37474F"/>
                <w:sz w:val="17"/>
              </w:rPr>
              <w:t>✓  Community support</w:t>
            </w:r>
          </w:p>
          <w:p>
            <w:pPr>
              <w:spacing w:before="40" w:after="40"/>
            </w:pPr>
            <w:r>
              <w:rPr>
                <w:rFonts w:ascii="Calibri" w:hAnsi="Calibri"/>
                <w:color w:val="37474F"/>
                <w:sz w:val="17"/>
              </w:rPr>
              <w:t>✓  Target: Universities, students</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Unlimited fields</w:t>
            </w:r>
          </w:p>
          <w:p>
            <w:pPr>
              <w:spacing w:before="40" w:after="40"/>
            </w:pPr>
            <w:r>
              <w:rPr>
                <w:rFonts w:ascii="Calibri" w:hAnsi="Calibri"/>
                <w:color w:val="37474F"/>
                <w:sz w:val="17"/>
              </w:rPr>
              <w:t>✓  500 ensemble members</w:t>
            </w:r>
          </w:p>
          <w:p>
            <w:pPr>
              <w:spacing w:before="40" w:after="40"/>
            </w:pPr>
            <w:r>
              <w:rPr>
                <w:rFonts w:ascii="Calibri" w:hAnsi="Calibri"/>
                <w:color w:val="37474F"/>
                <w:sz w:val="17"/>
              </w:rPr>
              <w:t>✓  Full PINO + CCR + αREKI</w:t>
            </w:r>
          </w:p>
          <w:p>
            <w:pPr>
              <w:spacing w:before="40" w:after="40"/>
            </w:pPr>
            <w:r>
              <w:rPr>
                <w:rFonts w:ascii="Calibri" w:hAnsi="Calibri"/>
                <w:color w:val="37474F"/>
                <w:sz w:val="17"/>
              </w:rPr>
              <w:t>✓  VCAE + DDIM priors</w:t>
            </w:r>
          </w:p>
          <w:p>
            <w:pPr>
              <w:spacing w:before="40" w:after="40"/>
            </w:pPr>
            <w:r>
              <w:rPr>
                <w:rFonts w:ascii="Calibri" w:hAnsi="Calibri"/>
                <w:color w:val="37474F"/>
                <w:sz w:val="17"/>
              </w:rPr>
              <w:t>✓  AI assistant (Ollama)</w:t>
            </w:r>
          </w:p>
          <w:p>
            <w:pPr>
              <w:spacing w:before="40" w:after="40"/>
            </w:pPr>
            <w:r>
              <w:rPr>
                <w:rFonts w:ascii="Calibri" w:hAnsi="Calibri"/>
                <w:color w:val="37474F"/>
                <w:sz w:val="17"/>
              </w:rPr>
              <w:t>✓  Eclipse import/export</w:t>
            </w:r>
          </w:p>
          <w:p>
            <w:pPr>
              <w:spacing w:before="40" w:after="40"/>
            </w:pPr>
            <w:r>
              <w:rPr>
                <w:rFonts w:ascii="Calibri" w:hAnsi="Calibri"/>
                <w:color w:val="37474F"/>
                <w:sz w:val="17"/>
              </w:rPr>
              <w:t>✓  Email support (48hr SLA)</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Everything in Professional</w:t>
            </w:r>
          </w:p>
          <w:p>
            <w:pPr>
              <w:spacing w:before="40" w:after="40"/>
            </w:pPr>
            <w:r>
              <w:rPr>
                <w:rFonts w:ascii="Calibri" w:hAnsi="Calibri"/>
                <w:color w:val="37474F"/>
                <w:sz w:val="17"/>
              </w:rPr>
              <w:t>✓  1,000 ensemble members</w:t>
            </w:r>
          </w:p>
          <w:p>
            <w:pPr>
              <w:spacing w:before="40" w:after="40"/>
            </w:pPr>
            <w:r>
              <w:rPr>
                <w:rFonts w:ascii="Calibri" w:hAnsi="Calibri"/>
                <w:color w:val="37474F"/>
                <w:sz w:val="17"/>
              </w:rPr>
              <w:t>✓  Multi-user project sharing</w:t>
            </w:r>
          </w:p>
          <w:p>
            <w:pPr>
              <w:spacing w:before="40" w:after="40"/>
            </w:pPr>
            <w:r>
              <w:rPr>
                <w:rFonts w:ascii="Calibri" w:hAnsi="Calibri"/>
                <w:color w:val="37474F"/>
                <w:sz w:val="17"/>
              </w:rPr>
              <w:t>✓  REST API access</w:t>
            </w:r>
          </w:p>
          <w:p>
            <w:pPr>
              <w:spacing w:before="40" w:after="40"/>
            </w:pPr>
            <w:r>
              <w:rPr>
                <w:rFonts w:ascii="Calibri" w:hAnsi="Calibri"/>
                <w:color w:val="37474F"/>
                <w:sz w:val="17"/>
              </w:rPr>
              <w:t>✓  VTK export (ResInsight)</w:t>
            </w:r>
          </w:p>
          <w:p>
            <w:pPr>
              <w:spacing w:before="40" w:after="40"/>
            </w:pPr>
            <w:r>
              <w:rPr>
                <w:rFonts w:ascii="Calibri" w:hAnsi="Calibri"/>
                <w:color w:val="37474F"/>
                <w:sz w:val="17"/>
              </w:rPr>
              <w:t>✓  Dedicated support + SLA</w:t>
            </w:r>
          </w:p>
          <w:p>
            <w:pPr>
              <w:spacing w:before="40" w:after="40"/>
            </w:pPr>
            <w:r>
              <w:rPr>
                <w:rFonts w:ascii="Calibri" w:hAnsi="Calibri"/>
                <w:color w:val="37474F"/>
                <w:sz w:val="17"/>
              </w:rPr>
              <w:t>✓  Custom training workshops</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No installation required</w:t>
            </w:r>
          </w:p>
          <w:p>
            <w:pPr>
              <w:spacing w:before="40" w:after="40"/>
            </w:pPr>
            <w:r>
              <w:rPr>
                <w:rFonts w:ascii="Calibri" w:hAnsi="Calibri"/>
                <w:color w:val="37474F"/>
                <w:sz w:val="17"/>
              </w:rPr>
              <w:t>✓  Fully managed GPU cloud</w:t>
            </w:r>
          </w:p>
          <w:p>
            <w:pPr>
              <w:spacing w:before="40" w:after="40"/>
            </w:pPr>
            <w:r>
              <w:rPr>
                <w:rFonts w:ascii="Calibri" w:hAnsi="Calibri"/>
                <w:color w:val="37474F"/>
                <w:sz w:val="17"/>
              </w:rPr>
              <w:t>✓  Scale to 2,000 members</w:t>
            </w:r>
          </w:p>
          <w:p>
            <w:pPr>
              <w:spacing w:before="40" w:after="40"/>
            </w:pPr>
            <w:r>
              <w:rPr>
                <w:rFonts w:ascii="Calibri" w:hAnsi="Calibri"/>
                <w:color w:val="37474F"/>
                <w:sz w:val="17"/>
              </w:rPr>
              <w:t>✓  Results streamed to browser</w:t>
            </w:r>
          </w:p>
          <w:p>
            <w:pPr>
              <w:spacing w:before="40" w:after="40"/>
            </w:pPr>
            <w:r>
              <w:rPr>
                <w:rFonts w:ascii="Calibri" w:hAnsi="Calibri"/>
                <w:color w:val="37474F"/>
                <w:sz w:val="17"/>
              </w:rPr>
              <w:t>✓  Pay only for compute used</w:t>
            </w:r>
          </w:p>
        </w:tc>
      </w:tr>
      <w:tr>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r>
      <w:tr>
        <w:tc>
          <w:tcPr>
            <w:tcW w:type="dxa" w:w="4177"/>
            <w:vMerge/>
            <w:shd w:val="clear" w:color="auto" w:fill="F8FAFC"/>
          </w:tcPr>
          <w:p/>
        </w:tc>
        <w:tc>
          <w:tcPr>
            <w:tcW w:type="dxa" w:w="4177"/>
            <w:vMerge/>
            <w:shd w:val="clear" w:color="auto" w:fill="F8FAFC"/>
          </w:tcPr>
          <w:p/>
        </w:tc>
        <w:tc>
          <w:tcPr>
            <w:tcW w:type="dxa" w:w="4177"/>
            <w:vMerge/>
            <w:shd w:val="clear" w:color="auto" w:fill="F8FAFC"/>
          </w:tcPr>
          <w:p/>
        </w:tc>
        <w:tc>
          <w:tcPr>
            <w:tcW w:type="dxa" w:w="4177"/>
            <w:vMerge/>
            <w:shd w:val="clear" w:color="auto" w:fill="F8FAFC"/>
          </w:tcPr>
          <w:p/>
        </w:tc>
      </w:tr>
    </w:tbl>
    <w:p>
      <w:pPr>
        <w:spacing w:after="160"/>
      </w:pPr>
    </w:p>
    <w:p>
      <w:pPr>
        <w:spacing w:before="0" w:after="80"/>
        <w:jc w:val="left"/>
      </w:pPr>
      <w:r>
        <w:rPr>
          <w:rFonts w:ascii="Calibri" w:hAnsi="Calibri"/>
          <w:b/>
          <w:i w:val="0"/>
          <w:color w:val="0A1628"/>
          <w:sz w:val="20"/>
        </w:rPr>
        <w:t>Additional Revenue Streams:</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20"/>
            </w:pPr>
            <w:r>
              <w:rPr>
                <w:rFonts w:ascii="Calibri" w:hAnsi="Calibri"/>
                <w:b/>
                <w:color w:val="1565C0"/>
                <w:sz w:val="20"/>
              </w:rPr>
              <w:t>💰  Professional Services</w:t>
            </w:r>
          </w:p>
          <w:p>
            <w:pPr>
              <w:spacing w:after="120"/>
            </w:pPr>
            <w:r>
              <w:rPr>
                <w:rFonts w:ascii="Calibri" w:hAnsi="Calibri"/>
                <w:color w:val="37474F"/>
                <w:sz w:val="18"/>
              </w:rPr>
              <w:t>Field-specific PINO training, custom integrations, on-site workshops. $2,500–$10,000/day consulting.</w:t>
            </w:r>
          </w:p>
        </w:tc>
        <w:tc>
          <w:tcPr>
            <w:tcW w:type="dxa" w:w="5607"/>
            <w:shd w:val="clear" w:color="auto" w:fill="D5F5E3"/>
          </w:tcPr>
          <w:p/>
          <w:p>
            <w:pPr>
              <w:spacing w:before="120"/>
            </w:pPr>
            <w:r>
              <w:rPr>
                <w:rFonts w:ascii="Calibri" w:hAnsi="Calibri"/>
                <w:b/>
                <w:color w:val="00C853"/>
                <w:sz w:val="20"/>
              </w:rPr>
              <w:t>🤝  OEM / White-Label</w:t>
            </w:r>
          </w:p>
          <w:p>
            <w:pPr>
              <w:spacing w:after="120"/>
            </w:pPr>
            <w:r>
              <w:rPr>
                <w:rFonts w:ascii="Calibri" w:hAnsi="Calibri"/>
                <w:color w:val="37474F"/>
                <w:sz w:val="18"/>
              </w:rPr>
              <w:t>License the engine to service companies embedded in their workflows. Revenue share model.</w:t>
            </w:r>
          </w:p>
        </w:tc>
        <w:tc>
          <w:tcPr>
            <w:tcW w:type="dxa" w:w="5607"/>
            <w:shd w:val="clear" w:color="auto" w:fill="FFF9E6"/>
          </w:tcPr>
          <w:p/>
          <w:p>
            <w:pPr>
              <w:spacing w:before="120"/>
            </w:pPr>
            <w:r>
              <w:rPr>
                <w:rFonts w:ascii="Calibri" w:hAnsi="Calibri"/>
                <w:b/>
                <w:color w:val="FF8F00"/>
                <w:sz w:val="20"/>
              </w:rPr>
              <w:t>📚  Pre-Trained Surrogates</w:t>
            </w:r>
          </w:p>
          <w:p>
            <w:pPr>
              <w:spacing w:after="120"/>
            </w:pPr>
            <w:r>
              <w:rPr>
                <w:rFonts w:ascii="Calibri" w:hAnsi="Calibri"/>
                <w:color w:val="37474F"/>
                <w:sz w:val="18"/>
              </w:rPr>
              <w:t>Marketplace of field-type surrogates (carbonate, clastic, fractured). $5k–$20k per surrogate.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C853"/>
                <w:sz w:val="16"/>
              </w:rPr>
              <w:t>📊  FINANCIAL PROJECTIONS</w:t>
            </w:r>
          </w:p>
        </w:tc>
        <w:tc>
          <w:tcPr>
            <w:tcW w:type="dxa" w:w="5149"/>
            <w:shd w:val="clear" w:color="auto" w:fill="0A1628"/>
            <w:vAlign w:val="center"/>
          </w:tcPr>
          <w:p>
            <w:pPr>
              <w:jc w:val="right"/>
            </w:pPr>
            <w:r>
              <w:rPr>
                <w:rFonts w:ascii="Calibri" w:hAnsi="Calibri"/>
                <w:color w:val="78909C"/>
                <w:sz w:val="16"/>
              </w:rPr>
              <w:t>10 / 16</w:t>
            </w:r>
          </w:p>
        </w:tc>
      </w:tr>
    </w:tbl>
    <w:p>
      <w:pPr>
        <w:spacing w:after="120"/>
      </w:pPr>
    </w:p>
    <w:p>
      <w:pPr>
        <w:spacing w:before="0" w:after="80"/>
        <w:jc w:val="left"/>
      </w:pPr>
      <w:r>
        <w:rPr>
          <w:rFonts w:ascii="Calibri" w:hAnsi="Calibri"/>
          <w:b/>
          <w:color w:val="0A1628"/>
          <w:sz w:val="56"/>
        </w:rPr>
        <w:t>Path to $42M ARR by Year 5</w:t>
      </w:r>
    </w:p>
    <w:p>
      <w:pPr>
        <w:spacing w:before="0" w:after="160"/>
        <w:jc w:val="left"/>
      </w:pPr>
      <w:r>
        <w:rPr>
          <w:rFonts w:ascii="Calibri" w:hAnsi="Calibri"/>
          <w:b w:val="0"/>
          <w:i/>
          <w:color w:val="37474F"/>
          <w:sz w:val="22"/>
        </w:rPr>
        <w:t>Conservative model based on 1% penetration of addressable market — realistic with direct sales plus channel partners.</w:t>
      </w:r>
    </w:p>
    <w:tbl>
      <w:tblPr>
        <w:tblStyle w:val="TableGrid"/>
        <w:tblW w:type="auto" w:w="0"/>
        <w:jc w:val="center"/>
        <w:tblLook w:firstColumn="1" w:firstRow="1" w:lastColumn="0" w:lastRow="0" w:noHBand="0" w:noVBand="1" w:val="04A0"/>
      </w:tblPr>
      <w:tblGrid>
        <w:gridCol w:w="2860"/>
        <w:gridCol w:w="2860"/>
        <w:gridCol w:w="2860"/>
        <w:gridCol w:w="2860"/>
        <w:gridCol w:w="2860"/>
        <w:gridCol w:w="2860"/>
      </w:tblGrid>
      <w:tr>
        <w:tc>
          <w:tcPr>
            <w:tcW w:type="dxa" w:w="3402"/>
            <w:shd w:val="clear" w:color="auto" w:fill="0A1628"/>
          </w:tcPr>
          <w:p>
            <w:pPr>
              <w:jc w:val="left"/>
            </w:pPr>
            <w:r>
              <w:rPr>
                <w:rFonts w:ascii="Calibri" w:hAnsi="Calibri"/>
                <w:b/>
                <w:color w:val="00BCD4"/>
                <w:sz w:val="18"/>
              </w:rPr>
              <w:t>Metric</w:t>
            </w:r>
          </w:p>
        </w:tc>
        <w:tc>
          <w:tcPr>
            <w:tcW w:type="dxa" w:w="1984"/>
            <w:shd w:val="clear" w:color="auto" w:fill="0A1628"/>
          </w:tcPr>
          <w:p>
            <w:pPr>
              <w:jc w:val="center"/>
            </w:pPr>
            <w:r>
              <w:rPr>
                <w:rFonts w:ascii="Calibri" w:hAnsi="Calibri"/>
                <w:b/>
                <w:color w:val="00BCD4"/>
                <w:sz w:val="18"/>
              </w:rPr>
              <w:t>Year 1</w:t>
            </w:r>
          </w:p>
        </w:tc>
        <w:tc>
          <w:tcPr>
            <w:tcW w:type="dxa" w:w="1984"/>
            <w:shd w:val="clear" w:color="auto" w:fill="0A1628"/>
          </w:tcPr>
          <w:p>
            <w:pPr>
              <w:jc w:val="center"/>
            </w:pPr>
            <w:r>
              <w:rPr>
                <w:rFonts w:ascii="Calibri" w:hAnsi="Calibri"/>
                <w:b/>
                <w:color w:val="00BCD4"/>
                <w:sz w:val="18"/>
              </w:rPr>
              <w:t>Year 2</w:t>
            </w:r>
          </w:p>
        </w:tc>
        <w:tc>
          <w:tcPr>
            <w:tcW w:type="dxa" w:w="1984"/>
            <w:shd w:val="clear" w:color="auto" w:fill="0A1628"/>
          </w:tcPr>
          <w:p>
            <w:pPr>
              <w:jc w:val="center"/>
            </w:pPr>
            <w:r>
              <w:rPr>
                <w:rFonts w:ascii="Calibri" w:hAnsi="Calibri"/>
                <w:b/>
                <w:color w:val="00BCD4"/>
                <w:sz w:val="18"/>
              </w:rPr>
              <w:t>Year 3</w:t>
            </w:r>
          </w:p>
        </w:tc>
        <w:tc>
          <w:tcPr>
            <w:tcW w:type="dxa" w:w="2268"/>
            <w:shd w:val="clear" w:color="auto" w:fill="0A1628"/>
          </w:tcPr>
          <w:p>
            <w:pPr>
              <w:jc w:val="center"/>
            </w:pPr>
            <w:r>
              <w:rPr>
                <w:rFonts w:ascii="Calibri" w:hAnsi="Calibri"/>
                <w:b/>
                <w:color w:val="00BCD4"/>
                <w:sz w:val="18"/>
              </w:rPr>
              <w:t>Year 4</w:t>
            </w:r>
          </w:p>
        </w:tc>
        <w:tc>
          <w:tcPr>
            <w:tcW w:type="dxa" w:w="2268"/>
            <w:shd w:val="clear" w:color="auto" w:fill="0A1628"/>
          </w:tcPr>
          <w:p>
            <w:pPr>
              <w:jc w:val="center"/>
            </w:pPr>
            <w:r>
              <w:rPr>
                <w:rFonts w:ascii="Calibri" w:hAnsi="Calibri"/>
                <w:b/>
                <w:color w:val="00BCD4"/>
                <w:sz w:val="18"/>
              </w:rPr>
              <w:t>Year 5</w:t>
            </w:r>
          </w:p>
        </w:tc>
      </w:tr>
      <w:tr>
        <w:tc>
          <w:tcPr>
            <w:tcW w:type="dxa" w:w="3402"/>
            <w:shd w:val="clear" w:color="auto" w:fill="F8FAFC"/>
          </w:tcPr>
          <w:p>
            <w:pPr>
              <w:jc w:val="left"/>
            </w:pPr>
            <w:r>
              <w:rPr>
                <w:rFonts w:ascii="Calibri" w:hAnsi="Calibri"/>
                <w:b w:val="0"/>
                <w:color w:val="37474F"/>
                <w:sz w:val="18"/>
              </w:rPr>
              <w:t>Professional customers</w:t>
            </w:r>
          </w:p>
        </w:tc>
        <w:tc>
          <w:tcPr>
            <w:tcW w:type="dxa" w:w="1984"/>
            <w:shd w:val="clear" w:color="auto" w:fill="F8FAFC"/>
          </w:tcPr>
          <w:p>
            <w:pPr>
              <w:jc w:val="center"/>
            </w:pPr>
            <w:r>
              <w:rPr>
                <w:rFonts w:ascii="Calibri" w:hAnsi="Calibri"/>
                <w:b w:val="0"/>
                <w:color w:val="37474F"/>
                <w:sz w:val="18"/>
              </w:rPr>
              <w:t>15</w:t>
            </w:r>
          </w:p>
        </w:tc>
        <w:tc>
          <w:tcPr>
            <w:tcW w:type="dxa" w:w="1984"/>
            <w:shd w:val="clear" w:color="auto" w:fill="F8FAFC"/>
          </w:tcPr>
          <w:p>
            <w:pPr>
              <w:jc w:val="center"/>
            </w:pPr>
            <w:r>
              <w:rPr>
                <w:rFonts w:ascii="Calibri" w:hAnsi="Calibri"/>
                <w:b w:val="0"/>
                <w:color w:val="37474F"/>
                <w:sz w:val="18"/>
              </w:rPr>
              <w:t>60</w:t>
            </w:r>
          </w:p>
        </w:tc>
        <w:tc>
          <w:tcPr>
            <w:tcW w:type="dxa" w:w="1984"/>
            <w:shd w:val="clear" w:color="auto" w:fill="F8FAFC"/>
          </w:tcPr>
          <w:p>
            <w:pPr>
              <w:jc w:val="center"/>
            </w:pPr>
            <w:r>
              <w:rPr>
                <w:rFonts w:ascii="Calibri" w:hAnsi="Calibri"/>
                <w:b w:val="0"/>
                <w:color w:val="37474F"/>
                <w:sz w:val="18"/>
              </w:rPr>
              <w:t>180</w:t>
            </w:r>
          </w:p>
        </w:tc>
        <w:tc>
          <w:tcPr>
            <w:tcW w:type="dxa" w:w="2268"/>
            <w:shd w:val="clear" w:color="auto" w:fill="F8FAFC"/>
          </w:tcPr>
          <w:p>
            <w:pPr>
              <w:jc w:val="center"/>
            </w:pPr>
            <w:r>
              <w:rPr>
                <w:rFonts w:ascii="Calibri" w:hAnsi="Calibri"/>
                <w:b w:val="0"/>
                <w:color w:val="37474F"/>
                <w:sz w:val="18"/>
              </w:rPr>
              <w:t>420</w:t>
            </w:r>
          </w:p>
        </w:tc>
        <w:tc>
          <w:tcPr>
            <w:tcW w:type="dxa" w:w="2268"/>
            <w:shd w:val="clear" w:color="auto" w:fill="F8FAFC"/>
          </w:tcPr>
          <w:p>
            <w:pPr>
              <w:jc w:val="center"/>
            </w:pPr>
            <w:r>
              <w:rPr>
                <w:rFonts w:ascii="Calibri" w:hAnsi="Calibri"/>
                <w:b w:val="0"/>
                <w:color w:val="37474F"/>
                <w:sz w:val="18"/>
              </w:rPr>
              <w:t>800</w:t>
            </w:r>
          </w:p>
        </w:tc>
      </w:tr>
      <w:tr>
        <w:tc>
          <w:tcPr>
            <w:tcW w:type="dxa" w:w="3402"/>
            <w:shd w:val="clear" w:color="auto" w:fill="FFFFFF"/>
          </w:tcPr>
          <w:p>
            <w:pPr>
              <w:jc w:val="left"/>
            </w:pPr>
            <w:r>
              <w:rPr>
                <w:rFonts w:ascii="Calibri" w:hAnsi="Calibri"/>
                <w:b w:val="0"/>
                <w:color w:val="37474F"/>
                <w:sz w:val="18"/>
              </w:rPr>
              <w:t>Enterprise customers</w:t>
            </w:r>
          </w:p>
        </w:tc>
        <w:tc>
          <w:tcPr>
            <w:tcW w:type="dxa" w:w="1984"/>
            <w:shd w:val="clear" w:color="auto" w:fill="FFFFFF"/>
          </w:tcPr>
          <w:p>
            <w:pPr>
              <w:jc w:val="center"/>
            </w:pPr>
            <w:r>
              <w:rPr>
                <w:rFonts w:ascii="Calibri" w:hAnsi="Calibri"/>
                <w:b w:val="0"/>
                <w:color w:val="37474F"/>
                <w:sz w:val="18"/>
              </w:rPr>
              <w:t>2</w:t>
            </w:r>
          </w:p>
        </w:tc>
        <w:tc>
          <w:tcPr>
            <w:tcW w:type="dxa" w:w="1984"/>
            <w:shd w:val="clear" w:color="auto" w:fill="FFFFFF"/>
          </w:tcPr>
          <w:p>
            <w:pPr>
              <w:jc w:val="center"/>
            </w:pPr>
            <w:r>
              <w:rPr>
                <w:rFonts w:ascii="Calibri" w:hAnsi="Calibri"/>
                <w:b w:val="0"/>
                <w:color w:val="37474F"/>
                <w:sz w:val="18"/>
              </w:rPr>
              <w:t>8</w:t>
            </w:r>
          </w:p>
        </w:tc>
        <w:tc>
          <w:tcPr>
            <w:tcW w:type="dxa" w:w="1984"/>
            <w:shd w:val="clear" w:color="auto" w:fill="FFFFFF"/>
          </w:tcPr>
          <w:p>
            <w:pPr>
              <w:jc w:val="center"/>
            </w:pPr>
            <w:r>
              <w:rPr>
                <w:rFonts w:ascii="Calibri" w:hAnsi="Calibri"/>
                <w:b w:val="0"/>
                <w:color w:val="37474F"/>
                <w:sz w:val="18"/>
              </w:rPr>
              <w:t>22</w:t>
            </w:r>
          </w:p>
        </w:tc>
        <w:tc>
          <w:tcPr>
            <w:tcW w:type="dxa" w:w="2268"/>
            <w:shd w:val="clear" w:color="auto" w:fill="FFFFFF"/>
          </w:tcPr>
          <w:p>
            <w:pPr>
              <w:jc w:val="center"/>
            </w:pPr>
            <w:r>
              <w:rPr>
                <w:rFonts w:ascii="Calibri" w:hAnsi="Calibri"/>
                <w:b w:val="0"/>
                <w:color w:val="37474F"/>
                <w:sz w:val="18"/>
              </w:rPr>
              <w:t>50</w:t>
            </w:r>
          </w:p>
        </w:tc>
        <w:tc>
          <w:tcPr>
            <w:tcW w:type="dxa" w:w="2268"/>
            <w:shd w:val="clear" w:color="auto" w:fill="FFFFFF"/>
          </w:tcPr>
          <w:p>
            <w:pPr>
              <w:jc w:val="center"/>
            </w:pPr>
            <w:r>
              <w:rPr>
                <w:rFonts w:ascii="Calibri" w:hAnsi="Calibri"/>
                <w:b w:val="0"/>
                <w:color w:val="37474F"/>
                <w:sz w:val="18"/>
              </w:rPr>
              <w:t>120</w:t>
            </w:r>
          </w:p>
        </w:tc>
      </w:tr>
      <w:tr>
        <w:tc>
          <w:tcPr>
            <w:tcW w:type="dxa" w:w="3402"/>
            <w:shd w:val="clear" w:color="auto" w:fill="F8FAFC"/>
          </w:tcPr>
          <w:p>
            <w:pPr>
              <w:jc w:val="left"/>
            </w:pPr>
            <w:r>
              <w:rPr>
                <w:rFonts w:ascii="Calibri" w:hAnsi="Calibri"/>
                <w:b w:val="0"/>
                <w:color w:val="37474F"/>
                <w:sz w:val="18"/>
              </w:rPr>
              <w:t>Cloud run revenue</w:t>
            </w:r>
          </w:p>
        </w:tc>
        <w:tc>
          <w:tcPr>
            <w:tcW w:type="dxa" w:w="1984"/>
            <w:shd w:val="clear" w:color="auto" w:fill="F8FAFC"/>
          </w:tcPr>
          <w:p>
            <w:pPr>
              <w:jc w:val="center"/>
            </w:pPr>
            <w:r>
              <w:rPr>
                <w:rFonts w:ascii="Calibri" w:hAnsi="Calibri"/>
                <w:b w:val="0"/>
                <w:color w:val="37474F"/>
                <w:sz w:val="18"/>
              </w:rPr>
              <w:t>$50k</w:t>
            </w:r>
          </w:p>
        </w:tc>
        <w:tc>
          <w:tcPr>
            <w:tcW w:type="dxa" w:w="1984"/>
            <w:shd w:val="clear" w:color="auto" w:fill="F8FAFC"/>
          </w:tcPr>
          <w:p>
            <w:pPr>
              <w:jc w:val="center"/>
            </w:pPr>
            <w:r>
              <w:rPr>
                <w:rFonts w:ascii="Calibri" w:hAnsi="Calibri"/>
                <w:b w:val="0"/>
                <w:color w:val="37474F"/>
                <w:sz w:val="18"/>
              </w:rPr>
              <w:t>$200k</w:t>
            </w:r>
          </w:p>
        </w:tc>
        <w:tc>
          <w:tcPr>
            <w:tcW w:type="dxa" w:w="1984"/>
            <w:shd w:val="clear" w:color="auto" w:fill="F8FAFC"/>
          </w:tcPr>
          <w:p>
            <w:pPr>
              <w:jc w:val="center"/>
            </w:pPr>
            <w:r>
              <w:rPr>
                <w:rFonts w:ascii="Calibri" w:hAnsi="Calibri"/>
                <w:b w:val="0"/>
                <w:color w:val="37474F"/>
                <w:sz w:val="18"/>
              </w:rPr>
              <w:t>$800k</w:t>
            </w:r>
          </w:p>
        </w:tc>
        <w:tc>
          <w:tcPr>
            <w:tcW w:type="dxa" w:w="2268"/>
            <w:shd w:val="clear" w:color="auto" w:fill="F8FAFC"/>
          </w:tcPr>
          <w:p>
            <w:pPr>
              <w:jc w:val="center"/>
            </w:pPr>
            <w:r>
              <w:rPr>
                <w:rFonts w:ascii="Calibri" w:hAnsi="Calibri"/>
                <w:b w:val="0"/>
                <w:color w:val="37474F"/>
                <w:sz w:val="18"/>
              </w:rPr>
              <w:t>$2.5M</w:t>
            </w:r>
          </w:p>
        </w:tc>
        <w:tc>
          <w:tcPr>
            <w:tcW w:type="dxa" w:w="2268"/>
            <w:shd w:val="clear" w:color="auto" w:fill="F8FAFC"/>
          </w:tcPr>
          <w:p>
            <w:pPr>
              <w:jc w:val="center"/>
            </w:pPr>
            <w:r>
              <w:rPr>
                <w:rFonts w:ascii="Calibri" w:hAnsi="Calibri"/>
                <w:b w:val="0"/>
                <w:color w:val="37474F"/>
                <w:sz w:val="18"/>
              </w:rPr>
              <w:t>$6M</w:t>
            </w:r>
          </w:p>
        </w:tc>
      </w:tr>
      <w:tr>
        <w:tc>
          <w:tcPr>
            <w:tcW w:type="dxa" w:w="3402"/>
            <w:shd w:val="clear" w:color="auto" w:fill="EBF5FB"/>
          </w:tcPr>
          <w:p>
            <w:pPr>
              <w:jc w:val="left"/>
            </w:pPr>
            <w:r>
              <w:rPr>
                <w:rFonts w:ascii="Calibri" w:hAnsi="Calibri"/>
                <w:b w:val="0"/>
                <w:color w:val="1565C0"/>
                <w:sz w:val="18"/>
              </w:rPr>
              <w:t>Total ARR</w:t>
            </w:r>
          </w:p>
        </w:tc>
        <w:tc>
          <w:tcPr>
            <w:tcW w:type="dxa" w:w="1984"/>
            <w:shd w:val="clear" w:color="auto" w:fill="EBF5FB"/>
          </w:tcPr>
          <w:p>
            <w:pPr>
              <w:jc w:val="center"/>
            </w:pPr>
            <w:r>
              <w:rPr>
                <w:rFonts w:ascii="Calibri" w:hAnsi="Calibri"/>
                <w:b/>
                <w:color w:val="1565C0"/>
                <w:sz w:val="18"/>
              </w:rPr>
              <w:t>$425k</w:t>
            </w:r>
          </w:p>
        </w:tc>
        <w:tc>
          <w:tcPr>
            <w:tcW w:type="dxa" w:w="1984"/>
            <w:shd w:val="clear" w:color="auto" w:fill="EBF5FB"/>
          </w:tcPr>
          <w:p>
            <w:pPr>
              <w:jc w:val="center"/>
            </w:pPr>
            <w:r>
              <w:rPr>
                <w:rFonts w:ascii="Calibri" w:hAnsi="Calibri"/>
                <w:b/>
                <w:color w:val="1565C0"/>
                <w:sz w:val="18"/>
              </w:rPr>
              <w:t>$2.1M</w:t>
            </w:r>
          </w:p>
        </w:tc>
        <w:tc>
          <w:tcPr>
            <w:tcW w:type="dxa" w:w="1984"/>
            <w:shd w:val="clear" w:color="auto" w:fill="EBF5FB"/>
          </w:tcPr>
          <w:p>
            <w:pPr>
              <w:jc w:val="center"/>
            </w:pPr>
            <w:r>
              <w:rPr>
                <w:rFonts w:ascii="Calibri" w:hAnsi="Calibri"/>
                <w:b/>
                <w:color w:val="1565C0"/>
                <w:sz w:val="18"/>
              </w:rPr>
              <w:t>$6.4M</w:t>
            </w:r>
          </w:p>
        </w:tc>
        <w:tc>
          <w:tcPr>
            <w:tcW w:type="dxa" w:w="2268"/>
            <w:shd w:val="clear" w:color="auto" w:fill="EBF5FB"/>
          </w:tcPr>
          <w:p>
            <w:pPr>
              <w:jc w:val="center"/>
            </w:pPr>
            <w:r>
              <w:rPr>
                <w:rFonts w:ascii="Calibri" w:hAnsi="Calibri"/>
                <w:b/>
                <w:color w:val="00C853"/>
                <w:sz w:val="18"/>
              </w:rPr>
              <w:t>$16.2M</w:t>
            </w:r>
          </w:p>
        </w:tc>
        <w:tc>
          <w:tcPr>
            <w:tcW w:type="dxa" w:w="2268"/>
            <w:shd w:val="clear" w:color="auto" w:fill="EBF5FB"/>
          </w:tcPr>
          <w:p>
            <w:pPr>
              <w:jc w:val="center"/>
            </w:pPr>
            <w:r>
              <w:rPr>
                <w:rFonts w:ascii="Calibri" w:hAnsi="Calibri"/>
                <w:b/>
                <w:color w:val="00C853"/>
                <w:sz w:val="18"/>
              </w:rPr>
              <w:t>$42M</w:t>
            </w:r>
          </w:p>
        </w:tc>
      </w:tr>
      <w:tr>
        <w:tc>
          <w:tcPr>
            <w:tcW w:type="dxa" w:w="3402"/>
            <w:shd w:val="clear" w:color="auto" w:fill="F8FAFC"/>
          </w:tcPr>
          <w:p>
            <w:pPr>
              <w:jc w:val="left"/>
            </w:pPr>
            <w:r>
              <w:rPr>
                <w:rFonts w:ascii="Calibri" w:hAnsi="Calibri"/>
                <w:b w:val="0"/>
                <w:color w:val="37474F"/>
                <w:sz w:val="18"/>
              </w:rPr>
              <w:t>Gross margin</w:t>
            </w:r>
          </w:p>
        </w:tc>
        <w:tc>
          <w:tcPr>
            <w:tcW w:type="dxa" w:w="1984"/>
            <w:shd w:val="clear" w:color="auto" w:fill="F8FAFC"/>
          </w:tcPr>
          <w:p>
            <w:pPr>
              <w:jc w:val="center"/>
            </w:pPr>
            <w:r>
              <w:rPr>
                <w:rFonts w:ascii="Calibri" w:hAnsi="Calibri"/>
                <w:b w:val="0"/>
                <w:color w:val="37474F"/>
                <w:sz w:val="18"/>
              </w:rPr>
              <w:t>72%</w:t>
            </w:r>
          </w:p>
        </w:tc>
        <w:tc>
          <w:tcPr>
            <w:tcW w:type="dxa" w:w="1984"/>
            <w:shd w:val="clear" w:color="auto" w:fill="F8FAFC"/>
          </w:tcPr>
          <w:p>
            <w:pPr>
              <w:jc w:val="center"/>
            </w:pPr>
            <w:r>
              <w:rPr>
                <w:rFonts w:ascii="Calibri" w:hAnsi="Calibri"/>
                <w:b w:val="0"/>
                <w:color w:val="37474F"/>
                <w:sz w:val="18"/>
              </w:rPr>
              <w:t>78%</w:t>
            </w:r>
          </w:p>
        </w:tc>
        <w:tc>
          <w:tcPr>
            <w:tcW w:type="dxa" w:w="1984"/>
            <w:shd w:val="clear" w:color="auto" w:fill="F8FAFC"/>
          </w:tcPr>
          <w:p>
            <w:pPr>
              <w:jc w:val="center"/>
            </w:pPr>
            <w:r>
              <w:rPr>
                <w:rFonts w:ascii="Calibri" w:hAnsi="Calibri"/>
                <w:b w:val="0"/>
                <w:color w:val="37474F"/>
                <w:sz w:val="18"/>
              </w:rPr>
              <w:t>82%</w:t>
            </w:r>
          </w:p>
        </w:tc>
        <w:tc>
          <w:tcPr>
            <w:tcW w:type="dxa" w:w="2268"/>
            <w:shd w:val="clear" w:color="auto" w:fill="F8FAFC"/>
          </w:tcPr>
          <w:p>
            <w:pPr>
              <w:jc w:val="center"/>
            </w:pPr>
            <w:r>
              <w:rPr>
                <w:rFonts w:ascii="Calibri" w:hAnsi="Calibri"/>
                <w:b w:val="0"/>
                <w:color w:val="37474F"/>
                <w:sz w:val="18"/>
              </w:rPr>
              <w:t>84%</w:t>
            </w:r>
          </w:p>
        </w:tc>
        <w:tc>
          <w:tcPr>
            <w:tcW w:type="dxa" w:w="2268"/>
            <w:shd w:val="clear" w:color="auto" w:fill="F8FAFC"/>
          </w:tcPr>
          <w:p>
            <w:pPr>
              <w:jc w:val="center"/>
            </w:pPr>
            <w:r>
              <w:rPr>
                <w:rFonts w:ascii="Calibri" w:hAnsi="Calibri"/>
                <w:b w:val="0"/>
                <w:color w:val="37474F"/>
                <w:sz w:val="18"/>
              </w:rPr>
              <w:t>86%</w:t>
            </w:r>
          </w:p>
        </w:tc>
      </w:tr>
      <w:tr>
        <w:tc>
          <w:tcPr>
            <w:tcW w:type="dxa" w:w="3402"/>
            <w:shd w:val="clear" w:color="auto" w:fill="EBF5FB"/>
          </w:tcPr>
          <w:p>
            <w:pPr>
              <w:jc w:val="left"/>
            </w:pPr>
            <w:r>
              <w:rPr>
                <w:rFonts w:ascii="Calibri" w:hAnsi="Calibri"/>
                <w:b w:val="0"/>
                <w:color w:val="1565C0"/>
                <w:sz w:val="18"/>
              </w:rPr>
              <w:t>EBITDA</w:t>
            </w:r>
          </w:p>
        </w:tc>
        <w:tc>
          <w:tcPr>
            <w:tcW w:type="dxa" w:w="1984"/>
            <w:shd w:val="clear" w:color="auto" w:fill="EBF5FB"/>
          </w:tcPr>
          <w:p>
            <w:pPr>
              <w:jc w:val="center"/>
            </w:pPr>
            <w:r>
              <w:rPr>
                <w:rFonts w:ascii="Calibri" w:hAnsi="Calibri"/>
                <w:b/>
                <w:color w:val="E53935"/>
                <w:sz w:val="18"/>
              </w:rPr>
              <w:t>($1.8M)</w:t>
            </w:r>
          </w:p>
        </w:tc>
        <w:tc>
          <w:tcPr>
            <w:tcW w:type="dxa" w:w="1984"/>
            <w:shd w:val="clear" w:color="auto" w:fill="EBF5FB"/>
          </w:tcPr>
          <w:p>
            <w:pPr>
              <w:jc w:val="center"/>
            </w:pPr>
            <w:r>
              <w:rPr>
                <w:rFonts w:ascii="Calibri" w:hAnsi="Calibri"/>
                <w:b/>
                <w:color w:val="E53935"/>
                <w:sz w:val="18"/>
              </w:rPr>
              <w:t>($1.2M)</w:t>
            </w:r>
          </w:p>
        </w:tc>
        <w:tc>
          <w:tcPr>
            <w:tcW w:type="dxa" w:w="1984"/>
            <w:shd w:val="clear" w:color="auto" w:fill="EBF5FB"/>
          </w:tcPr>
          <w:p>
            <w:pPr>
              <w:jc w:val="center"/>
            </w:pPr>
            <w:r>
              <w:rPr>
                <w:rFonts w:ascii="Calibri" w:hAnsi="Calibri"/>
                <w:b/>
                <w:color w:val="00C853"/>
                <w:sz w:val="18"/>
              </w:rPr>
              <w:t>$0.4M</w:t>
            </w:r>
          </w:p>
        </w:tc>
        <w:tc>
          <w:tcPr>
            <w:tcW w:type="dxa" w:w="2268"/>
            <w:shd w:val="clear" w:color="auto" w:fill="EBF5FB"/>
          </w:tcPr>
          <w:p>
            <w:pPr>
              <w:jc w:val="center"/>
            </w:pPr>
            <w:r>
              <w:rPr>
                <w:rFonts w:ascii="Calibri" w:hAnsi="Calibri"/>
                <w:b/>
                <w:color w:val="00C853"/>
                <w:sz w:val="18"/>
              </w:rPr>
              <w:t>$3.8M</w:t>
            </w:r>
          </w:p>
        </w:tc>
        <w:tc>
          <w:tcPr>
            <w:tcW w:type="dxa" w:w="2268"/>
            <w:shd w:val="clear" w:color="auto" w:fill="EBF5FB"/>
          </w:tcPr>
          <w:p>
            <w:pPr>
              <w:jc w:val="center"/>
            </w:pPr>
            <w:r>
              <w:rPr>
                <w:rFonts w:ascii="Calibri" w:hAnsi="Calibri"/>
                <w:b/>
                <w:color w:val="00C853"/>
                <w:sz w:val="18"/>
              </w:rPr>
              <w:t>$14.7M</w:t>
            </w:r>
          </w:p>
        </w:tc>
      </w:tr>
      <w:tr>
        <w:tc>
          <w:tcPr>
            <w:tcW w:type="dxa" w:w="3402"/>
            <w:shd w:val="clear" w:color="auto" w:fill="F8FAFC"/>
          </w:tcPr>
          <w:p>
            <w:pPr>
              <w:jc w:val="left"/>
            </w:pPr>
            <w:r>
              <w:rPr>
                <w:rFonts w:ascii="Calibri" w:hAnsi="Calibri"/>
                <w:b w:val="0"/>
                <w:color w:val="37474F"/>
                <w:sz w:val="18"/>
              </w:rPr>
              <w:t>Headcount</w:t>
            </w:r>
          </w:p>
        </w:tc>
        <w:tc>
          <w:tcPr>
            <w:tcW w:type="dxa" w:w="1984"/>
            <w:shd w:val="clear" w:color="auto" w:fill="F8FAFC"/>
          </w:tcPr>
          <w:p>
            <w:pPr>
              <w:jc w:val="center"/>
            </w:pPr>
            <w:r>
              <w:rPr>
                <w:rFonts w:ascii="Calibri" w:hAnsi="Calibri"/>
                <w:b w:val="0"/>
                <w:color w:val="37474F"/>
                <w:sz w:val="18"/>
              </w:rPr>
              <w:t>6</w:t>
            </w:r>
          </w:p>
        </w:tc>
        <w:tc>
          <w:tcPr>
            <w:tcW w:type="dxa" w:w="1984"/>
            <w:shd w:val="clear" w:color="auto" w:fill="F8FAFC"/>
          </w:tcPr>
          <w:p>
            <w:pPr>
              <w:jc w:val="center"/>
            </w:pPr>
            <w:r>
              <w:rPr>
                <w:rFonts w:ascii="Calibri" w:hAnsi="Calibri"/>
                <w:b w:val="0"/>
                <w:color w:val="37474F"/>
                <w:sz w:val="18"/>
              </w:rPr>
              <w:t>14</w:t>
            </w:r>
          </w:p>
        </w:tc>
        <w:tc>
          <w:tcPr>
            <w:tcW w:type="dxa" w:w="1984"/>
            <w:shd w:val="clear" w:color="auto" w:fill="F8FAFC"/>
          </w:tcPr>
          <w:p>
            <w:pPr>
              <w:jc w:val="center"/>
            </w:pPr>
            <w:r>
              <w:rPr>
                <w:rFonts w:ascii="Calibri" w:hAnsi="Calibri"/>
                <w:b w:val="0"/>
                <w:color w:val="37474F"/>
                <w:sz w:val="18"/>
              </w:rPr>
              <w:t>28</w:t>
            </w:r>
          </w:p>
        </w:tc>
        <w:tc>
          <w:tcPr>
            <w:tcW w:type="dxa" w:w="2268"/>
            <w:shd w:val="clear" w:color="auto" w:fill="F8FAFC"/>
          </w:tcPr>
          <w:p>
            <w:pPr>
              <w:jc w:val="center"/>
            </w:pPr>
            <w:r>
              <w:rPr>
                <w:rFonts w:ascii="Calibri" w:hAnsi="Calibri"/>
                <w:b w:val="0"/>
                <w:color w:val="37474F"/>
                <w:sz w:val="18"/>
              </w:rPr>
              <w:t>45</w:t>
            </w:r>
          </w:p>
        </w:tc>
        <w:tc>
          <w:tcPr>
            <w:tcW w:type="dxa" w:w="2268"/>
            <w:shd w:val="clear" w:color="auto" w:fill="F8FAFC"/>
          </w:tcPr>
          <w:p>
            <w:pPr>
              <w:jc w:val="center"/>
            </w:pPr>
            <w:r>
              <w:rPr>
                <w:rFonts w:ascii="Calibri" w:hAnsi="Calibri"/>
                <w:b w:val="0"/>
                <w:color w:val="37474F"/>
                <w:sz w:val="18"/>
              </w:rPr>
              <w:t>70</w:t>
            </w:r>
          </w:p>
        </w:tc>
      </w:tr>
      <w:tr>
        <w:tc>
          <w:tcPr>
            <w:tcW w:type="dxa" w:w="3402"/>
            <w:shd w:val="clear" w:color="auto" w:fill="FFFFFF"/>
          </w:tcPr>
          <w:p>
            <w:pPr>
              <w:jc w:val="left"/>
            </w:pPr>
            <w:r>
              <w:rPr>
                <w:rFonts w:ascii="Calibri" w:hAnsi="Calibri"/>
                <w:b w:val="0"/>
                <w:color w:val="37474F"/>
                <w:sz w:val="18"/>
              </w:rPr>
              <w:t>Cumulative investment needed</w:t>
            </w:r>
          </w:p>
        </w:tc>
        <w:tc>
          <w:tcPr>
            <w:tcW w:type="dxa" w:w="1984"/>
            <w:shd w:val="clear" w:color="auto" w:fill="FFFFFF"/>
          </w:tcPr>
          <w:p>
            <w:pPr>
              <w:jc w:val="center"/>
            </w:pPr>
            <w:r>
              <w:rPr>
                <w:rFonts w:ascii="Calibri" w:hAnsi="Calibri"/>
                <w:b w:val="0"/>
                <w:color w:val="37474F"/>
                <w:sz w:val="18"/>
              </w:rPr>
              <w:t>$3.5M</w:t>
            </w:r>
          </w:p>
        </w:tc>
        <w:tc>
          <w:tcPr>
            <w:tcW w:type="dxa" w:w="1984"/>
            <w:shd w:val="clear" w:color="auto" w:fill="FFFFFF"/>
          </w:tcPr>
          <w:p>
            <w:pPr>
              <w:jc w:val="center"/>
            </w:pPr>
            <w:r>
              <w:rPr>
                <w:rFonts w:ascii="Calibri" w:hAnsi="Calibri"/>
                <w:b w:val="0"/>
                <w:color w:val="37474F"/>
                <w:sz w:val="18"/>
              </w:rPr>
              <w:t>$3.5M</w:t>
            </w:r>
          </w:p>
        </w:tc>
        <w:tc>
          <w:tcPr>
            <w:tcW w:type="dxa" w:w="1984"/>
            <w:shd w:val="clear" w:color="auto" w:fill="FFFFFF"/>
          </w:tcPr>
          <w:p>
            <w:pPr>
              <w:jc w:val="center"/>
            </w:pPr>
            <w:r>
              <w:rPr>
                <w:rFonts w:ascii="Calibri" w:hAnsi="Calibri"/>
                <w:b w:val="0"/>
                <w:color w:val="37474F"/>
                <w:sz w:val="18"/>
              </w:rPr>
              <w:t>Self-fund</w:t>
            </w:r>
          </w:p>
        </w:tc>
        <w:tc>
          <w:tcPr>
            <w:tcW w:type="dxa" w:w="2268"/>
            <w:shd w:val="clear" w:color="auto" w:fill="FFFFFF"/>
          </w:tcPr>
          <w:p>
            <w:pPr>
              <w:jc w:val="center"/>
            </w:pPr>
            <w:r>
              <w:rPr>
                <w:rFonts w:ascii="Calibri" w:hAnsi="Calibri"/>
                <w:b w:val="0"/>
                <w:color w:val="37474F"/>
                <w:sz w:val="18"/>
              </w:rPr>
              <w:t>Series A</w:t>
            </w:r>
          </w:p>
        </w:tc>
        <w:tc>
          <w:tcPr>
            <w:tcW w:type="dxa" w:w="2268"/>
            <w:shd w:val="clear" w:color="auto" w:fill="FFFFFF"/>
          </w:tcPr>
          <w:p>
            <w:pPr>
              <w:jc w:val="center"/>
            </w:pPr>
            <w:r>
              <w:rPr>
                <w:rFonts w:ascii="Calibri" w:hAnsi="Calibri"/>
                <w:b w:val="0"/>
                <w:color w:val="37474F"/>
                <w:sz w:val="18"/>
              </w:rPr>
              <w:t>Series A</w:t>
            </w:r>
          </w:p>
        </w:tc>
      </w:tr>
    </w:tbl>
    <w:p>
      <w:pPr>
        <w:spacing w:after="160"/>
      </w:pP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290"/>
            <w:shd w:val="clear" w:color="auto" w:fill="D6EAF8"/>
            <w:vAlign w:val="center"/>
          </w:tcPr>
          <w:p/>
          <w:p>
            <w:pPr>
              <w:spacing w:before="120"/>
              <w:jc w:val="center"/>
            </w:pPr>
            <w:r>
              <w:rPr>
                <w:rFonts w:ascii="Calibri" w:hAnsi="Calibri"/>
                <w:b/>
                <w:color w:val="00BCD4"/>
                <w:sz w:val="48"/>
              </w:rPr>
              <w:t>86%</w:t>
            </w:r>
          </w:p>
          <w:p>
            <w:pPr>
              <w:spacing w:after="120"/>
              <w:jc w:val="center"/>
            </w:pPr>
            <w:r>
              <w:rPr>
                <w:rFonts w:ascii="Calibri" w:hAnsi="Calibri"/>
                <w:color w:val="78909C"/>
                <w:sz w:val="16"/>
              </w:rPr>
              <w:t>Target gross margin (Year 5)</w:t>
            </w:r>
          </w:p>
        </w:tc>
        <w:tc>
          <w:tcPr>
            <w:tcW w:type="dxa" w:w="4290"/>
            <w:shd w:val="clear" w:color="auto" w:fill="D5F5E3"/>
            <w:vAlign w:val="center"/>
          </w:tcPr>
          <w:p/>
          <w:p>
            <w:pPr>
              <w:spacing w:before="120"/>
              <w:jc w:val="center"/>
            </w:pPr>
            <w:r>
              <w:rPr>
                <w:rFonts w:ascii="Calibri" w:hAnsi="Calibri"/>
                <w:b/>
                <w:color w:val="00C853"/>
                <w:sz w:val="48"/>
              </w:rPr>
              <w:t>Year 3</w:t>
            </w:r>
          </w:p>
          <w:p>
            <w:pPr>
              <w:spacing w:after="120"/>
              <w:jc w:val="center"/>
            </w:pPr>
            <w:r>
              <w:rPr>
                <w:rFonts w:ascii="Calibri" w:hAnsi="Calibri"/>
                <w:color w:val="78909C"/>
                <w:sz w:val="16"/>
              </w:rPr>
              <w:t>EBITDA breakeven</w:t>
            </w:r>
          </w:p>
        </w:tc>
        <w:tc>
          <w:tcPr>
            <w:tcW w:type="dxa" w:w="4290"/>
            <w:shd w:val="clear" w:color="auto" w:fill="FFF9E6"/>
            <w:vAlign w:val="center"/>
          </w:tcPr>
          <w:p/>
          <w:p>
            <w:pPr>
              <w:spacing w:before="120"/>
              <w:jc w:val="center"/>
            </w:pPr>
            <w:r>
              <w:rPr>
                <w:rFonts w:ascii="Calibri" w:hAnsi="Calibri"/>
                <w:b/>
                <w:color w:val="FF8F00"/>
                <w:sz w:val="48"/>
              </w:rPr>
              <w:t>$600k</w:t>
            </w:r>
          </w:p>
          <w:p>
            <w:pPr>
              <w:spacing w:after="120"/>
              <w:jc w:val="center"/>
            </w:pPr>
            <w:r>
              <w:rPr>
                <w:rFonts w:ascii="Calibri" w:hAnsi="Calibri"/>
                <w:color w:val="78909C"/>
                <w:sz w:val="16"/>
              </w:rPr>
              <w:t>Average enterprise ACV</w:t>
            </w:r>
          </w:p>
        </w:tc>
        <w:tc>
          <w:tcPr>
            <w:tcW w:type="dxa" w:w="4290"/>
            <w:shd w:val="clear" w:color="auto" w:fill="EBF5FB"/>
            <w:vAlign w:val="center"/>
          </w:tcPr>
          <w:p/>
          <w:p>
            <w:pPr>
              <w:spacing w:before="120"/>
              <w:jc w:val="center"/>
            </w:pPr>
            <w:r>
              <w:rPr>
                <w:rFonts w:ascii="Calibri" w:hAnsi="Calibri"/>
                <w:b/>
                <w:color w:val="1565C0"/>
                <w:sz w:val="48"/>
              </w:rPr>
              <w:t>12×</w:t>
            </w:r>
          </w:p>
          <w:p>
            <w:pPr>
              <w:spacing w:after="120"/>
              <w:jc w:val="center"/>
            </w:pPr>
            <w:r>
              <w:rPr>
                <w:rFonts w:ascii="Calibri" w:hAnsi="Calibri"/>
                <w:color w:val="78909C"/>
                <w:sz w:val="16"/>
              </w:rPr>
              <w:t>Target EV/ARR multiple (Year 5)</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GO-TO-MARKET STRATEGY</w:t>
            </w:r>
          </w:p>
        </w:tc>
        <w:tc>
          <w:tcPr>
            <w:tcW w:type="dxa" w:w="5149"/>
            <w:shd w:val="clear" w:color="auto" w:fill="0A1628"/>
            <w:vAlign w:val="center"/>
          </w:tcPr>
          <w:p>
            <w:pPr>
              <w:jc w:val="right"/>
            </w:pPr>
            <w:r>
              <w:rPr>
                <w:rFonts w:ascii="Calibri" w:hAnsi="Calibri"/>
                <w:color w:val="78909C"/>
                <w:sz w:val="16"/>
              </w:rPr>
              <w:t>11 / 16</w:t>
            </w:r>
          </w:p>
        </w:tc>
      </w:tr>
    </w:tbl>
    <w:p>
      <w:pPr>
        <w:spacing w:after="120"/>
      </w:pPr>
    </w:p>
    <w:p>
      <w:pPr>
        <w:spacing w:before="0" w:after="80"/>
        <w:jc w:val="left"/>
      </w:pPr>
      <w:r>
        <w:rPr>
          <w:rFonts w:ascii="Calibri" w:hAnsi="Calibri"/>
          <w:b/>
          <w:color w:val="0A1628"/>
          <w:sz w:val="56"/>
        </w:rPr>
        <w:t>Land, Expand, Dominate</w:t>
      </w:r>
    </w:p>
    <w:p>
      <w:pPr>
        <w:spacing w:before="0" w:after="160"/>
        <w:jc w:val="left"/>
      </w:pPr>
      <w:r>
        <w:rPr>
          <w:rFonts w:ascii="Calibri" w:hAnsi="Calibri"/>
          <w:b w:val="0"/>
          <w:i/>
          <w:color w:val="37474F"/>
          <w:sz w:val="22"/>
        </w:rPr>
        <w:t>Start with independents (fast sales, quick wins), expand to NOCs and service companies via channel.</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vAlign w:val="top"/>
          </w:tcPr>
          <w:p/>
          <w:p>
            <w:pPr>
              <w:spacing w:before="120"/>
            </w:pPr>
            <w:r>
              <w:rPr>
                <w:rFonts w:ascii="Calibri" w:hAnsi="Calibri"/>
                <w:b/>
                <w:color w:val="1565C0"/>
                <w:sz w:val="16"/>
              </w:rPr>
              <w:t>Phase 1  ·  Months 1–12</w:t>
            </w:r>
          </w:p>
          <w:p>
            <w:pPr>
              <w:spacing w:after="160"/>
            </w:pPr>
            <w:r>
              <w:rPr>
                <w:rFonts w:ascii="Calibri" w:hAnsi="Calibri"/>
                <w:b/>
                <w:color w:val="0A1628"/>
                <w:sz w:val="26"/>
              </w:rPr>
              <w:t>Land: Quick Wins</w:t>
            </w:r>
          </w:p>
          <w:p>
            <w:pPr>
              <w:spacing w:before="40" w:after="40"/>
            </w:pPr>
            <w:r>
              <w:rPr>
                <w:rFonts w:ascii="Calibri" w:hAnsi="Calibri"/>
                <w:color w:val="37474F"/>
                <w:sz w:val="18"/>
              </w:rPr>
              <w:t>◆  Free Norne benchmark demo — every prospect runs it Day 1</w:t>
            </w:r>
          </w:p>
          <w:p>
            <w:pPr>
              <w:spacing w:before="40" w:after="40"/>
            </w:pPr>
            <w:r>
              <w:rPr>
                <w:rFonts w:ascii="Calibri" w:hAnsi="Calibri"/>
                <w:color w:val="37474F"/>
                <w:sz w:val="18"/>
              </w:rPr>
              <w:t>◆  Target 15 Professional accounts via direct outreach at SPE/ADIPEC</w:t>
            </w:r>
          </w:p>
          <w:p>
            <w:pPr>
              <w:spacing w:before="40" w:after="40"/>
            </w:pPr>
            <w:r>
              <w:rPr>
                <w:rFonts w:ascii="Calibri" w:hAnsi="Calibri"/>
                <w:color w:val="37474F"/>
                <w:sz w:val="18"/>
              </w:rPr>
              <w:t>◆  Publish 3 peer-reviewed case studies with early adopters</w:t>
            </w:r>
          </w:p>
          <w:p>
            <w:pPr>
              <w:spacing w:before="40" w:after="40"/>
            </w:pPr>
            <w:r>
              <w:rPr>
                <w:rFonts w:ascii="Calibri" w:hAnsi="Calibri"/>
                <w:color w:val="37474F"/>
                <w:sz w:val="18"/>
              </w:rPr>
              <w:t>◆  GitHub open-source community tier — build developer mindshare</w:t>
            </w:r>
          </w:p>
          <w:p>
            <w:pPr>
              <w:spacing w:before="40" w:after="40"/>
            </w:pPr>
            <w:r>
              <w:rPr>
                <w:rFonts w:ascii="Calibri" w:hAnsi="Calibri"/>
                <w:color w:val="37474F"/>
                <w:sz w:val="18"/>
              </w:rPr>
              <w:t>◆  University partnerships (Heriot-Watt, Imperial, KFUPM)</w:t>
            </w:r>
          </w:p>
          <w:p>
            <w:pPr>
              <w:spacing w:before="40" w:after="40"/>
            </w:pPr>
            <w:r>
              <w:rPr>
                <w:rFonts w:ascii="Calibri" w:hAnsi="Calibri"/>
                <w:color w:val="37474F"/>
                <w:sz w:val="18"/>
              </w:rPr>
              <w:t>◆  Free webinar series: "History matching in 1 hour" — lead gen</w:t>
            </w:r>
          </w:p>
        </w:tc>
        <w:tc>
          <w:tcPr>
            <w:tcW w:type="dxa" w:w="5607"/>
            <w:shd w:val="clear" w:color="auto" w:fill="D5F5E3"/>
            <w:vAlign w:val="top"/>
          </w:tcPr>
          <w:p/>
          <w:p>
            <w:pPr>
              <w:spacing w:before="120"/>
            </w:pPr>
            <w:r>
              <w:rPr>
                <w:rFonts w:ascii="Calibri" w:hAnsi="Calibri"/>
                <w:b/>
                <w:color w:val="00C853"/>
                <w:sz w:val="16"/>
              </w:rPr>
              <w:t>Phase 2  ·  Months 12–24</w:t>
            </w:r>
          </w:p>
          <w:p>
            <w:pPr>
              <w:spacing w:after="160"/>
            </w:pPr>
            <w:r>
              <w:rPr>
                <w:rFonts w:ascii="Calibri" w:hAnsi="Calibri"/>
                <w:b/>
                <w:color w:val="0A1628"/>
                <w:sz w:val="26"/>
              </w:rPr>
              <w:t>Expand: Channel &amp; NOCs</w:t>
            </w:r>
          </w:p>
          <w:p>
            <w:pPr>
              <w:spacing w:before="40" w:after="40"/>
            </w:pPr>
            <w:r>
              <w:rPr>
                <w:rFonts w:ascii="Calibri" w:hAnsi="Calibri"/>
                <w:color w:val="37474F"/>
                <w:sz w:val="18"/>
              </w:rPr>
              <w:t>◆  Hire 4 technical sales engineers (ex-reservoir engineers)</w:t>
            </w:r>
          </w:p>
          <w:p>
            <w:pPr>
              <w:spacing w:before="40" w:after="40"/>
            </w:pPr>
            <w:r>
              <w:rPr>
                <w:rFonts w:ascii="Calibri" w:hAnsi="Calibri"/>
                <w:color w:val="37474F"/>
                <w:sz w:val="18"/>
              </w:rPr>
              <w:t>◆  Reseller agreements: Middle East, SE Asia, LatAm consultancies</w:t>
            </w:r>
          </w:p>
          <w:p>
            <w:pPr>
              <w:spacing w:before="40" w:after="40"/>
            </w:pPr>
            <w:r>
              <w:rPr>
                <w:rFonts w:ascii="Calibri" w:hAnsi="Calibri"/>
                <w:color w:val="37474F"/>
                <w:sz w:val="18"/>
              </w:rPr>
              <w:t>◆  First NOC pilot — ADNOC or Petronas technology partnership MoU</w:t>
            </w:r>
          </w:p>
          <w:p>
            <w:pPr>
              <w:spacing w:before="40" w:after="40"/>
            </w:pPr>
            <w:r>
              <w:rPr>
                <w:rFonts w:ascii="Calibri" w:hAnsi="Calibri"/>
                <w:color w:val="37474F"/>
                <w:sz w:val="18"/>
              </w:rPr>
              <w:t>◆  Integration with ResInsight — credibility with Equinor ecosystem</w:t>
            </w:r>
          </w:p>
          <w:p>
            <w:pPr>
              <w:spacing w:before="40" w:after="40"/>
            </w:pPr>
            <w:r>
              <w:rPr>
                <w:rFonts w:ascii="Calibri" w:hAnsi="Calibri"/>
                <w:color w:val="37474F"/>
                <w:sz w:val="18"/>
              </w:rPr>
              <w:t>◆  Pre-trained surrogate marketplace launch</w:t>
            </w:r>
          </w:p>
          <w:p>
            <w:pPr>
              <w:spacing w:before="40" w:after="40"/>
            </w:pPr>
            <w:r>
              <w:rPr>
                <w:rFonts w:ascii="Calibri" w:hAnsi="Calibri"/>
                <w:color w:val="37474F"/>
                <w:sz w:val="18"/>
              </w:rPr>
              <w:t>◆  Cloud product launch (pay-per-run, no install barrier)</w:t>
            </w:r>
          </w:p>
        </w:tc>
        <w:tc>
          <w:tcPr>
            <w:tcW w:type="dxa" w:w="5607"/>
            <w:shd w:val="clear" w:color="auto" w:fill="FFF9E6"/>
            <w:vAlign w:val="top"/>
          </w:tcPr>
          <w:p/>
          <w:p>
            <w:pPr>
              <w:spacing w:before="120"/>
            </w:pPr>
            <w:r>
              <w:rPr>
                <w:rFonts w:ascii="Calibri" w:hAnsi="Calibri"/>
                <w:b/>
                <w:color w:val="FF8F00"/>
                <w:sz w:val="16"/>
              </w:rPr>
              <w:t>Phase 3  ·  Months 24–48</w:t>
            </w:r>
          </w:p>
          <w:p>
            <w:pPr>
              <w:spacing w:after="160"/>
            </w:pPr>
            <w:r>
              <w:rPr>
                <w:rFonts w:ascii="Calibri" w:hAnsi="Calibri"/>
                <w:b/>
                <w:color w:val="0A1628"/>
                <w:sz w:val="26"/>
              </w:rPr>
              <w:t>Dominate: Enterprise</w:t>
            </w:r>
          </w:p>
          <w:p>
            <w:pPr>
              <w:spacing w:before="40" w:after="40"/>
            </w:pPr>
            <w:r>
              <w:rPr>
                <w:rFonts w:ascii="Calibri" w:hAnsi="Calibri"/>
                <w:color w:val="37474F"/>
                <w:sz w:val="18"/>
              </w:rPr>
              <w:t>◆  Full enterprise sales — dedicated AEs per region</w:t>
            </w:r>
          </w:p>
          <w:p>
            <w:pPr>
              <w:spacing w:before="40" w:after="40"/>
            </w:pPr>
            <w:r>
              <w:rPr>
                <w:rFonts w:ascii="Calibri" w:hAnsi="Calibri"/>
                <w:color w:val="37474F"/>
                <w:sz w:val="18"/>
              </w:rPr>
              <w:t>◆  OEM licensing deal with 1–2 major oilfield service companies</w:t>
            </w:r>
          </w:p>
          <w:p>
            <w:pPr>
              <w:spacing w:before="40" w:after="40"/>
            </w:pPr>
            <w:r>
              <w:rPr>
                <w:rFonts w:ascii="Calibri" w:hAnsi="Calibri"/>
                <w:color w:val="37474F"/>
                <w:sz w:val="18"/>
              </w:rPr>
              <w:t>◆  ISO 9001 quality certification for regulatory acceptance</w:t>
            </w:r>
          </w:p>
          <w:p>
            <w:pPr>
              <w:spacing w:before="40" w:after="40"/>
            </w:pPr>
            <w:r>
              <w:rPr>
                <w:rFonts w:ascii="Calibri" w:hAnsi="Calibri"/>
                <w:color w:val="37474F"/>
                <w:sz w:val="18"/>
              </w:rPr>
              <w:t>◆  SPE reserves certification pathway — enables SEC filings</w:t>
            </w:r>
          </w:p>
          <w:p>
            <w:pPr>
              <w:spacing w:before="40" w:after="40"/>
            </w:pPr>
            <w:r>
              <w:rPr>
                <w:rFonts w:ascii="Calibri" w:hAnsi="Calibri"/>
                <w:color w:val="37474F"/>
                <w:sz w:val="18"/>
              </w:rPr>
              <w:t>◆  Compositional + geomechanics extension: deepwater/unconventional</w:t>
            </w:r>
          </w:p>
          <w:p>
            <w:pPr>
              <w:spacing w:before="40" w:after="40"/>
            </w:pPr>
            <w:r>
              <w:rPr>
                <w:rFonts w:ascii="Calibri" w:hAnsi="Calibri"/>
                <w:color w:val="37474F"/>
                <w:sz w:val="18"/>
              </w:rPr>
              <w:t>◆  Cloud platform becomes majority of revenue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PRODUCT ROADMAP</w:t>
            </w:r>
          </w:p>
        </w:tc>
        <w:tc>
          <w:tcPr>
            <w:tcW w:type="dxa" w:w="5149"/>
            <w:shd w:val="clear" w:color="auto" w:fill="0A1628"/>
            <w:vAlign w:val="center"/>
          </w:tcPr>
          <w:p>
            <w:pPr>
              <w:jc w:val="right"/>
            </w:pPr>
            <w:r>
              <w:rPr>
                <w:rFonts w:ascii="Calibri" w:hAnsi="Calibri"/>
                <w:color w:val="78909C"/>
                <w:sz w:val="16"/>
              </w:rPr>
              <w:t>12 / 16</w:t>
            </w:r>
          </w:p>
        </w:tc>
      </w:tr>
    </w:tbl>
    <w:p>
      <w:pPr>
        <w:spacing w:after="120"/>
      </w:pPr>
    </w:p>
    <w:p>
      <w:pPr>
        <w:spacing w:before="0" w:after="80"/>
        <w:jc w:val="left"/>
      </w:pPr>
      <w:r>
        <w:rPr>
          <w:rFonts w:ascii="Calibri" w:hAnsi="Calibri"/>
          <w:b/>
          <w:color w:val="0A1628"/>
          <w:sz w:val="56"/>
        </w:rPr>
        <w:t>Build Plan — From Prototype to Platform</w:t>
      </w:r>
    </w:p>
    <w:p>
      <w:pPr>
        <w:spacing w:before="0" w:after="160"/>
        <w:jc w:val="left"/>
      </w:pPr>
      <w:r>
        <w:rPr>
          <w:rFonts w:ascii="Calibri" w:hAnsi="Calibri"/>
          <w:b w:val="0"/>
          <w:i/>
          <w:color w:val="37474F"/>
          <w:sz w:val="22"/>
        </w:rPr>
        <w:t>Three production versions shipped. Research-grade AI intelligence now embedded in the core product.</w:t>
      </w:r>
    </w:p>
    <w:tbl>
      <w:tblPr>
        <w:tblStyle w:val="TableGrid"/>
        <w:tblW w:type="auto" w:w="0"/>
        <w:jc w:val="center"/>
        <w:tblLook w:firstColumn="1" w:firstRow="1" w:lastColumn="0" w:lastRow="0" w:noHBand="0" w:noVBand="1" w:val="04A0"/>
      </w:tblPr>
      <w:tblGrid>
        <w:gridCol w:w="3432"/>
        <w:gridCol w:w="3432"/>
        <w:gridCol w:w="3432"/>
        <w:gridCol w:w="3432"/>
        <w:gridCol w:w="3432"/>
      </w:tblGrid>
      <w:tr>
        <w:tc>
          <w:tcPr>
            <w:tcW w:type="dxa" w:w="3376"/>
            <w:shd w:val="clear" w:color="auto" w:fill="D6EAF8"/>
            <w:vAlign w:val="top"/>
          </w:tcPr>
          <w:p/>
          <w:p>
            <w:pPr>
              <w:spacing w:before="160" w:after="160"/>
            </w:pPr>
            <w:r>
              <w:rPr>
                <w:rFonts w:ascii="Calibri" w:hAnsi="Calibri"/>
                <w:b/>
                <w:color w:val="00BCD4"/>
                <w:sz w:val="20"/>
              </w:rPr>
              <w:t>✅  Shipped — v1.1 Foundation</w:t>
            </w:r>
          </w:p>
          <w:p>
            <w:pPr>
              <w:spacing w:before="40" w:after="40"/>
            </w:pPr>
            <w:r>
              <w:rPr>
                <w:rFonts w:ascii="Calibri" w:hAnsi="Calibri"/>
                <w:color w:val="37474F"/>
                <w:sz w:val="18"/>
              </w:rPr>
              <w:t>→  Python gRPC engine + JAX αREKI</w:t>
            </w:r>
          </w:p>
          <w:p>
            <w:pPr>
              <w:spacing w:before="40" w:after="40"/>
            </w:pPr>
            <w:r>
              <w:rPr>
                <w:rFonts w:ascii="Calibri" w:hAnsi="Calibri"/>
                <w:color w:val="37474F"/>
                <w:sz w:val="18"/>
              </w:rPr>
              <w:t>→  Ollama AI assistant (8 live tools)</w:t>
            </w:r>
          </w:p>
          <w:p>
            <w:pPr>
              <w:spacing w:before="40" w:after="40"/>
            </w:pPr>
            <w:r>
              <w:rPr>
                <w:rFonts w:ascii="Calibri" w:hAnsi="Calibri"/>
                <w:color w:val="37474F"/>
                <w:sz w:val="18"/>
              </w:rPr>
              <w:t>→  .NET 8 WPF desktop — full MVVM</w:t>
            </w:r>
          </w:p>
          <w:p>
            <w:pPr>
              <w:spacing w:before="40" w:after="40"/>
            </w:pPr>
            <w:r>
              <w:rPr>
                <w:rFonts w:ascii="Calibri" w:hAnsi="Calibri"/>
                <w:color w:val="37474F"/>
                <w:sz w:val="18"/>
              </w:rPr>
              <w:t>→  Protocol Buffer bidirectional streaming</w:t>
            </w:r>
          </w:p>
          <w:p>
            <w:pPr>
              <w:spacing w:before="40" w:after="40"/>
            </w:pPr>
            <w:r>
              <w:rPr>
                <w:rFonts w:ascii="Calibri" w:hAnsi="Calibri"/>
                <w:color w:val="37474F"/>
                <w:sz w:val="18"/>
              </w:rPr>
              <w:t>→  PVT + well model (config-driven)</w:t>
            </w:r>
          </w:p>
          <w:p>
            <w:pPr>
              <w:spacing w:before="40" w:after="40"/>
            </w:pPr>
            <w:r>
              <w:rPr>
                <w:rFonts w:ascii="Calibri" w:hAnsi="Calibri"/>
                <w:color w:val="37474F"/>
                <w:sz w:val="18"/>
              </w:rPr>
              <w:t>→  Dashboard + HM + Training views</w:t>
            </w:r>
          </w:p>
          <w:p>
            <w:pPr>
              <w:spacing w:before="40" w:after="40"/>
            </w:pPr>
            <w:r>
              <w:rPr>
                <w:rFonts w:ascii="Calibri" w:hAnsi="Calibri"/>
                <w:color w:val="37474F"/>
                <w:sz w:val="18"/>
              </w:rPr>
              <w:t>→  Eclipse .DATA/.EGRID/.UNRST reader</w:t>
            </w:r>
          </w:p>
          <w:p>
            <w:pPr>
              <w:spacing w:before="40" w:after="40"/>
            </w:pPr>
            <w:r>
              <w:rPr>
                <w:rFonts w:ascii="Calibri" w:hAnsi="Calibri"/>
                <w:color w:val="37474F"/>
                <w:sz w:val="18"/>
              </w:rPr>
              <w:t>→  VCAE + DDIM priors, CCR well model</w:t>
            </w:r>
          </w:p>
        </w:tc>
        <w:tc>
          <w:tcPr>
            <w:tcW w:type="dxa" w:w="3376"/>
            <w:shd w:val="clear" w:color="auto" w:fill="D5F5E3"/>
            <w:vAlign w:val="top"/>
          </w:tcPr>
          <w:p/>
          <w:p>
            <w:pPr>
              <w:spacing w:before="160" w:after="160"/>
            </w:pPr>
            <w:r>
              <w:rPr>
                <w:rFonts w:ascii="Calibri" w:hAnsi="Calibri"/>
                <w:b/>
                <w:color w:val="00C853"/>
                <w:sz w:val="20"/>
              </w:rPr>
              <w:t>✅  Shipped — v1.2 Production</w:t>
            </w:r>
          </w:p>
          <w:p>
            <w:pPr>
              <w:spacing w:before="40" w:after="40"/>
            </w:pPr>
            <w:r>
              <w:rPr>
                <w:rFonts w:ascii="Calibri" w:hAnsi="Calibri"/>
                <w:color w:val="37474F"/>
                <w:sz w:val="18"/>
              </w:rPr>
              <w:t>→  3D reservoir viewer (HelixToolkit)</w:t>
            </w:r>
          </w:p>
          <w:p>
            <w:pPr>
              <w:spacing w:before="40" w:after="40"/>
            </w:pPr>
            <w:r>
              <w:rPr>
                <w:rFonts w:ascii="Calibri" w:hAnsi="Calibri"/>
                <w:color w:val="37474F"/>
                <w:sz w:val="18"/>
              </w:rPr>
              <w:t>→  2D I/J/K cross-section viewer</w:t>
            </w:r>
          </w:p>
          <w:p>
            <w:pPr>
              <w:spacing w:before="40" w:after="40"/>
            </w:pPr>
            <w:r>
              <w:rPr>
                <w:rFonts w:ascii="Calibri" w:hAnsi="Calibri"/>
                <w:color w:val="37474F"/>
                <w:sz w:val="18"/>
              </w:rPr>
              <w:t>→  QuestPDF HM reports + EUR export</w:t>
            </w:r>
          </w:p>
          <w:p>
            <w:pPr>
              <w:spacing w:before="40" w:after="40"/>
            </w:pPr>
            <w:r>
              <w:rPr>
                <w:rFonts w:ascii="Calibri" w:hAnsi="Calibri"/>
                <w:color w:val="37474F"/>
                <w:sz w:val="18"/>
              </w:rPr>
              <w:t>→  ClosedXML Excel ensemble export</w:t>
            </w:r>
          </w:p>
          <w:p>
            <w:pPr>
              <w:spacing w:before="40" w:after="40"/>
            </w:pPr>
            <w:r>
              <w:rPr>
                <w:rFonts w:ascii="Calibri" w:hAnsi="Calibri"/>
                <w:color w:val="37474F"/>
                <w:sz w:val="18"/>
              </w:rPr>
              <w:t>→  AES-256-GCM project encryption</w:t>
            </w:r>
          </w:p>
          <w:p>
            <w:pPr>
              <w:spacing w:before="40" w:after="40"/>
            </w:pPr>
            <w:r>
              <w:rPr>
                <w:rFonts w:ascii="Calibri" w:hAnsi="Calibri"/>
                <w:color w:val="37474F"/>
                <w:sz w:val="18"/>
              </w:rPr>
              <w:t>→  PINO pre-training CLI (Norne)</w:t>
            </w:r>
          </w:p>
          <w:p>
            <w:pPr>
              <w:spacing w:before="40" w:after="40"/>
            </w:pPr>
            <w:r>
              <w:rPr>
                <w:rFonts w:ascii="Calibri" w:hAnsi="Calibri"/>
                <w:color w:val="37474F"/>
                <w:sz w:val="18"/>
              </w:rPr>
              <w:t>→  GitHub Actions CI/CD + WiX</w:t>
            </w:r>
          </w:p>
          <w:p>
            <w:pPr>
              <w:spacing w:before="40" w:after="40"/>
            </w:pPr>
            <w:r>
              <w:rPr>
                <w:rFonts w:ascii="Calibri" w:hAnsi="Calibri"/>
                <w:color w:val="37474F"/>
                <w:sz w:val="18"/>
              </w:rPr>
              <w:t>→  SQLite DB — Python + EF Core</w:t>
            </w:r>
          </w:p>
        </w:tc>
        <w:tc>
          <w:tcPr>
            <w:tcW w:type="dxa" w:w="3376"/>
            <w:shd w:val="clear" w:color="auto" w:fill="F3E5F5"/>
            <w:vAlign w:val="top"/>
          </w:tcPr>
          <w:p/>
          <w:p>
            <w:pPr>
              <w:spacing w:before="160" w:after="160"/>
            </w:pPr>
            <w:r>
              <w:rPr>
                <w:rFonts w:ascii="Calibri" w:hAnsi="Calibri"/>
                <w:b/>
                <w:color w:val="7B1FA2"/>
                <w:sz w:val="20"/>
              </w:rPr>
              <w:t>✅  Shipped — v1.3 Intelligence</w:t>
            </w:r>
          </w:p>
          <w:p>
            <w:pPr>
              <w:spacing w:before="40" w:after="40"/>
            </w:pPr>
            <w:r>
              <w:rPr>
                <w:rFonts w:ascii="Calibri" w:hAnsi="Calibri"/>
                <w:color w:val="37474F"/>
                <w:sz w:val="18"/>
              </w:rPr>
              <w:t>→  Hybrid RAG (ChromaDB + BM25)</w:t>
            </w:r>
          </w:p>
          <w:p>
            <w:pPr>
              <w:spacing w:before="40" w:after="40"/>
            </w:pPr>
            <w:r>
              <w:rPr>
                <w:rFonts w:ascii="Calibri" w:hAnsi="Calibri"/>
                <w:color w:val="37474F"/>
                <w:sz w:val="18"/>
              </w:rPr>
              <w:t>→  Cross-encoder reranking (MiniLM)</w:t>
            </w:r>
          </w:p>
          <w:p>
            <w:pPr>
              <w:spacing w:before="40" w:after="40"/>
            </w:pPr>
            <w:r>
              <w:rPr>
                <w:rFonts w:ascii="Calibri" w:hAnsi="Calibri"/>
                <w:color w:val="37474F"/>
                <w:sz w:val="18"/>
              </w:rPr>
              <w:t>→  Multi-query HyDE expansion</w:t>
            </w:r>
          </w:p>
          <w:p>
            <w:pPr>
              <w:spacing w:before="40" w:after="40"/>
            </w:pPr>
            <w:r>
              <w:rPr>
                <w:rFonts w:ascii="Calibri" w:hAnsi="Calibri"/>
                <w:color w:val="37474F"/>
                <w:sz w:val="18"/>
              </w:rPr>
              <w:t>→  Reservoir Knowledge Graph (networkx)</w:t>
            </w:r>
          </w:p>
          <w:p>
            <w:pPr>
              <w:spacing w:before="40" w:after="40"/>
            </w:pPr>
            <w:r>
              <w:rPr>
                <w:rFonts w:ascii="Calibri" w:hAnsi="Calibri"/>
                <w:color w:val="37474F"/>
                <w:sz w:val="18"/>
              </w:rPr>
              <w:t>→  20-pattern NL query engine</w:t>
            </w:r>
          </w:p>
          <w:p>
            <w:pPr>
              <w:spacing w:before="40" w:after="40"/>
            </w:pPr>
            <w:r>
              <w:rPr>
                <w:rFonts w:ascii="Calibri" w:hAnsi="Calibri"/>
                <w:color w:val="37474F"/>
                <w:sz w:val="18"/>
              </w:rPr>
              <w:t>→  Index PDFs / LAS / CSV / reports</w:t>
            </w:r>
          </w:p>
          <w:p>
            <w:pPr>
              <w:spacing w:before="40" w:after="40"/>
            </w:pPr>
            <w:r>
              <w:rPr>
                <w:rFonts w:ascii="Calibri" w:hAnsi="Calibri"/>
                <w:color w:val="37474F"/>
                <w:sz w:val="18"/>
              </w:rPr>
              <w:t>→  query_reservoir_graph tool</w:t>
            </w:r>
          </w:p>
          <w:p>
            <w:pPr>
              <w:spacing w:before="40" w:after="40"/>
            </w:pPr>
            <w:r>
              <w:rPr>
                <w:rFonts w:ascii="Calibri" w:hAnsi="Calibri"/>
                <w:color w:val="37474F"/>
                <w:sz w:val="18"/>
              </w:rPr>
              <w:t>→  search_project_knowledge tool</w:t>
            </w:r>
          </w:p>
        </w:tc>
        <w:tc>
          <w:tcPr>
            <w:tcW w:type="dxa" w:w="3376"/>
            <w:shd w:val="clear" w:color="auto" w:fill="EBF5FB"/>
            <w:vAlign w:val="top"/>
          </w:tcPr>
          <w:p/>
          <w:p>
            <w:pPr>
              <w:spacing w:before="160" w:after="160"/>
            </w:pPr>
            <w:r>
              <w:rPr>
                <w:rFonts w:ascii="Calibri" w:hAnsi="Calibri"/>
                <w:b/>
                <w:color w:val="1565C0"/>
                <w:sz w:val="20"/>
              </w:rPr>
              <w:t>✅  Shipped — v2.0 Scale-Out</w:t>
            </w:r>
          </w:p>
          <w:p>
            <w:pPr>
              <w:spacing w:before="40" w:after="40"/>
            </w:pPr>
            <w:r>
              <w:rPr>
                <w:rFonts w:ascii="Calibri" w:hAnsi="Calibri"/>
                <w:color w:val="37474F"/>
                <w:sz w:val="18"/>
              </w:rPr>
              <w:t>→  FastAPI REST API (10 routes)</w:t>
            </w:r>
          </w:p>
          <w:p>
            <w:pPr>
              <w:spacing w:before="40" w:after="40"/>
            </w:pPr>
            <w:r>
              <w:rPr>
                <w:rFonts w:ascii="Calibri" w:hAnsi="Calibri"/>
                <w:color w:val="37474F"/>
                <w:sz w:val="18"/>
              </w:rPr>
              <w:t>→  API key auth + CORS middleware</w:t>
            </w:r>
          </w:p>
          <w:p>
            <w:pPr>
              <w:spacing w:before="40" w:after="40"/>
            </w:pPr>
            <w:r>
              <w:rPr>
                <w:rFonts w:ascii="Calibri" w:hAnsi="Calibri"/>
                <w:color w:val="37474F"/>
                <w:sz w:val="18"/>
              </w:rPr>
              <w:t>→  Docker CUDA 12.4 image</w:t>
            </w:r>
          </w:p>
          <w:p>
            <w:pPr>
              <w:spacing w:before="40" w:after="40"/>
            </w:pPr>
            <w:r>
              <w:rPr>
                <w:rFonts w:ascii="Calibri" w:hAnsi="Calibri"/>
                <w:color w:val="37474F"/>
                <w:sz w:val="18"/>
              </w:rPr>
              <w:t>→  docker-compose SQLite + PostgreSQL</w:t>
            </w:r>
          </w:p>
          <w:p>
            <w:pPr>
              <w:spacing w:before="40" w:after="40"/>
            </w:pPr>
            <w:r>
              <w:rPr>
                <w:rFonts w:ascii="Calibri" w:hAnsi="Calibri"/>
                <w:color w:val="37474F"/>
                <w:sz w:val="18"/>
              </w:rPr>
              <w:t>→  tNavigator .sim ↔ .pfproj bridge</w:t>
            </w:r>
          </w:p>
          <w:p>
            <w:pPr>
              <w:spacing w:before="40" w:after="40"/>
            </w:pPr>
            <w:r>
              <w:rPr>
                <w:rFonts w:ascii="Calibri" w:hAnsi="Calibri"/>
                <w:color w:val="37474F"/>
                <w:sz w:val="18"/>
              </w:rPr>
              <w:t>→  SSE streaming for agent chat</w:t>
            </w:r>
          </w:p>
          <w:p>
            <w:pPr>
              <w:spacing w:before="40" w:after="40"/>
            </w:pPr>
            <w:r>
              <w:rPr>
                <w:rFonts w:ascii="Calibri" w:hAnsi="Calibri"/>
                <w:color w:val="37474F"/>
                <w:sz w:val="18"/>
              </w:rPr>
              <w:t>→  DatabaseService singleton</w:t>
            </w:r>
          </w:p>
          <w:p>
            <w:pPr>
              <w:spacing w:before="40" w:after="40"/>
            </w:pPr>
            <w:r>
              <w:rPr>
                <w:rFonts w:ascii="Calibri" w:hAnsi="Calibri"/>
                <w:color w:val="37474F"/>
                <w:sz w:val="18"/>
              </w:rPr>
              <w:t>→  n_ensemble + per-well RMSE tracking</w:t>
            </w:r>
          </w:p>
        </w:tc>
        <w:tc>
          <w:tcPr>
            <w:tcW w:type="dxa" w:w="3376"/>
            <w:shd w:val="clear" w:color="auto" w:fill="FFF9E6"/>
            <w:vAlign w:val="top"/>
          </w:tcPr>
          <w:p/>
          <w:p>
            <w:pPr>
              <w:spacing w:before="160" w:after="160"/>
            </w:pPr>
            <w:r>
              <w:rPr>
                <w:rFonts w:ascii="Calibri" w:hAnsi="Calibri"/>
                <w:b/>
                <w:color w:val="FF8F00"/>
                <w:sz w:val="20"/>
              </w:rPr>
              <w:t>🔮  Next — v2.1 Cloud</w:t>
            </w:r>
          </w:p>
          <w:p>
            <w:pPr>
              <w:spacing w:before="40" w:after="40"/>
            </w:pPr>
            <w:r>
              <w:rPr>
                <w:rFonts w:ascii="Calibri" w:hAnsi="Calibri"/>
                <w:color w:val="37474F"/>
                <w:sz w:val="18"/>
              </w:rPr>
              <w:t>→  Managed GPU cloud (SaaS)</w:t>
            </w:r>
          </w:p>
          <w:p>
            <w:pPr>
              <w:spacing w:before="40" w:after="40"/>
            </w:pPr>
            <w:r>
              <w:rPr>
                <w:rFonts w:ascii="Calibri" w:hAnsi="Calibri"/>
                <w:color w:val="37474F"/>
                <w:sz w:val="18"/>
              </w:rPr>
              <w:t>→  Compositional PVT (EOS)</w:t>
            </w:r>
          </w:p>
          <w:p>
            <w:pPr>
              <w:spacing w:before="40" w:after="40"/>
            </w:pPr>
            <w:r>
              <w:rPr>
                <w:rFonts w:ascii="Calibri" w:hAnsi="Calibri"/>
                <w:color w:val="37474F"/>
                <w:sz w:val="18"/>
              </w:rPr>
              <w:t>→  Horizontal / multilateral wells</w:t>
            </w:r>
          </w:p>
          <w:p>
            <w:pPr>
              <w:spacing w:before="40" w:after="40"/>
            </w:pPr>
            <w:r>
              <w:rPr>
                <w:rFonts w:ascii="Calibri" w:hAnsi="Calibri"/>
                <w:color w:val="37474F"/>
                <w:sz w:val="18"/>
              </w:rPr>
              <w:t>→  Multi-GPU distributed training</w:t>
            </w:r>
          </w:p>
          <w:p>
            <w:pPr>
              <w:spacing w:before="40" w:after="40"/>
            </w:pPr>
            <w:r>
              <w:rPr>
                <w:rFonts w:ascii="Calibri" w:hAnsi="Calibri"/>
                <w:color w:val="37474F"/>
                <w:sz w:val="18"/>
              </w:rPr>
              <w:t>→  Pre-trained surrogate marketplace</w:t>
            </w:r>
          </w:p>
          <w:p>
            <w:pPr>
              <w:spacing w:before="40" w:after="40"/>
            </w:pPr>
            <w:r>
              <w:rPr>
                <w:rFonts w:ascii="Calibri" w:hAnsi="Calibri"/>
                <w:color w:val="37474F"/>
                <w:sz w:val="18"/>
              </w:rPr>
              <w:t>→  Transfer learning (&lt;30 min)</w:t>
            </w:r>
          </w:p>
          <w:p>
            <w:pPr>
              <w:spacing w:before="40" w:after="40"/>
            </w:pPr>
            <w:r>
              <w:rPr>
                <w:rFonts w:ascii="Calibri" w:hAnsi="Calibri"/>
                <w:color w:val="37474F"/>
                <w:sz w:val="18"/>
              </w:rPr>
              <w:t>→  SPE reserve certification</w:t>
            </w:r>
          </w:p>
          <w:p>
            <w:pPr>
              <w:spacing w:before="40" w:after="40"/>
            </w:pPr>
            <w:r>
              <w:rPr>
                <w:rFonts w:ascii="Calibri" w:hAnsi="Calibri"/>
                <w:color w:val="37474F"/>
                <w:sz w:val="18"/>
              </w:rPr>
              <w:t>→  Petrel plugin</w:t>
            </w:r>
          </w:p>
        </w:tc>
      </w:tr>
    </w:tbl>
    <w:p>
      <w:pPr>
        <w:spacing w:after="120"/>
      </w:pPr>
    </w:p>
    <w:p>
      <w:pPr>
        <w:spacing w:before="0" w:after="80"/>
        <w:jc w:val="left"/>
      </w:pPr>
      <w:r>
        <w:rPr>
          <w:rFonts w:ascii="Calibri" w:hAnsi="Calibri"/>
          <w:b w:val="0"/>
          <w:i/>
          <w:color w:val="00C853"/>
          <w:sz w:val="19"/>
        </w:rPr>
        <w:t>Build risk is LOW: the hard research problems are solved (published, peer-reviewed). Remaining work is engineering — UI, I/O, installer, testing — well-understood and estimable.</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THE TEAM</w:t>
            </w:r>
          </w:p>
        </w:tc>
        <w:tc>
          <w:tcPr>
            <w:tcW w:type="dxa" w:w="5149"/>
            <w:shd w:val="clear" w:color="auto" w:fill="0A1628"/>
            <w:vAlign w:val="center"/>
          </w:tcPr>
          <w:p>
            <w:pPr>
              <w:jc w:val="right"/>
            </w:pPr>
            <w:r>
              <w:rPr>
                <w:rFonts w:ascii="Calibri" w:hAnsi="Calibri"/>
                <w:color w:val="78909C"/>
                <w:sz w:val="16"/>
              </w:rPr>
              <w:t>13 / 16</w:t>
            </w:r>
          </w:p>
        </w:tc>
      </w:tr>
    </w:tbl>
    <w:p>
      <w:pPr>
        <w:spacing w:after="120"/>
      </w:pPr>
    </w:p>
    <w:p>
      <w:pPr>
        <w:spacing w:before="0" w:after="80"/>
        <w:jc w:val="left"/>
      </w:pPr>
      <w:r>
        <w:rPr>
          <w:rFonts w:ascii="Calibri" w:hAnsi="Calibri"/>
          <w:b/>
          <w:color w:val="0A1628"/>
          <w:sz w:val="56"/>
        </w:rPr>
        <w:t>Built by Reservoir Engineers and AI Scientists</w:t>
      </w:r>
    </w:p>
    <w:p>
      <w:pPr>
        <w:spacing w:before="0" w:after="160"/>
        <w:jc w:val="left"/>
      </w:pPr>
      <w:r>
        <w:rPr>
          <w:rFonts w:ascii="Calibri" w:hAnsi="Calibri"/>
          <w:b w:val="0"/>
          <w:i/>
          <w:color w:val="37474F"/>
          <w:sz w:val="22"/>
        </w:rPr>
        <w:t>The rare team that understands both the physics and the software — an essential combination in petroleum AI.</w:t>
      </w: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177"/>
            <w:shd w:val="clear" w:color="auto" w:fill="D6EAF8"/>
            <w:vAlign w:val="top"/>
          </w:tcPr>
          <w:p/>
          <w:p>
            <w:pPr>
              <w:spacing w:before="160"/>
            </w:pPr>
            <w:r>
              <w:rPr>
                <w:rFonts w:ascii="Calibri" w:hAnsi="Calibri"/>
                <w:b/>
                <w:color w:val="0A1628"/>
                <w:sz w:val="22"/>
              </w:rPr>
              <w:t>CEO / Reservoir Engineering Lead</w:t>
            </w:r>
          </w:p>
          <w:p>
            <w:pPr>
              <w:spacing w:after="120"/>
            </w:pPr>
            <w:r>
              <w:rPr>
                <w:rFonts w:ascii="Calibri" w:hAnsi="Calibri"/>
                <w:b/>
                <w:color w:val="1565C0"/>
                <w:sz w:val="18"/>
              </w:rPr>
              <w:t>Founder</w:t>
            </w:r>
          </w:p>
          <w:p>
            <w:pPr>
              <w:spacing w:after="160"/>
            </w:pPr>
            <w:r>
              <w:rPr>
                <w:rFonts w:ascii="Calibri" w:hAnsi="Calibri"/>
                <w:color w:val="37474F"/>
                <w:sz w:val="18"/>
              </w:rPr>
              <w:t>15+ years reservoir simulation. Former senior engineer at major operator. MSc Petroleum Engineering. Deep expertise in history matching and UQ. Relationships with key NOC buyers.</w:t>
            </w:r>
          </w:p>
        </w:tc>
        <w:tc>
          <w:tcPr>
            <w:tcW w:type="dxa" w:w="4177"/>
            <w:shd w:val="clear" w:color="auto" w:fill="D5F5E3"/>
            <w:vAlign w:val="top"/>
          </w:tcPr>
          <w:p/>
          <w:p>
            <w:pPr>
              <w:spacing w:before="160"/>
            </w:pPr>
            <w:r>
              <w:rPr>
                <w:rFonts w:ascii="Calibri" w:hAnsi="Calibri"/>
                <w:b/>
                <w:color w:val="0A1628"/>
                <w:sz w:val="22"/>
              </w:rPr>
              <w:t>CTO / ML Architecture Lead</w:t>
            </w:r>
          </w:p>
          <w:p>
            <w:pPr>
              <w:spacing w:after="120"/>
            </w:pPr>
            <w:r>
              <w:rPr>
                <w:rFonts w:ascii="Calibri" w:hAnsi="Calibri"/>
                <w:b/>
                <w:color w:val="00C853"/>
                <w:sz w:val="18"/>
              </w:rPr>
              <w:t>Co-Founder</w:t>
            </w:r>
          </w:p>
          <w:p>
            <w:pPr>
              <w:spacing w:after="160"/>
            </w:pPr>
            <w:r>
              <w:rPr>
                <w:rFonts w:ascii="Calibri" w:hAnsi="Calibri"/>
                <w:color w:val="37474F"/>
                <w:sz w:val="18"/>
              </w:rPr>
              <w:t>PhD Computational Physics. Expert in physics-informed ML, neural operators, JAX/PyTorch. Former NVIDIA research team. Author of published FNO and PINO extensions.</w:t>
            </w:r>
          </w:p>
        </w:tc>
        <w:tc>
          <w:tcPr>
            <w:tcW w:type="dxa" w:w="4177"/>
            <w:shd w:val="clear" w:color="auto" w:fill="FFF9E6"/>
            <w:vAlign w:val="top"/>
          </w:tcPr>
          <w:p/>
          <w:p>
            <w:pPr>
              <w:spacing w:before="160"/>
            </w:pPr>
            <w:r>
              <w:rPr>
                <w:rFonts w:ascii="Calibri" w:hAnsi="Calibri"/>
                <w:b/>
                <w:color w:val="0A1628"/>
                <w:sz w:val="22"/>
              </w:rPr>
              <w:t>Head of Product / Platform</w:t>
            </w:r>
          </w:p>
          <w:p>
            <w:pPr>
              <w:spacing w:after="120"/>
            </w:pPr>
            <w:r>
              <w:rPr>
                <w:rFonts w:ascii="Calibri" w:hAnsi="Calibri"/>
                <w:b/>
                <w:color w:val="FF8F00"/>
                <w:sz w:val="18"/>
              </w:rPr>
              <w:t>To Hire — Q1 2025</w:t>
            </w:r>
          </w:p>
          <w:p>
            <w:pPr>
              <w:spacing w:after="160"/>
            </w:pPr>
            <w:r>
              <w:rPr>
                <w:rFonts w:ascii="Calibri" w:hAnsi="Calibri"/>
                <w:color w:val="37474F"/>
                <w:sz w:val="18"/>
              </w:rPr>
              <w:t>10+ years engineering software development. WPF/.NET expertise. Experience building industrial desktop applications for the oil and gas sector. UX-first mindset.</w:t>
            </w:r>
          </w:p>
        </w:tc>
        <w:tc>
          <w:tcPr>
            <w:tcW w:type="dxa" w:w="4177"/>
            <w:shd w:val="clear" w:color="auto" w:fill="EBF5FB"/>
            <w:vAlign w:val="top"/>
          </w:tcPr>
          <w:p/>
          <w:p>
            <w:pPr>
              <w:spacing w:before="160"/>
            </w:pPr>
            <w:r>
              <w:rPr>
                <w:rFonts w:ascii="Calibri" w:hAnsi="Calibri"/>
                <w:b/>
                <w:color w:val="0A1628"/>
                <w:sz w:val="22"/>
              </w:rPr>
              <w:t>VP Sales — Oil &amp; Gas</w:t>
            </w:r>
          </w:p>
          <w:p>
            <w:pPr>
              <w:spacing w:after="120"/>
            </w:pPr>
            <w:r>
              <w:rPr>
                <w:rFonts w:ascii="Calibri" w:hAnsi="Calibri"/>
                <w:b/>
                <w:color w:val="78909C"/>
                <w:sz w:val="18"/>
              </w:rPr>
              <w:t>To Hire — Q2 2025</w:t>
            </w:r>
          </w:p>
          <w:p>
            <w:pPr>
              <w:spacing w:after="160"/>
            </w:pPr>
            <w:r>
              <w:rPr>
                <w:rFonts w:ascii="Calibri" w:hAnsi="Calibri"/>
                <w:color w:val="37474F"/>
                <w:sz w:val="18"/>
              </w:rPr>
              <w:t>Former technical sales at SLB or Petex. Existing relationships with NOC and independent operator procurement teams. MENA + Asia Pacific regional focus.</w:t>
            </w:r>
          </w:p>
        </w:tc>
      </w:tr>
    </w:tbl>
    <w:p>
      <w:pPr>
        <w:spacing w:after="160"/>
      </w:pP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20"/>
            </w:pPr>
            <w:r>
              <w:rPr>
                <w:rFonts w:ascii="Calibri" w:hAnsi="Calibri"/>
                <w:b/>
                <w:color w:val="1565C0"/>
                <w:sz w:val="20"/>
              </w:rPr>
              <w:t>🏛️  Scientific Advisory Board</w:t>
            </w:r>
          </w:p>
          <w:p>
            <w:pPr>
              <w:spacing w:after="120"/>
            </w:pPr>
            <w:r>
              <w:rPr>
                <w:rFonts w:ascii="Calibri" w:hAnsi="Calibri"/>
                <w:color w:val="37474F"/>
                <w:sz w:val="18"/>
              </w:rPr>
              <w:t>Recruiting 3 advisors: (1) SPE Distinguished Member — HM expertise. (2) Professor of Computational Geoscience. (3) Former CTO of major reservoir software company.</w:t>
            </w:r>
          </w:p>
        </w:tc>
        <w:tc>
          <w:tcPr>
            <w:tcW w:type="dxa" w:w="5607"/>
            <w:shd w:val="clear" w:color="auto" w:fill="D5F5E3"/>
          </w:tcPr>
          <w:p/>
          <w:p>
            <w:pPr>
              <w:spacing w:before="120"/>
            </w:pPr>
            <w:r>
              <w:rPr>
                <w:rFonts w:ascii="Calibri" w:hAnsi="Calibri"/>
                <w:b/>
                <w:color w:val="00C853"/>
                <w:sz w:val="20"/>
              </w:rPr>
              <w:t>🤝  Strategic Partners</w:t>
            </w:r>
          </w:p>
          <w:p>
            <w:pPr>
              <w:spacing w:after="120"/>
            </w:pPr>
            <w:r>
              <w:rPr>
                <w:rFonts w:ascii="Calibri" w:hAnsi="Calibri"/>
                <w:color w:val="37474F"/>
                <w:sz w:val="18"/>
              </w:rPr>
              <w:t>OPM Project · NVIDIA PhysicsNeMo team · Equinor Norne benchmark committee · Microsoft for Startups (Azure GPU credits) · SPE Digital Energy Technical Section</w:t>
            </w:r>
          </w:p>
        </w:tc>
        <w:tc>
          <w:tcPr>
            <w:tcW w:type="dxa" w:w="5607"/>
            <w:shd w:val="clear" w:color="auto" w:fill="FFF9E6"/>
          </w:tcPr>
          <w:p/>
          <w:p>
            <w:pPr>
              <w:spacing w:before="120"/>
            </w:pPr>
            <w:r>
              <w:rPr>
                <w:rFonts w:ascii="Calibri" w:hAnsi="Calibri"/>
                <w:b/>
                <w:color w:val="FF8F00"/>
                <w:sz w:val="20"/>
              </w:rPr>
              <w:t>📜  IP Position</w:t>
            </w:r>
          </w:p>
          <w:p>
            <w:pPr>
              <w:spacing w:after="120"/>
            </w:pPr>
            <w:r>
              <w:rPr>
                <w:rFonts w:ascii="Calibri" w:hAnsi="Calibri"/>
                <w:color w:val="37474F"/>
                <w:sz w:val="18"/>
              </w:rPr>
              <w:t>Core algorithms are published open science — competitive moat is implementation, data, UX, and domain expertise. Provisional patent pending on JAX αREKI acceleration.</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E53935"/>
                <w:sz w:val="16"/>
              </w:rPr>
              <w:t>⚠  RISK ANALYSIS</w:t>
            </w:r>
          </w:p>
        </w:tc>
        <w:tc>
          <w:tcPr>
            <w:tcW w:type="dxa" w:w="5149"/>
            <w:shd w:val="clear" w:color="auto" w:fill="0A1628"/>
            <w:vAlign w:val="center"/>
          </w:tcPr>
          <w:p>
            <w:pPr>
              <w:jc w:val="right"/>
            </w:pPr>
            <w:r>
              <w:rPr>
                <w:rFonts w:ascii="Calibri" w:hAnsi="Calibri"/>
                <w:color w:val="78909C"/>
                <w:sz w:val="16"/>
              </w:rPr>
              <w:t>14 / 16</w:t>
            </w:r>
          </w:p>
        </w:tc>
      </w:tr>
    </w:tbl>
    <w:p>
      <w:pPr>
        <w:spacing w:after="120"/>
      </w:pPr>
    </w:p>
    <w:p>
      <w:pPr>
        <w:spacing w:before="0" w:after="80"/>
        <w:jc w:val="left"/>
      </w:pPr>
      <w:r>
        <w:rPr>
          <w:rFonts w:ascii="Calibri" w:hAnsi="Calibri"/>
          <w:b/>
          <w:color w:val="0A1628"/>
          <w:sz w:val="56"/>
        </w:rPr>
        <w:t>Risks We Have Thought About — And How We Mitigate Them</w:t>
      </w:r>
    </w:p>
    <w:p>
      <w:pPr>
        <w:spacing w:before="0" w:after="160"/>
        <w:jc w:val="left"/>
      </w:pPr>
      <w:r>
        <w:rPr>
          <w:rFonts w:ascii="Calibri" w:hAnsi="Calibri"/>
          <w:b w:val="0"/>
          <w:i/>
          <w:color w:val="37474F"/>
          <w:sz w:val="22"/>
        </w:rPr>
        <w:t>Honest assessment: the risks are real but manageable. Technology risk is essentially zero.</w:t>
      </w:r>
    </w:p>
    <w:tbl>
      <w:tblPr>
        <w:tblStyle w:val="TableGrid"/>
        <w:tblW w:type="auto" w:w="0"/>
        <w:jc w:val="center"/>
        <w:tblLook w:firstColumn="1" w:firstRow="1" w:lastColumn="0" w:lastRow="0" w:noHBand="0" w:noVBand="1" w:val="04A0"/>
      </w:tblPr>
      <w:tblGrid>
        <w:gridCol w:w="5721"/>
        <w:gridCol w:w="5721"/>
        <w:gridCol w:w="5721"/>
      </w:tblGrid>
      <w:tr>
        <w:tc>
          <w:tcPr>
            <w:tcW w:type="dxa" w:w="3118"/>
            <w:shd w:val="clear" w:color="auto" w:fill="0A1628"/>
          </w:tcPr>
          <w:p>
            <w:r>
              <w:rPr>
                <w:rFonts w:ascii="Calibri" w:hAnsi="Calibri"/>
                <w:b/>
                <w:color w:val="00BCD4"/>
                <w:sz w:val="18"/>
              </w:rPr>
              <w:t>Risk</w:t>
            </w:r>
          </w:p>
        </w:tc>
        <w:tc>
          <w:tcPr>
            <w:tcW w:type="dxa" w:w="3402"/>
            <w:shd w:val="clear" w:color="auto" w:fill="0A1628"/>
          </w:tcPr>
          <w:p>
            <w:r>
              <w:rPr>
                <w:rFonts w:ascii="Calibri" w:hAnsi="Calibri"/>
                <w:b/>
                <w:color w:val="00BCD4"/>
                <w:sz w:val="18"/>
              </w:rPr>
              <w:t>Description</w:t>
            </w:r>
          </w:p>
        </w:tc>
        <w:tc>
          <w:tcPr>
            <w:tcW w:type="dxa" w:w="3402"/>
            <w:shd w:val="clear" w:color="auto" w:fill="0A1628"/>
          </w:tcPr>
          <w:p>
            <w:r>
              <w:rPr>
                <w:rFonts w:ascii="Calibri" w:hAnsi="Calibri"/>
                <w:b/>
                <w:color w:val="00BCD4"/>
                <w:sz w:val="18"/>
              </w:rPr>
              <w:t>Mitigation</w:t>
            </w:r>
          </w:p>
        </w:tc>
      </w:tr>
      <w:tr>
        <w:tc>
          <w:tcPr>
            <w:tcW w:type="dxa" w:w="3118"/>
            <w:shd w:val="clear" w:color="auto" w:fill="FFF3F3"/>
            <w:vAlign w:val="top"/>
          </w:tcPr>
          <w:p>
            <w:r>
              <w:rPr>
                <w:rFonts w:ascii="Calibri" w:hAnsi="Calibri"/>
                <w:b/>
                <w:color w:val="E53935"/>
                <w:sz w:val="18"/>
              </w:rPr>
              <w:t>⚠  Physics accuracy vs. full FVM</w:t>
            </w:r>
          </w:p>
        </w:tc>
        <w:tc>
          <w:tcPr>
            <w:tcW w:type="dxa" w:w="3402"/>
            <w:shd w:val="clear" w:color="auto" w:fill="FFF8F8"/>
            <w:vAlign w:val="top"/>
          </w:tcPr>
          <w:p>
            <w:r>
              <w:rPr>
                <w:rFonts w:ascii="Calibri" w:hAnsi="Calibri"/>
                <w:color w:val="37474F"/>
                <w:sz w:val="18"/>
              </w:rPr>
              <w:t>PINO surrogate has approximation error compared to full Eclipse/OPM FLOW physics — a legitimate concern for reserve certification.</w:t>
            </w:r>
          </w:p>
        </w:tc>
        <w:tc>
          <w:tcPr>
            <w:tcW w:type="dxa" w:w="3402"/>
            <w:shd w:val="clear" w:color="auto" w:fill="F0FFF4"/>
            <w:vAlign w:val="top"/>
          </w:tcPr>
          <w:p>
            <w:r>
              <w:rPr>
                <w:rFonts w:ascii="Calibri" w:hAnsi="Calibri"/>
                <w:color w:val="1B5E20"/>
                <w:sz w:val="18"/>
              </w:rPr>
              <w:t>✓  Surrogate error quantified and propagated into αREKI. Positioned as fast-screening tool; full FVM recommended for final reserve booking. SPE endorsement roadmap.</w:t>
            </w:r>
          </w:p>
        </w:tc>
      </w:tr>
      <w:tr>
        <w:tc>
          <w:tcPr>
            <w:tcW w:type="dxa" w:w="3118"/>
            <w:shd w:val="clear" w:color="auto" w:fill="FFF3F3"/>
            <w:vAlign w:val="top"/>
          </w:tcPr>
          <w:p>
            <w:r>
              <w:rPr>
                <w:rFonts w:ascii="Calibri" w:hAnsi="Calibri"/>
                <w:b/>
                <w:color w:val="E53935"/>
                <w:sz w:val="18"/>
              </w:rPr>
              <w:t>⚠  SLB / incumbent counter-move</w:t>
            </w:r>
          </w:p>
        </w:tc>
        <w:tc>
          <w:tcPr>
            <w:tcW w:type="dxa" w:w="3402"/>
            <w:shd w:val="clear" w:color="auto" w:fill="FFFFFF"/>
            <w:vAlign w:val="top"/>
          </w:tcPr>
          <w:p>
            <w:r>
              <w:rPr>
                <w:rFonts w:ascii="Calibri" w:hAnsi="Calibri"/>
                <w:color w:val="37474F"/>
                <w:sz w:val="18"/>
              </w:rPr>
              <w:t>SLB has capital to develop competing AI HM tools. They are aware of PINO literature and have internal AI research teams.</w:t>
            </w:r>
          </w:p>
        </w:tc>
        <w:tc>
          <w:tcPr>
            <w:tcW w:type="dxa" w:w="3402"/>
            <w:shd w:val="clear" w:color="auto" w:fill="F0FFF4"/>
            <w:vAlign w:val="top"/>
          </w:tcPr>
          <w:p>
            <w:r>
              <w:rPr>
                <w:rFonts w:ascii="Calibri" w:hAnsi="Calibri"/>
                <w:color w:val="1B5E20"/>
                <w:sz w:val="18"/>
              </w:rPr>
              <w:t>✓  18–24 month head start before SLB can ship a comparable product. Price advantage ($15k vs $150k) protects downmarket. Data flywheel creates durable network effects.</w:t>
            </w:r>
          </w:p>
        </w:tc>
      </w:tr>
      <w:tr>
        <w:tc>
          <w:tcPr>
            <w:tcW w:type="dxa" w:w="3118"/>
            <w:shd w:val="clear" w:color="auto" w:fill="FFF3F3"/>
            <w:vAlign w:val="top"/>
          </w:tcPr>
          <w:p>
            <w:r>
              <w:rPr>
                <w:rFonts w:ascii="Calibri" w:hAnsi="Calibri"/>
                <w:b/>
                <w:color w:val="E53935"/>
                <w:sz w:val="18"/>
              </w:rPr>
              <w:t>⚠  Regulatory acceptance</w:t>
            </w:r>
          </w:p>
        </w:tc>
        <w:tc>
          <w:tcPr>
            <w:tcW w:type="dxa" w:w="3402"/>
            <w:shd w:val="clear" w:color="auto" w:fill="FFF8F8"/>
            <w:vAlign w:val="top"/>
          </w:tcPr>
          <w:p>
            <w:r>
              <w:rPr>
                <w:rFonts w:ascii="Calibri" w:hAnsi="Calibri"/>
                <w:color w:val="37474F"/>
                <w:sz w:val="18"/>
              </w:rPr>
              <w:t>SEC and SPE-PRMS reserve certification requires defensible methodology. Regulators are conservative and unfamiliar with neural operator surrogates.</w:t>
            </w:r>
          </w:p>
        </w:tc>
        <w:tc>
          <w:tcPr>
            <w:tcW w:type="dxa" w:w="3402"/>
            <w:shd w:val="clear" w:color="auto" w:fill="F0FFF4"/>
            <w:vAlign w:val="top"/>
          </w:tcPr>
          <w:p>
            <w:r>
              <w:rPr>
                <w:rFonts w:ascii="Calibri" w:hAnsi="Calibri"/>
                <w:color w:val="1B5E20"/>
                <w:sz w:val="18"/>
              </w:rPr>
              <w:t>✓  Full audit trail, reproducibility (seed stored in project file), SVD-based numerical stability. Certify for screening first, expand to booking as acceptance grows.</w:t>
            </w:r>
          </w:p>
        </w:tc>
      </w:tr>
      <w:tr>
        <w:tc>
          <w:tcPr>
            <w:tcW w:type="dxa" w:w="3118"/>
            <w:shd w:val="clear" w:color="auto" w:fill="FFF3F3"/>
            <w:vAlign w:val="top"/>
          </w:tcPr>
          <w:p>
            <w:r>
              <w:rPr>
                <w:rFonts w:ascii="Calibri" w:hAnsi="Calibri"/>
                <w:b/>
                <w:color w:val="E53935"/>
                <w:sz w:val="18"/>
              </w:rPr>
              <w:t>⚠  Training data requirements</w:t>
            </w:r>
          </w:p>
        </w:tc>
        <w:tc>
          <w:tcPr>
            <w:tcW w:type="dxa" w:w="3402"/>
            <w:shd w:val="clear" w:color="auto" w:fill="FFFFFF"/>
            <w:vAlign w:val="top"/>
          </w:tcPr>
          <w:p>
            <w:r>
              <w:rPr>
                <w:rFonts w:ascii="Calibri" w:hAnsi="Calibri"/>
                <w:color w:val="37474F"/>
                <w:sz w:val="18"/>
              </w:rPr>
              <w:t>100 OPM FLOW runs required per field — some operators may resist running a simulator before seeing value from the surrogate.</w:t>
            </w:r>
          </w:p>
        </w:tc>
        <w:tc>
          <w:tcPr>
            <w:tcW w:type="dxa" w:w="3402"/>
            <w:shd w:val="clear" w:color="auto" w:fill="F0FFF4"/>
            <w:vAlign w:val="top"/>
          </w:tcPr>
          <w:p>
            <w:r>
              <w:rPr>
                <w:rFonts w:ascii="Calibri" w:hAnsi="Calibri"/>
                <w:color w:val="1B5E20"/>
                <w:sz w:val="18"/>
              </w:rPr>
              <w:t>✓  Pre-trained surrogates for common geological settings. Cloud burst GPU option. ROI argument: 100 training runs × 7 sec inference = full HM in 1 hour vs 6 months manually.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C853"/>
                <w:sz w:val="16"/>
              </w:rPr>
              <w:t>💰  THE ASK</w:t>
            </w:r>
          </w:p>
        </w:tc>
        <w:tc>
          <w:tcPr>
            <w:tcW w:type="dxa" w:w="5149"/>
            <w:shd w:val="clear" w:color="auto" w:fill="0A1628"/>
            <w:vAlign w:val="center"/>
          </w:tcPr>
          <w:p>
            <w:pPr>
              <w:jc w:val="right"/>
            </w:pPr>
            <w:r>
              <w:rPr>
                <w:rFonts w:ascii="Calibri" w:hAnsi="Calibri"/>
                <w:color w:val="78909C"/>
                <w:sz w:val="16"/>
              </w:rPr>
              <w:t>15 / 16</w:t>
            </w:r>
          </w:p>
        </w:tc>
      </w:tr>
    </w:tbl>
    <w:p>
      <w:pPr>
        <w:spacing w:after="120"/>
      </w:pPr>
    </w:p>
    <w:p>
      <w:pPr>
        <w:spacing w:before="0" w:after="120"/>
        <w:jc w:val="center"/>
      </w:pPr>
      <w:r>
        <w:rPr>
          <w:rFonts w:ascii="Calibri" w:hAnsi="Calibri"/>
          <w:b/>
          <w:color w:val="0A1628"/>
          <w:sz w:val="80"/>
        </w:rPr>
        <w:t>$3.5M Seed Round</w:t>
      </w:r>
    </w:p>
    <w:p>
      <w:pPr>
        <w:spacing w:before="0" w:after="280"/>
        <w:jc w:val="center"/>
      </w:pPr>
      <w:r>
        <w:rPr>
          <w:rFonts w:ascii="Calibri" w:hAnsi="Calibri"/>
          <w:b w:val="0"/>
          <w:i/>
          <w:color w:val="78909C"/>
          <w:sz w:val="24"/>
        </w:rPr>
        <w:t>18 months runway  ·  Product completion  ·  First 30 customers  ·  Series A ready at $2.1M ARR</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vAlign w:val="top"/>
          </w:tcPr>
          <w:p/>
          <w:p>
            <w:pPr>
              <w:spacing w:before="160"/>
            </w:pPr>
            <w:r>
              <w:rPr>
                <w:rFonts w:ascii="Calibri" w:hAnsi="Calibri"/>
                <w:b/>
                <w:color w:val="1565C0"/>
                <w:sz w:val="24"/>
              </w:rPr>
              <w:t>40% — Engineering &amp; Product</w:t>
              <w:br/>
              <w:t>$1.4M</w:t>
            </w:r>
          </w:p>
          <w:p>
            <w:pPr>
              <w:spacing w:after="160"/>
            </w:pPr>
            <w:r>
              <w:rPr>
                <w:rFonts w:ascii="Calibri" w:hAnsi="Calibri"/>
                <w:color w:val="37474F"/>
                <w:sz w:val="19"/>
              </w:rPr>
              <w:t>3 senior engineers covering: FNO training service, Eclipse I/O, 3D reservoir viewer, WiX installer, cloud deployment, test suite, and documentation. 18 months full product build.</w:t>
            </w:r>
          </w:p>
        </w:tc>
        <w:tc>
          <w:tcPr>
            <w:tcW w:type="dxa" w:w="5607"/>
            <w:shd w:val="clear" w:color="auto" w:fill="D5F5E3"/>
            <w:vAlign w:val="top"/>
          </w:tcPr>
          <w:p/>
          <w:p>
            <w:pPr>
              <w:spacing w:before="160"/>
            </w:pPr>
            <w:r>
              <w:rPr>
                <w:rFonts w:ascii="Calibri" w:hAnsi="Calibri"/>
                <w:b/>
                <w:color w:val="00C853"/>
                <w:sz w:val="24"/>
              </w:rPr>
              <w:t>30% — Sales &amp; Marketing</w:t>
              <w:br/>
              <w:t>$1.05M</w:t>
            </w:r>
          </w:p>
          <w:p>
            <w:pPr>
              <w:spacing w:after="160"/>
            </w:pPr>
            <w:r>
              <w:rPr>
                <w:rFonts w:ascii="Calibri" w:hAnsi="Calibri"/>
                <w:color w:val="37474F"/>
                <w:sz w:val="19"/>
              </w:rPr>
              <w:t>2 technical sales engineers (former reservoir engineers). SPE/ADIPEC conference presence. Case study production. Demand generation. First NOC pilot engagement budget.</w:t>
            </w:r>
          </w:p>
        </w:tc>
        <w:tc>
          <w:tcPr>
            <w:tcW w:type="dxa" w:w="5607"/>
            <w:shd w:val="clear" w:color="auto" w:fill="FFF9E6"/>
            <w:vAlign w:val="top"/>
          </w:tcPr>
          <w:p/>
          <w:p>
            <w:pPr>
              <w:spacing w:before="160"/>
            </w:pPr>
            <w:r>
              <w:rPr>
                <w:rFonts w:ascii="Calibri" w:hAnsi="Calibri"/>
                <w:b/>
                <w:color w:val="FF8F00"/>
                <w:sz w:val="24"/>
              </w:rPr>
              <w:t>20% — Compute &amp; Infrastructure</w:t>
              <w:br/>
              <w:t>$700k</w:t>
            </w:r>
          </w:p>
          <w:p>
            <w:pPr>
              <w:spacing w:after="160"/>
            </w:pPr>
            <w:r>
              <w:rPr>
                <w:rFonts w:ascii="Calibri" w:hAnsi="Calibri"/>
                <w:color w:val="37474F"/>
                <w:sz w:val="19"/>
              </w:rPr>
              <w:t>GPU cloud for customer training runs. Pre-trained surrogate library generation. CI/CD infrastructure build-out. Third-party security audit. 10% reserved for contingency.</w:t>
            </w:r>
          </w:p>
        </w:tc>
      </w:tr>
    </w:tbl>
    <w:p>
      <w:pPr>
        <w:spacing w:after="200"/>
      </w:pP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60"/>
              <w:jc w:val="center"/>
            </w:pPr>
            <w:r>
              <w:rPr>
                <w:rFonts w:ascii="Calibri" w:hAnsi="Calibri"/>
                <w:b/>
                <w:color w:val="00BCD4"/>
                <w:sz w:val="52"/>
              </w:rPr>
              <w:t>30 Customers</w:t>
            </w:r>
          </w:p>
          <w:p>
            <w:pPr>
              <w:spacing w:after="160"/>
              <w:jc w:val="center"/>
            </w:pPr>
            <w:r>
              <w:rPr>
                <w:rFonts w:ascii="Calibri" w:hAnsi="Calibri"/>
                <w:color w:val="78909C"/>
                <w:sz w:val="18"/>
              </w:rPr>
              <w:t>Target by Month 18</w:t>
            </w:r>
          </w:p>
        </w:tc>
        <w:tc>
          <w:tcPr>
            <w:tcW w:type="dxa" w:w="5607"/>
            <w:shd w:val="clear" w:color="auto" w:fill="D5F5E3"/>
          </w:tcPr>
          <w:p/>
          <w:p>
            <w:pPr>
              <w:spacing w:before="160"/>
              <w:jc w:val="center"/>
            </w:pPr>
            <w:r>
              <w:rPr>
                <w:rFonts w:ascii="Calibri" w:hAnsi="Calibri"/>
                <w:b/>
                <w:color w:val="00C853"/>
                <w:sz w:val="52"/>
              </w:rPr>
              <w:t>$2.1M ARR</w:t>
            </w:r>
          </w:p>
          <w:p>
            <w:pPr>
              <w:spacing w:after="160"/>
              <w:jc w:val="center"/>
            </w:pPr>
            <w:r>
              <w:rPr>
                <w:rFonts w:ascii="Calibri" w:hAnsi="Calibri"/>
                <w:color w:val="78909C"/>
                <w:sz w:val="18"/>
              </w:rPr>
              <w:t>Series A Milestone</w:t>
            </w:r>
          </w:p>
        </w:tc>
        <w:tc>
          <w:tcPr>
            <w:tcW w:type="dxa" w:w="5607"/>
            <w:shd w:val="clear" w:color="auto" w:fill="FFF9E6"/>
          </w:tcPr>
          <w:p/>
          <w:p>
            <w:pPr>
              <w:spacing w:before="160"/>
              <w:jc w:val="center"/>
            </w:pPr>
            <w:r>
              <w:rPr>
                <w:rFonts w:ascii="Calibri" w:hAnsi="Calibri"/>
                <w:b/>
                <w:color w:val="FF8F00"/>
                <w:sz w:val="52"/>
              </w:rPr>
              <w:t>v2.0 Shipped</w:t>
            </w:r>
          </w:p>
          <w:p>
            <w:pPr>
              <w:spacing w:after="160"/>
              <w:jc w:val="center"/>
            </w:pPr>
            <w:r>
              <w:rPr>
                <w:rFonts w:ascii="Calibri" w:hAnsi="Calibri"/>
                <w:color w:val="78909C"/>
                <w:sz w:val="18"/>
              </w:rPr>
              <w:t>REST API + Docker + tNavigator Bridge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LET'S BUILD IT TOGETHER</w:t>
            </w:r>
          </w:p>
        </w:tc>
        <w:tc>
          <w:tcPr>
            <w:tcW w:type="dxa" w:w="5149"/>
            <w:shd w:val="clear" w:color="auto" w:fill="0A1628"/>
            <w:vAlign w:val="center"/>
          </w:tcPr>
          <w:p>
            <w:pPr>
              <w:jc w:val="right"/>
            </w:pPr>
            <w:r>
              <w:rPr>
                <w:rFonts w:ascii="Calibri" w:hAnsi="Calibri"/>
                <w:color w:val="78909C"/>
                <w:sz w:val="16"/>
              </w:rPr>
              <w:t>16 / 16</w:t>
            </w:r>
          </w:p>
        </w:tc>
      </w:tr>
    </w:tbl>
    <w:p>
      <w:pPr>
        <w:spacing w:after="120"/>
      </w:pPr>
    </w:p>
    <w:p>
      <w:pPr>
        <w:spacing w:before="0" w:after="200"/>
        <w:jc w:val="center"/>
      </w:pPr>
      <w:r>
        <w:rPr>
          <w:rFonts w:ascii="Calibri" w:hAnsi="Calibri"/>
          <w:b/>
          <w:color w:val="0A1628"/>
          <w:sz w:val="56"/>
        </w:rPr>
        <w:t>The Vision</w:t>
      </w:r>
    </w:p>
    <w:tbl>
      <w:tblPr>
        <w:tblStyle w:val="TableGrid"/>
        <w:tblW w:type="auto" w:w="0"/>
        <w:jc w:val="center"/>
        <w:tblLook w:firstColumn="1" w:firstRow="1" w:lastColumn="0" w:lastRow="0" w:noHBand="0" w:noVBand="1" w:val="04A0"/>
      </w:tblPr>
      <w:tblGrid>
        <w:gridCol w:w="17162"/>
      </w:tblGrid>
      <w:tr>
        <w:tc>
          <w:tcPr>
            <w:tcW w:type="dxa" w:w="17162"/>
            <w:shd w:val="clear" w:color="auto" w:fill="EBF5FB"/>
          </w:tcPr>
          <w:p/>
          <w:p>
            <w:pPr>
              <w:spacing w:before="400" w:after="400"/>
              <w:jc w:val="center"/>
            </w:pPr>
            <w:r>
              <w:rPr>
                <w:rFonts w:ascii="Calibri" w:hAnsi="Calibri"/>
                <w:i/>
                <w:color w:val="0A1628"/>
                <w:sz w:val="32"/>
              </w:rPr>
              <w:t>"The oil and gas industry produces $3 trillion of value annually.</w:t>
              <w:br/>
              <w:t>Improving reservoir recovery by even 1% is worth $30 billion.</w:t>
              <w:br/>
              <w:t>PhysicsFlow makes that 1% improvement systematic, fast,</w:t>
              <w:br/>
              <w:t>and accessible to every operator — not just the supermajors."</w:t>
            </w:r>
          </w:p>
        </w:tc>
      </w:tr>
    </w:tbl>
    <w:p>
      <w:pPr>
        <w:spacing w:after="320"/>
      </w:pPr>
    </w:p>
    <w:p>
      <w:pPr>
        <w:spacing w:before="80" w:after="80"/>
        <w:pBdr>
          <w:bottom w:val="single" w:sz="6" w:color="1565C0"/>
        </w:pBdr>
      </w:pPr>
    </w:p>
    <w:p>
      <w:pPr>
        <w:spacing w:before="240" w:after="320"/>
        <w:jc w:val="center"/>
      </w:pPr>
      <w:r>
        <w:rPr>
          <w:rFonts w:ascii="Calibri" w:hAnsi="Calibri"/>
          <w:b/>
          <w:color w:val="0A1628"/>
          <w:sz w:val="40"/>
        </w:rPr>
        <w:t>Let's build the future of reservoir engineering together.</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200"/>
              <w:jc w:val="center"/>
            </w:pPr>
            <w:r>
              <w:rPr>
                <w:rFonts w:ascii="Calibri" w:hAnsi="Calibri"/>
                <w:b/>
                <w:color w:val="1565C0"/>
                <w:sz w:val="20"/>
              </w:rPr>
              <w:t>📧  Email</w:t>
            </w:r>
          </w:p>
          <w:p>
            <w:pPr>
              <w:spacing w:after="200"/>
              <w:jc w:val="center"/>
            </w:pPr>
            <w:r>
              <w:rPr>
                <w:rFonts w:ascii="Calibri" w:hAnsi="Calibri"/>
                <w:color w:val="0A1628"/>
                <w:sz w:val="22"/>
              </w:rPr>
              <w:t>contact@physicsflow.ai</w:t>
            </w:r>
          </w:p>
        </w:tc>
        <w:tc>
          <w:tcPr>
            <w:tcW w:type="dxa" w:w="5607"/>
            <w:shd w:val="clear" w:color="auto" w:fill="D5F5E3"/>
          </w:tcPr>
          <w:p/>
          <w:p>
            <w:pPr>
              <w:spacing w:before="200"/>
              <w:jc w:val="center"/>
            </w:pPr>
            <w:r>
              <w:rPr>
                <w:rFonts w:ascii="Calibri" w:hAnsi="Calibri"/>
                <w:b/>
                <w:color w:val="00C853"/>
                <w:sz w:val="20"/>
              </w:rPr>
              <w:t>🌐  Website</w:t>
            </w:r>
          </w:p>
          <w:p>
            <w:pPr>
              <w:spacing w:after="200"/>
              <w:jc w:val="center"/>
            </w:pPr>
            <w:r>
              <w:rPr>
                <w:rFonts w:ascii="Calibri" w:hAnsi="Calibri"/>
                <w:color w:val="0A1628"/>
                <w:sz w:val="22"/>
              </w:rPr>
              <w:t>physicsflow.ai</w:t>
            </w:r>
          </w:p>
        </w:tc>
        <w:tc>
          <w:tcPr>
            <w:tcW w:type="dxa" w:w="5607"/>
            <w:shd w:val="clear" w:color="auto" w:fill="EBF5FB"/>
          </w:tcPr>
          <w:p/>
          <w:p>
            <w:pPr>
              <w:spacing w:before="200"/>
              <w:jc w:val="center"/>
            </w:pPr>
            <w:r>
              <w:rPr>
                <w:rFonts w:ascii="Calibri" w:hAnsi="Calibri"/>
                <w:b/>
                <w:color w:val="00BCD4"/>
                <w:sz w:val="20"/>
              </w:rPr>
              <w:t>💻  GitHub</w:t>
            </w:r>
          </w:p>
          <w:p>
            <w:pPr>
              <w:spacing w:after="200"/>
              <w:jc w:val="center"/>
            </w:pPr>
            <w:r>
              <w:rPr>
                <w:rFonts w:ascii="Calibri" w:hAnsi="Calibri"/>
                <w:color w:val="0A1628"/>
                <w:sz w:val="22"/>
              </w:rPr>
              <w:t>github.com/physicsflow</w:t>
            </w:r>
          </w:p>
        </w:tc>
      </w:tr>
    </w:tbl>
    <w:sectPr w:rsidR="00FC693F" w:rsidRPr="0006063C" w:rsidSect="00034616">
      <w:pgSz w:w="19202" w:h="1080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7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