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09D16542" w:rsidR="003C23E5" w:rsidRPr="004F08A5" w:rsidRDefault="00B04A5E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  <w:hyperlink r:id="rId8" w:history="1">
        <w:r w:rsidR="00893F1E" w:rsidRPr="00893F1E">
          <w:rPr>
            <w:rStyle w:val="Hyperlink"/>
            <w:sz w:val="22"/>
          </w:rPr>
          <w:t>ASA</w:t>
        </w:r>
      </w:hyperlink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11F20F67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B353DC">
        <w:rPr>
          <w:rFonts w:hint="eastAsia"/>
          <w:bCs/>
          <w:sz w:val="22"/>
        </w:rPr>
        <w:t xml:space="preserve"> 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4980AC49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293C6A">
        <w:rPr>
          <w:rStyle w:val="Heading1Char"/>
          <w:rFonts w:eastAsiaTheme="minorEastAsia" w:cstheme="minorBidi" w:hint="eastAsia"/>
        </w:rPr>
        <w:t>论文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B04A5E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B04A5E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1EEE0CC6" w:rsidR="002C6D73" w:rsidRPr="00CB6324" w:rsidRDefault="00B04A5E" w:rsidP="00D85709">
      <w:pPr>
        <w:tabs>
          <w:tab w:val="right" w:pos="10800"/>
        </w:tabs>
        <w:spacing w:line="360" w:lineRule="auto"/>
        <w:rPr>
          <w:rStyle w:val="Hyperlink"/>
          <w:sz w:val="22"/>
          <w:u w:val="none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CB6324">
        <w:rPr>
          <w:rStyle w:val="Hyperlink"/>
          <w:sz w:val="22"/>
          <w:u w:val="none"/>
        </w:rPr>
        <w:t xml:space="preserve"> </w:t>
      </w:r>
      <w:r w:rsidR="00CB6324" w:rsidRPr="00CB6324">
        <w:rPr>
          <w:rStyle w:val="Hyperlink"/>
          <w:color w:val="auto"/>
          <w:sz w:val="22"/>
          <w:u w:val="none"/>
        </w:rPr>
        <w:t>(</w:t>
      </w:r>
      <w:r w:rsidR="002710A3">
        <w:rPr>
          <w:rStyle w:val="Hyperlink"/>
          <w:color w:val="auto"/>
          <w:sz w:val="22"/>
          <w:u w:val="none"/>
        </w:rPr>
        <w:t>Ashley Langer, Clifford Winston, Wendan Zhang</w:t>
      </w:r>
      <w:r w:rsidR="00CB6324" w:rsidRPr="00CB6324">
        <w:rPr>
          <w:rStyle w:val="Hyperlink"/>
          <w:color w:val="auto"/>
          <w:sz w:val="22"/>
          <w:u w:val="none"/>
        </w:rPr>
        <w:t>)</w:t>
      </w:r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B04A5E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7CC92323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hyperlink r:id="rId13" w:history="1">
        <w:r w:rsidR="009C623D" w:rsidRPr="00226651">
          <w:rPr>
            <w:rStyle w:val="Hyperlink"/>
            <w:sz w:val="22"/>
          </w:rPr>
          <w:t>Distinguishing moral hazard from access for high-cost healthcare under insurance</w:t>
        </w:r>
        <w:r w:rsidRPr="00226651">
          <w:rPr>
            <w:rStyle w:val="Hyperlink"/>
            <w:sz w:val="22"/>
          </w:rPr>
          <w:t>.</w:t>
        </w:r>
      </w:hyperlink>
      <w:r w:rsidRPr="00197CC8">
        <w:rPr>
          <w:color w:val="000000" w:themeColor="text1"/>
          <w:sz w:val="22"/>
        </w:rPr>
        <w:t xml:space="preserve">” </w:t>
      </w:r>
      <w:r w:rsidR="00C20A31" w:rsidRPr="00C20A31">
        <w:rPr>
          <w:color w:val="000000" w:themeColor="text1"/>
          <w:sz w:val="22"/>
        </w:rPr>
        <w:t>PloS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r>
        <w:rPr>
          <w:color w:val="000000" w:themeColor="text1"/>
          <w:sz w:val="22"/>
        </w:rPr>
        <w:t>Matlab,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749D0352" w:rsidR="00005F29" w:rsidRDefault="00145E40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</w:rPr>
        <w:t>南方经济协会年会</w:t>
      </w:r>
      <w:r w:rsidR="00610854">
        <w:rPr>
          <w:rFonts w:hint="eastAsia"/>
          <w:b/>
          <w:color w:val="000000" w:themeColor="text1"/>
          <w:sz w:val="22"/>
        </w:rPr>
        <w:t>（</w:t>
      </w: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 w:rsidR="00610854">
        <w:rPr>
          <w:rFonts w:hint="eastAsia"/>
          <w:b/>
          <w:color w:val="000000" w:themeColor="text1"/>
          <w:sz w:val="22"/>
        </w:rPr>
        <w:t>）</w:t>
      </w:r>
      <w:r w:rsidR="00005F29">
        <w:rPr>
          <w:bCs/>
          <w:color w:val="000000" w:themeColor="text1"/>
          <w:sz w:val="22"/>
        </w:rPr>
        <w:tab/>
        <w:t>11/21-23 2020</w:t>
      </w:r>
    </w:p>
    <w:p w14:paraId="094BB5A3" w14:textId="020065C2" w:rsidR="00BF29C7" w:rsidRDefault="00AE3AA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环境</w:t>
      </w:r>
      <w:r w:rsidR="005556D1">
        <w:rPr>
          <w:rFonts w:hint="eastAsia"/>
          <w:bCs/>
          <w:i/>
          <w:iCs/>
          <w:color w:val="000000" w:themeColor="text1"/>
          <w:sz w:val="22"/>
        </w:rPr>
        <w:t>话题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5ED80D0E" w:rsidR="0025379D" w:rsidRDefault="00AE3AA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健康</w:t>
      </w:r>
      <w:r w:rsidR="005556D1">
        <w:rPr>
          <w:rFonts w:hint="eastAsia"/>
          <w:bCs/>
          <w:i/>
          <w:iCs/>
          <w:color w:val="000000" w:themeColor="text1"/>
          <w:sz w:val="22"/>
        </w:rPr>
        <w:t>话题</w:t>
      </w:r>
      <w:r w:rsidR="0025379D">
        <w:rPr>
          <w:rFonts w:hint="eastAsia"/>
          <w:bCs/>
          <w:i/>
          <w:iCs/>
          <w:color w:val="000000" w:themeColor="text1"/>
          <w:sz w:val="22"/>
        </w:rPr>
        <w:t>：</w:t>
      </w:r>
      <w:r w:rsidR="0025379D"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0EA6873" w:rsidR="000333FD" w:rsidRDefault="001C1E37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</w:rPr>
        <w:t>中国经济学者协会北美年会</w:t>
      </w:r>
      <w:r w:rsidR="0053506E">
        <w:rPr>
          <w:rFonts w:hint="eastAsia"/>
          <w:b/>
          <w:color w:val="000000" w:themeColor="text1"/>
          <w:sz w:val="22"/>
        </w:rPr>
        <w:t>（</w:t>
      </w:r>
      <w:r w:rsidRPr="00057B7E">
        <w:rPr>
          <w:b/>
          <w:color w:val="000000" w:themeColor="text1"/>
          <w:sz w:val="22"/>
        </w:rPr>
        <w:t>Chinese Economists Society North America Annual Conference</w:t>
      </w:r>
      <w:r w:rsidR="0053506E">
        <w:rPr>
          <w:rFonts w:hint="eastAsia"/>
          <w:b/>
          <w:color w:val="000000" w:themeColor="text1"/>
          <w:sz w:val="22"/>
        </w:rPr>
        <w:t>）</w:t>
      </w:r>
      <w:r w:rsidR="000333FD"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 w:rsidR="000333FD"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 w:rsidR="000333FD"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73217E55" w:rsidR="00E21E43" w:rsidRDefault="00EA554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</w:rPr>
        <w:t>农业与应用经济协会年会</w:t>
      </w:r>
      <w:r w:rsidR="00DD1FD1">
        <w:rPr>
          <w:rFonts w:hint="eastAsia"/>
          <w:b/>
          <w:color w:val="000000" w:themeColor="text1"/>
          <w:sz w:val="22"/>
        </w:rPr>
        <w:t>（</w:t>
      </w:r>
      <w:r w:rsidRPr="00057B7E">
        <w:rPr>
          <w:b/>
          <w:color w:val="000000" w:themeColor="text1"/>
          <w:sz w:val="22"/>
        </w:rPr>
        <w:t>AAEA Annual Meeting</w:t>
      </w:r>
      <w:r w:rsidR="00DD1FD1">
        <w:rPr>
          <w:rFonts w:hint="eastAsia"/>
          <w:b/>
          <w:color w:val="000000" w:themeColor="text1"/>
          <w:sz w:val="22"/>
        </w:rPr>
        <w:t>）</w:t>
      </w:r>
      <w:r w:rsidR="00E21E43"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 w:rsidR="00E21E43"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 w:rsidR="00E21E43"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 w:rsidR="00E21E43"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55546131" w:rsidR="00650AE7" w:rsidRDefault="006117D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</w:rPr>
        <w:t>环境与资源经济学者协会暑期会议</w:t>
      </w:r>
      <w:r w:rsidR="00B13102">
        <w:rPr>
          <w:rFonts w:hint="eastAsia"/>
          <w:b/>
          <w:color w:val="000000" w:themeColor="text1"/>
          <w:sz w:val="22"/>
        </w:rPr>
        <w:t>（</w:t>
      </w:r>
      <w:r w:rsidRPr="00057B7E">
        <w:rPr>
          <w:b/>
          <w:color w:val="000000" w:themeColor="text1"/>
          <w:sz w:val="22"/>
        </w:rPr>
        <w:t>AERE Summer Conference</w:t>
      </w:r>
      <w:r w:rsidR="00B13102">
        <w:rPr>
          <w:rFonts w:hint="eastAsia"/>
          <w:b/>
          <w:color w:val="000000" w:themeColor="text1"/>
          <w:sz w:val="22"/>
        </w:rPr>
        <w:t>）</w:t>
      </w:r>
      <w:r w:rsidR="00650AE7"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 w:rsidR="00650AE7"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3A864EC8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 w:rsidR="00D939EF">
        <w:rPr>
          <w:rFonts w:hint="eastAsia"/>
          <w:bCs/>
          <w:i/>
          <w:iCs/>
          <w:color w:val="000000" w:themeColor="text1"/>
          <w:sz w:val="22"/>
        </w:rPr>
        <w:t>演讲</w:t>
      </w:r>
      <w:r>
        <w:rPr>
          <w:rFonts w:hint="eastAsia"/>
          <w:bCs/>
          <w:i/>
          <w:iCs/>
          <w:color w:val="000000" w:themeColor="text1"/>
          <w:sz w:val="22"/>
        </w:rPr>
        <w:t>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106DA4">
        <w:rPr>
          <w:rFonts w:hint="eastAsia"/>
          <w:bCs/>
          <w:i/>
          <w:iCs/>
          <w:color w:val="000000" w:themeColor="text1"/>
          <w:sz w:val="22"/>
        </w:rPr>
        <w:t>成员</w:t>
      </w:r>
    </w:p>
    <w:p w14:paraId="5F21C086" w14:textId="61317AE0" w:rsidR="00402475" w:rsidRPr="00B615C2" w:rsidRDefault="00D939E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演讲</w:t>
      </w:r>
      <w:r w:rsidR="0023119E">
        <w:rPr>
          <w:rFonts w:hint="eastAsia"/>
          <w:bCs/>
          <w:i/>
          <w:iCs/>
          <w:color w:val="000000" w:themeColor="text1"/>
          <w:sz w:val="22"/>
        </w:rPr>
        <w:t>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56E64">
        <w:rPr>
          <w:bCs/>
          <w:sz w:val="22"/>
        </w:rPr>
        <w:t>GISCorps – Humanitarian Openstreetmap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63EB70A9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</w:t>
      </w:r>
      <w:r w:rsidR="0065031B">
        <w:rPr>
          <w:sz w:val="22"/>
        </w:rPr>
        <w:t xml:space="preserve">, </w:t>
      </w:r>
      <w:r w:rsidR="00592616">
        <w:rPr>
          <w:sz w:val="22"/>
        </w:rPr>
        <w:t>202</w:t>
      </w:r>
      <w:r w:rsidR="00903E6A">
        <w:rPr>
          <w:rFonts w:hint="eastAsia"/>
          <w:sz w:val="22"/>
        </w:rPr>
        <w:t>1</w:t>
      </w:r>
    </w:p>
    <w:p w14:paraId="10506C0C" w14:textId="088B8B56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  <w:r w:rsidR="00A3205F">
        <w:rPr>
          <w:rFonts w:hint="eastAsia"/>
          <w:sz w:val="22"/>
        </w:rPr>
        <w:t>,</w:t>
      </w:r>
      <w:r w:rsidR="00A3205F">
        <w:rPr>
          <w:sz w:val="22"/>
        </w:rPr>
        <w:t xml:space="preserve"> </w:t>
      </w:r>
      <w:r w:rsidR="00A3205F">
        <w:rPr>
          <w:rFonts w:hint="eastAsia"/>
          <w:sz w:val="22"/>
        </w:rPr>
        <w:t>2021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46150F77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lastRenderedPageBreak/>
        <w:t>日本语言能力测试</w:t>
      </w:r>
      <w:r w:rsidR="00B04A5E">
        <w:rPr>
          <w:rFonts w:hint="eastAsia"/>
          <w:sz w:val="22"/>
        </w:rPr>
        <w:t>（</w:t>
      </w:r>
      <w:r w:rsidR="00B04A5E">
        <w:rPr>
          <w:rFonts w:hint="eastAsia"/>
          <w:sz w:val="22"/>
        </w:rPr>
        <w:t>JLPT</w:t>
      </w:r>
      <w:r w:rsidR="00B04A5E">
        <w:rPr>
          <w:rFonts w:hint="eastAsia"/>
          <w:sz w:val="22"/>
        </w:rPr>
        <w:t>）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>, Matlab,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r w:rsidRPr="006B218B">
        <w:rPr>
          <w:sz w:val="22"/>
        </w:rPr>
        <w:t>alanger</w:t>
      </w:r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r w:rsidRPr="006B218B">
        <w:rPr>
          <w:sz w:val="22"/>
        </w:rPr>
        <w:t>dlemoine</w:t>
      </w:r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r>
        <w:rPr>
          <w:sz w:val="22"/>
        </w:rPr>
        <w:t xml:space="preserve">gowrisankaran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>John Drabicki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r w:rsidRPr="00307E5E">
        <w:rPr>
          <w:sz w:val="22"/>
        </w:rPr>
        <w:t>drabicki</w:t>
      </w:r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67D76914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D939EF">
        <w:rPr>
          <w:bCs/>
          <w:noProof/>
          <w:sz w:val="22"/>
        </w:rPr>
        <w:t>2021-01-22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tqgFAN0CzTs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0457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6DA4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45E4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1E37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26651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10A3"/>
    <w:rsid w:val="0027304C"/>
    <w:rsid w:val="002829D9"/>
    <w:rsid w:val="00293C6A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506E"/>
    <w:rsid w:val="00537D03"/>
    <w:rsid w:val="00543A25"/>
    <w:rsid w:val="00544AD8"/>
    <w:rsid w:val="005556D1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0854"/>
    <w:rsid w:val="006117DB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31B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93F1E"/>
    <w:rsid w:val="008A3D94"/>
    <w:rsid w:val="008B0A87"/>
    <w:rsid w:val="008B20F7"/>
    <w:rsid w:val="008B4418"/>
    <w:rsid w:val="008B4538"/>
    <w:rsid w:val="008B77C1"/>
    <w:rsid w:val="008C0C03"/>
    <w:rsid w:val="008C1BD0"/>
    <w:rsid w:val="008C2363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205F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3AA9"/>
    <w:rsid w:val="00AE489E"/>
    <w:rsid w:val="00AE7908"/>
    <w:rsid w:val="00AF16A7"/>
    <w:rsid w:val="00B009A0"/>
    <w:rsid w:val="00B04A5E"/>
    <w:rsid w:val="00B068F5"/>
    <w:rsid w:val="00B126A1"/>
    <w:rsid w:val="00B13102"/>
    <w:rsid w:val="00B219A4"/>
    <w:rsid w:val="00B260DB"/>
    <w:rsid w:val="00B30343"/>
    <w:rsid w:val="00B319D0"/>
    <w:rsid w:val="00B332EE"/>
    <w:rsid w:val="00B350F5"/>
    <w:rsid w:val="00B353DC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324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939EF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1FD1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5547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46F99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hyperlink" Target="https://doi.org/10.1371/journal.pone.02317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403</cp:revision>
  <cp:lastPrinted>2020-10-07T05:34:00Z</cp:lastPrinted>
  <dcterms:created xsi:type="dcterms:W3CDTF">2019-12-24T05:37:00Z</dcterms:created>
  <dcterms:modified xsi:type="dcterms:W3CDTF">2021-01-22T20:15:00Z</dcterms:modified>
</cp:coreProperties>
</file>