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1618B0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1618B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1618B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1618B0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1618B0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bookmarkStart w:id="0" w:name="_GoBack"/>
      <w:bookmarkEnd w:id="0"/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2310399A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1618B0">
        <w:rPr>
          <w:bCs/>
          <w:noProof/>
          <w:sz w:val="22"/>
        </w:rPr>
        <w:t>October 26,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gFANWIFPM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2170</Words>
  <Characters>5123</Characters>
  <Application>Microsoft Office Word</Application>
  <DocSecurity>0</DocSecurity>
  <Lines>182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82</cp:revision>
  <cp:lastPrinted>2020-10-07T05:29:00Z</cp:lastPrinted>
  <dcterms:created xsi:type="dcterms:W3CDTF">2020-06-23T21:55:00Z</dcterms:created>
  <dcterms:modified xsi:type="dcterms:W3CDTF">2020-10-26T17:42:00Z</dcterms:modified>
</cp:coreProperties>
</file>