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Selectivity-first triage across three neglected tropical diseases</w:t>
      </w:r>
    </w:p>
    <w:p>
      <w:pPr>
        <w:spacing w:after="120"/>
        <w:jc w:val="center"/>
      </w:pPr>
      <w:r>
        <w:rPr>
          <w:rFonts w:ascii="Arial" w:cs="Arial" w:eastAsia="Arial" w:hAnsi="Arial"/>
          <w:b/>
          <w:bCs/>
          <w:sz w:val="32"/>
          <w:szCs w:val="32"/>
        </w:rPr>
        <w:t xml:space="preserve">reveals target-specific selectivity barriers and</w:t>
      </w:r>
    </w:p>
    <w:p>
      <w:pPr>
        <w:spacing w:after="400"/>
        <w:jc w:val="center"/>
      </w:pPr>
      <w:r>
        <w:rPr>
          <w:rFonts w:ascii="Arial" w:cs="Arial" w:eastAsia="Arial" w:hAnsi="Arial"/>
          <w:b/>
          <w:bCs/>
          <w:sz w:val="32"/>
          <w:szCs w:val="32"/>
        </w:rPr>
        <w:t xml:space="preserve">a 68-fold selective anti-leishmanial target, and target-pair-specific selectivity</w:t>
      </w:r>
    </w:p>
    <w:p>
      <w:pPr>
        <w:spacing w:after="80"/>
        <w:jc w:val="center"/>
      </w:pPr>
      <w:r>
        <w:rPr>
          <w:rFonts w:ascii="Arial" w:cs="Arial" w:eastAsia="Arial" w:hAnsi="Arial"/>
          <w:sz w:val="24"/>
          <w:szCs w:val="24"/>
        </w:rPr>
        <w:t xml:space="preserve">Daniel Ngabonziza</w:t>
      </w:r>
    </w:p>
    <w:p>
      <w:pPr>
        <w:spacing w:after="80"/>
        <w:jc w:val="center"/>
      </w:pPr>
      <w:r>
        <w:rPr>
          <w:rFonts w:ascii="Arial" w:cs="Arial" w:eastAsia="Arial" w:hAnsi="Arial"/>
          <w:i/>
          <w:iCs/>
          <w:color w:val="555555"/>
          <w:sz w:val="22"/>
          <w:szCs w:val="22"/>
        </w:rPr>
        <w:t xml:space="preserve">Independent researcher, Nashville, TN</w:t>
      </w:r>
    </w:p>
    <w:p>
      <w:pPr>
        <w:spacing w:after="400"/>
        <w:jc w:val="center"/>
      </w:pPr>
      <w:r>
        <w:rPr>
          <w:rFonts w:ascii="Arial" w:cs="Arial" w:eastAsia="Arial" w:hAnsi="Arial"/>
          <w:color w:val="555555"/>
          <w:sz w:val="22"/>
          <w:szCs w:val="22"/>
        </w:rPr>
        <w:t xml:space="preserve">Correspondence: ngabondanny@gmail.com</w:t>
      </w:r>
    </w:p>
    <w:p>
      <w:pPr>
        <w:pStyle w:val="Heading1"/>
      </w:pPr>
      <w:r>
        <w:t xml:space="preserve">Abstract</w:t>
      </w:r>
    </w:p>
    <w:p>
      <w:pPr>
        <w:spacing w:after="120" w:line="360"/>
        <w:jc w:val="both"/>
      </w:pPr>
      <w:r>
        <w:rPr>
          <w:rFonts w:ascii="Georgia" w:cs="Georgia" w:eastAsia="Georgia" w:hAnsi="Georgia"/>
          <w:b/>
          <w:bCs/>
        </w:rPr>
        <w:t xml:space="preserve">Background. </w:t>
      </w:r>
      <w:r>
        <w:rPr>
          <w:rFonts w:ascii="Georgia" w:cs="Georgia" w:eastAsia="Georgia" w:hAnsi="Georgia"/>
        </w:rPr>
        <w:t xml:space="preserve">Computational drug repurposing for neglected tropical diseases typically prioritizes compounds by target potency without assessing selectivity against human orthologues. Whether this omission systematically biases candidate selection, and whether the resulting patterns generalize across diseases, has not been evaluated.</w:t>
      </w:r>
    </w:p>
    <w:p>
      <w:pPr>
        <w:spacing w:after="120" w:line="360"/>
        <w:jc w:val="both"/>
      </w:pPr>
      <w:r>
        <w:rPr>
          <w:rFonts w:ascii="Georgia" w:cs="Georgia" w:eastAsia="Georgia" w:hAnsi="Georgia"/>
          <w:b/>
          <w:bCs/>
        </w:rPr>
        <w:t xml:space="preserve">Methods. </w:t>
      </w:r>
      <w:r>
        <w:rPr>
          <w:rFonts w:ascii="Georgia" w:cs="Georgia" w:eastAsia="Georgia" w:hAnsi="Georgia"/>
        </w:rPr>
        <w:t xml:space="preserve">We developed a selectivity-first triage pipeline and applied it to three NTDs: schistosomiasis (Schistosoma mansoni, 176 compounds, 10 targets), Human African Trypanosomiasis (Trypanosoma brucei, 1,035 compounds, 16 targets), and leishmaniasis (Leishmania spp., 1,488 compounds, 24 targets). Cross-species selectivity was assessed experimentally using ChEMBL dual-species data for seven target–orthologue pairs and computationally via molecular docking for one additional target.</w:t>
      </w:r>
    </w:p>
    <w:p>
      <w:pPr>
        <w:spacing w:after="120" w:line="360"/>
        <w:jc w:val="both"/>
      </w:pPr>
      <w:r>
        <w:rPr>
          <w:rFonts w:ascii="Georgia" w:cs="Georgia" w:eastAsia="Georgia" w:hAnsi="Georgia"/>
          <w:b/>
          <w:bCs/>
        </w:rPr>
        <w:t xml:space="preserve">Results. </w:t>
      </w:r>
      <w:r>
        <w:rPr>
          <w:rFonts w:ascii="Georgia" w:cs="Georgia" w:eastAsia="Georgia" w:hAnsi="Georgia"/>
        </w:rPr>
        <w:t xml:space="preserve">Across 311 experimental dual-species selectivity comparisons spanning three diseases, 61.7% of compounds were non-selective against the human orthologue. Four of seven experimentally assessed targets showed majority non-selectivity: S. mansoni HDAC8 (90.4%), T. brucei cathepsin B (94.4%), T. brucei PDEB1 (61.8%), and L. major DHFR (43.5%). Molecular docking confirmed SmTGR non-selectivity computationally (88%). However, selectivity varied dramatically by target. L. major pteridine reductase 1 (PTR1) emerged as the most selective target across all three diseases, with median 68.2-fold selectivity over human DHFR, 34 of 45 compounds exceeding 10-fold selectivity, and only 24.4% non-selectivity. S. mansoni DHODH yielded 3 compounds above 10x (best 30.8x at 23 nM, QED 0.89). T. brucei PDEB1 yielded 7 compounds above 10x (best 20.0x at 100 nM). Atovaquone, an approved antimalarial on the WHO Essential Medicines List available in sub-Saharan Africa, showed 6.0-fold SmDHODH selectivity. Cross-disease compound overlap was minimal (1 of 2,699 unique compounds), confirming independent chemical spaces.</w:t>
      </w:r>
    </w:p>
    <w:p>
      <w:pPr>
        <w:spacing w:after="120" w:line="360"/>
        <w:jc w:val="both"/>
      </w:pPr>
      <w:r>
        <w:rPr>
          <w:rFonts w:ascii="Georgia" w:cs="Georgia" w:eastAsia="Georgia" w:hAnsi="Georgia"/>
          <w:b/>
          <w:bCs/>
        </w:rPr>
        <w:t xml:space="preserve">Conclusions. </w:t>
      </w:r>
      <w:r>
        <w:rPr>
          <w:rFonts w:ascii="Georgia" w:cs="Georgia" w:eastAsia="Georgia" w:hAnsi="Georgia"/>
        </w:rPr>
        <w:t xml:space="preserve">Selectivity-first triage reveals a consistent but target-specific pattern across three parasitic diseases: most targets with human orthologues are non-selective traps, but each disease harbors at least one target with a tractable selectivity landscape. The methodology identifies both barriers and opportunities that potency-first approaches miss entirely. Machine learning analysis confirms that selectivity is target-pair-specific: protein pair features carry 8.6% of the predictive signal within-dataset but do not transfer across diseases, and simple sequence statistics outperform ESM-2 protein language model embeddings. We recommend selectivity analysis as a prerequisite of antiparasitic drug repurposing.</w:t>
      </w:r>
    </w:p>
    <w:p>
      <w:pPr>
        <w:spacing w:after="120" w:line="360"/>
        <w:jc w:val="both"/>
      </w:pPr>
      <w:r>
        <w:rPr>
          <w:rFonts w:ascii="Georgia" w:cs="Georgia" w:eastAsia="Georgia" w:hAnsi="Georgia"/>
          <w:b/>
          <w:bCs/>
        </w:rPr>
        <w:t xml:space="preserve">Keywords: </w:t>
      </w:r>
      <w:r>
        <w:rPr>
          <w:rFonts w:ascii="Georgia" w:cs="Georgia" w:eastAsia="Georgia" w:hAnsi="Georgia"/>
          <w:i/>
          <w:iCs/>
        </w:rPr>
        <w:t xml:space="preserve">neglected tropical diseases, drug repurposing, selectivity, schistosomiasis, trypanosomiasis, leishmaniasis, pteridine reductase, HDAC8, dihydroorotate dehydrogenase, phosphodiesterase, cross-species selectivity</w:t>
      </w:r>
    </w:p>
    <w:p>
      <w:r>
        <w:br w:type="page"/>
      </w:r>
    </w:p>
    <w:p>
      <w:pPr>
        <w:pStyle w:val="Heading1"/>
      </w:pPr>
      <w:r>
        <w:t xml:space="preserve">Introduction</w:t>
      </w:r>
    </w:p>
    <w:p>
      <w:pPr>
        <w:spacing w:after="120" w:line="360"/>
        <w:jc w:val="both"/>
      </w:pPr>
      <w:r>
        <w:t xml:space="preserve">Neglected tropical diseases collectively affect over one billion people, predominantly in low- and middle-income countries. Schistosomiasis (Schistosoma mansoni, ~200 million infected), Human African Trypanosomiasis (Trypanosoma brucei, ~65 million at risk), and leishmaniasis (Leishmania spp., ~12 million infected, ~1 billion at risk) exemplify the market failure that defines NTD drug development. Drug repurposing offers a faster path to new treatments, but computational repurposing studies typically prioritize compounds by target potency alone.</w:t>
      </w:r>
    </w:p>
    <w:p>
      <w:pPr>
        <w:spacing w:after="120" w:line="360"/>
        <w:jc w:val="both"/>
      </w:pPr>
      <w:r>
        <w:t xml:space="preserve">This omission is consequential. Antiparasitic drugs must often be suitable for mass drug administration in settings with limited capacity for adverse-effect monitoring. A compound that inhibits a parasite enzyme at 100 nM but equally inhibits the human orthologue has no therapeutic window. The selectivity question is not a refinement — it is a prerequisite for translational viability.</w:t>
      </w:r>
    </w:p>
    <w:p>
      <w:pPr>
        <w:spacing w:after="120" w:line="360"/>
        <w:jc w:val="both"/>
      </w:pPr>
      <w:r>
        <w:t xml:space="preserve">Whether the selectivity barrier is a target-specific anomaly or a systematic property of antiparasitic chemical space has not been evaluated across diseases. In this study, we developed a selectivity-first triage methodology and applied it to all three diseases to determine whether the resulting patterns generalize. We assessed selectivity experimentally for seven target–orthologue pairs and computationally for one additional target, covering 2,699 unique compounds across 50 parasite protein targets.</w:t>
      </w:r>
    </w:p>
    <w:p>
      <w:pPr>
        <w:pStyle w:val="Heading1"/>
      </w:pPr>
      <w:r>
        <w:t xml:space="preserve">Methods</w:t>
      </w:r>
    </w:p>
    <w:p>
      <w:pPr>
        <w:pStyle w:val="Heading2"/>
      </w:pPr>
      <w:r>
        <w:t xml:space="preserve">Pipeline architecture</w:t>
      </w:r>
    </w:p>
    <w:p>
      <w:pPr>
        <w:spacing w:after="120" w:line="360"/>
        <w:jc w:val="both"/>
      </w:pPr>
      <w:r>
        <w:t xml:space="preserve">The selectivity-first triage pipeline integrates six data layers: target-based bioactivity from ChEMBL, whole-organism phenotypic data (S. mansoni only), structural similarity via Morgan fingerprints, ADMET drug-likeness, cross-species selectivity analysis, and supply chain feasibility. The pipeline was applied sequentially to S. mansoni (14 scripts), T. brucei (3 scripts), and Leishmania spp. (1 script), with cross-disease analysis in the final script. All code is publicly available.</w:t>
      </w:r>
    </w:p>
    <w:p>
      <w:pPr>
        <w:pStyle w:val="Heading2"/>
      </w:pPr>
      <w:r>
        <w:t xml:space="preserve">Data retrieval</w:t>
      </w:r>
    </w:p>
    <w:p>
      <w:pPr>
        <w:spacing w:after="120" w:line="360"/>
        <w:jc w:val="both"/>
      </w:pPr>
      <w:r>
        <w:t xml:space="preserve">For each disease, all single-protein targets from the causative organism(s) were queried from ChEMBL. Activity measurements (IC50, EC50, Ki, Kd) with numeric nanomolar values and exact relationships were retained. S. mansoni: 226 measurements, 176 compounds, 10 targets. T. brucei (including subspecies): 1,140 measurements, 1,035 compounds, 16 targets with data. Leishmania (L. donovani, L. major, L. infantum, L. mexicana, L. amazonensis): 2,154 measurements, 1,488 compounds, 24 targets with data.</w:t>
      </w:r>
    </w:p>
    <w:p>
      <w:pPr>
        <w:pStyle w:val="Heading2"/>
      </w:pPr>
      <w:r>
        <w:t xml:space="preserve">Experimental selectivity</w:t>
      </w:r>
    </w:p>
    <w:p>
      <w:pPr>
        <w:spacing w:after="120" w:line="360"/>
        <w:jc w:val="both"/>
      </w:pPr>
      <w:r>
        <w:t xml:space="preserve">For parasite targets with known human orthologues, ChEMBL was queried for activity against the human protein. Selectivity ratios (human IC50 / parasite IC50) were computed for all compounds with dual-species data. Seven pairs were assessed: SmHDAC8 vs human HDAC8, SmDHODH vs human DHODH, T. brucei cathepsin B vs human cathepsin B, T. brucei PDEB1 vs human PDE4B, L. major DHFR vs human DHFR, L. major PTR1 vs human DHFR (closest functional equivalent), and Leishmania PDEB1 vs human PDE4B. Compounds were classified as selective (≥10x), moderate (3–10x), poor (1–3x), or counter-selective (&lt;1x).</w:t>
      </w:r>
    </w:p>
    <w:p>
      <w:pPr>
        <w:pStyle w:val="Heading2"/>
      </w:pPr>
      <w:r>
        <w:t xml:space="preserve">Computational selectivity</w:t>
      </w:r>
    </w:p>
    <w:p>
      <w:pPr>
        <w:spacing w:after="120" w:line="360"/>
        <w:jc w:val="both"/>
      </w:pPr>
      <w:r>
        <w:t xml:space="preserve">For SmTGR, where no experimental selectivity data existed, molecular docking was performed using AutoDock Vina against SmTGR (PDB 2X99, GSH binding site) and human TrxR1 (PDB 2ZZC, FAD binding site). Docking box centers were determined from co-crystallized ligand HETATM coordinates. Computational selectivity was computed as ΔE = E(human) − E(parasite).</w:t>
      </w:r>
    </w:p>
    <w:p>
      <w:pPr>
        <w:pStyle w:val="Heading2"/>
      </w:pPr>
      <w:r>
        <w:t xml:space="preserve">Supply chain and evaluation</w:t>
      </w:r>
    </w:p>
    <w:p>
      <w:pPr>
        <w:spacing w:after="120" w:line="360"/>
        <w:jc w:val="both"/>
      </w:pPr>
      <w:r>
        <w:t xml:space="preserve">For S. mansoni approved drugs, WHO Essential Medicines List (2023) status, sub-Saharan African availability, cost tier, and route were manually curated. A 228-compound S. mansoni benchmark (110 actives, 68 weak, 50 inactives) with bootstrap CIs validated the ranking pipeline.</w:t>
      </w:r>
    </w:p>
    <w:p>
      <w:r>
        <w:br w:type="page"/>
      </w:r>
    </w:p>
    <w:p>
      <w:pPr>
        <w:pStyle w:val="Heading1"/>
      </w:pPr>
      <w:r>
        <w:t xml:space="preserve">Results</w:t>
      </w:r>
    </w:p>
    <w:p>
      <w:pPr>
        <w:pStyle w:val="Heading2"/>
      </w:pPr>
      <w:r>
        <w:t xml:space="preserve">Three-disease selectivity landscape</w:t>
      </w:r>
    </w:p>
    <w:p>
      <w:pPr>
        <w:spacing w:after="120" w:line="360"/>
        <w:jc w:val="both"/>
      </w:pPr>
      <w:r>
        <w:t xml:space="preserve">Across 311 experimental dual-species selectivity comparisons spanning seven target–orthologue pairs in three diseases, the weighted average non-selectivity rate was 61.7%. Seventy-four of 311 compounds (23.8%) achieved ≥10-fold parasite selectivity. Four of seven targets showed majority non-selectivity. However, the distribution was highly target-specific: non-selectivity rates ranged from 24.4% (L. major PTR1) to 94.4% (T. brucei cathepsin B).</w:t>
      </w:r>
    </w:p>
    <w:p>
      <w:pPr>
        <w:pStyle w:val="Heading2"/>
      </w:pPr>
      <w:r>
        <w:t xml:space="preserve">Selectivity traps: targets with severe barriers</w:t>
      </w:r>
    </w:p>
    <w:p>
      <w:pPr>
        <w:spacing w:after="120" w:line="360"/>
        <w:jc w:val="both"/>
      </w:pPr>
      <w:r>
        <w:t xml:space="preserve">S. mansoni HDAC8 (73 dual-species compounds): 90.4% non-selective, median ratio 1.0x. All clinically advanced HDAC inhibitors were counter-selective. Only 1 of 73 compounds exceeded 10-fold selectivity. SmTGR (43 compounds, docking): 88% non-selective computationally, validated by significant correlation with experimental IC50 (Spearman ρ = 0.37, p = 0.016).</w:t>
      </w:r>
    </w:p>
    <w:p>
      <w:pPr>
        <w:spacing w:after="120" w:line="360"/>
        <w:jc w:val="both"/>
      </w:pPr>
      <w:r>
        <w:t xml:space="preserve">T. brucei cathepsin B (36 dual-species compounds): 94.4% non-selective, median ratio 0.8x. The typical compound prefers the human enzyme. No compound exceeded 10-fold. The worst selectivity landscape across all three diseases.</w:t>
      </w:r>
    </w:p>
    <w:p>
      <w:pPr>
        <w:pStyle w:val="Heading2"/>
      </w:pPr>
      <w:r>
        <w:t xml:space="preserve">Intermediate targets</w:t>
      </w:r>
    </w:p>
    <w:p>
      <w:pPr>
        <w:spacing w:after="120" w:line="360"/>
        <w:jc w:val="both"/>
      </w:pPr>
      <w:r>
        <w:t xml:space="preserve">T. brucei PDEB1 (68 dual-species compounds): 61.8% non-selective, but 7 compounds exceeding 10-fold selectivity (best CHEMBL4204999 at 20.0x, 100 nM). A mixed landscape where selective compounds exist but are outnumbered.</w:t>
      </w:r>
    </w:p>
    <w:p>
      <w:pPr>
        <w:spacing w:after="120" w:line="360"/>
        <w:jc w:val="both"/>
      </w:pPr>
      <w:r>
        <w:t xml:space="preserve">L. major DHFR (69 dual-species compounds): 43.5% non-selective, median 3.6x, 29 compounds above 10-fold. A substantial tractable fraction, though many compounds remain non-selective.</w:t>
      </w:r>
    </w:p>
    <w:p>
      <w:pPr>
        <w:pStyle w:val="Heading2"/>
      </w:pPr>
      <w:r>
        <w:t xml:space="preserve">Selectivity goldmines: targets with favorable landscapes</w:t>
      </w:r>
    </w:p>
    <w:p>
      <w:pPr>
        <w:spacing w:after="120" w:line="360"/>
        <w:jc w:val="both"/>
      </w:pPr>
      <w:r>
        <w:t xml:space="preserve">L. major pteridine reductase 1 (45 dual-species compounds): 24.4% non-selective, median ratio 68.2x, 34 compounds above 10-fold selectivity. PTR1 emerged as the most selective target across all three diseases by a wide margin. The median compound is 68 times more potent against the parasite enzyme than against human DHFR. This extraordinary selectivity likely reflects the substantial structural divergence between PTR1 (a short-chain dehydrogenase/reductase) and human DHFR (an unrelated fold), despite both enzymes participating in folate metabolism.</w:t>
      </w:r>
    </w:p>
    <w:p>
      <w:pPr>
        <w:spacing w:after="120" w:line="360"/>
        <w:jc w:val="both"/>
      </w:pPr>
      <w:r>
        <w:t xml:space="preserve">S. mansoni DHODH (18 dual-species compounds): 38.9% non-selective, median 4.7x, 3 compounds above 10-fold (best CHEMBL155771 at 30.8x, 23 nM, QED 0.89). Atovaquone showed 6.0-fold selectivity and is already available on the WHO Essential Medicines List.</w:t>
      </w:r>
    </w:p>
    <w:p>
      <w:pPr>
        <w:pStyle w:val="Heading2"/>
      </w:pPr>
      <w:r>
        <w:t xml:space="preserve">Parasite-unique enzymes</w:t>
      </w:r>
    </w:p>
    <w:p>
      <w:pPr>
        <w:spacing w:after="120" w:line="360"/>
        <w:jc w:val="both"/>
      </w:pPr>
      <w:r>
        <w:t xml:space="preserve">Multiple targets across all three diseases lack direct human orthologues: S. mansoni TGR (fusion enzyme), T. brucei trypanothione reductase (116 compounds, shared with Leishmania), T. brucei alternative oxidase, T. brucei RNA-editing ligase, and Leishmania trypanothione reductase (91 compounds). Trypanothione reductase is especially notable as it appears in both trypanosomatid diseases with a combined 207 compounds and a substrate (trypanothione) absent from human biology. However, our SmTGR docking demonstrates that “unique to parasite” does not automatically guarantee selective binding at the substrate level.</w:t>
      </w:r>
    </w:p>
    <w:p>
      <w:pPr>
        <w:pStyle w:val="Heading2"/>
      </w:pPr>
      <w:r>
        <w:t xml:space="preserve">Selectivity prediction: within-dataset and cross-disease</w:t>
      </w:r>
    </w:p>
    <w:p>
      <w:pPr>
        <w:spacing w:after="120" w:line="360"/>
        <w:jc w:val="both"/>
      </w:pPr>
      <w:r>
        <w:t xml:space="preserve">A gradient boosting classifier using compound fingerprints + RDKit descriptors + protein pair features achieved AUROC 0.895 ± 0.037 on 5-fold cross-validation (baseline 0.617), with protein pair features contributing 8.6% of total feature importance. However, leave-one-disease-out evaluation revealed near-random performance: AUROC 0.594 (schistosomiasis held out), 0.356 (trypanosomiasis), 0.521 (leishmaniasis). The model does not generalize across diseases.</w:t>
      </w:r>
    </w:p>
    <w:p>
      <w:pPr>
        <w:spacing w:after="120" w:line="360"/>
        <w:jc w:val="both"/>
      </w:pPr>
      <w:r>
        <w:t xml:space="preserve">Ablation analysis showed that adding protein pair features improved 5-fold CV AUROC by +0.055 (0.840 → 0.895) but had mixed effects on LODO: +0.082 for held-out schistosomiasis, +0.016 for leishmaniasis, but −0.209 for trypanosomiasis. Protein-level selectivity patterns learned from two diseases actively misled predictions for the third, demonstrating that selectivity is target-pair-specific rather than universally transferable.</w:t>
      </w:r>
    </w:p>
    <w:p>
      <w:pPr>
        <w:spacing w:after="120" w:line="360"/>
        <w:jc w:val="both"/>
      </w:pPr>
      <w:r>
        <w:t xml:space="preserve">The two most important protein-level features were simple sequence statistics: length difference (9.1% importance) and 2-mer Jaccard overlap (6.5%). ESM-2 cosine similarity contributed only 0.5%, and all ESM features combined contributed less than 2%. The 650-million-parameter protein language model added minimal value beyond crude sequence divergence measures, suggesting that selectivity depends on local active-site geometry rather than global protein representations.</w:t>
      </w:r>
    </w:p>
    <w:p>
      <w:pPr>
        <w:pStyle w:val="Heading2"/>
      </w:pPr>
      <w:r>
        <w:t xml:space="preserve">Cross-disease compound overlap</w:t>
      </w:r>
    </w:p>
    <w:p>
      <w:pPr>
        <w:spacing w:after="120" w:line="360"/>
        <w:jc w:val="both"/>
      </w:pPr>
      <w:r>
        <w:t xml:space="preserve">Only 1 of 2,699 unique compounds across all three diseases showed measured activity against targets from more than one parasite species. The chemical spaces are essentially disjoint, confirming independent chemical optimization programs and strengthening the cross-disease validity of the selectivity finding.</w:t>
      </w:r>
    </w:p>
    <w:p>
      <w:r>
        <w:br w:type="page"/>
      </w:r>
    </w:p>
    <w:p>
      <w:pPr>
        <w:pStyle w:val="Heading1"/>
      </w:pPr>
      <w:r>
        <w:t xml:space="preserve">Discussion</w:t>
      </w:r>
    </w:p>
    <w:p>
      <w:pPr>
        <w:spacing w:after="120" w:line="360"/>
        <w:jc w:val="both"/>
      </w:pPr>
      <w:r>
        <w:t xml:space="preserve">This study establishes three findings with implications for antiparasitic drug repurposing strategy.</w:t>
      </w:r>
    </w:p>
    <w:p>
      <w:pPr>
        <w:spacing w:after="120" w:line="360"/>
        <w:jc w:val="both"/>
      </w:pPr>
      <w:r>
        <w:t xml:space="preserve">First, selectivity barriers are systematic, not anomalous. Across three taxonomically diverse parasites and seven target–orthologue pairs, the majority of existing chemical matter is non-selective. This is not driven by a single bad target or a shared compound library; it is an independent observation replicated in separate chemical spaces. Approximately three-quarters of compounds that potency-first approaches would prioritize for schistosomiasis and trypanosomiasis, and approximately half for leishmaniasis, would fail a selectivity screen.</w:t>
      </w:r>
    </w:p>
    <w:p>
      <w:pPr>
        <w:spacing w:after="120" w:line="360"/>
        <w:jc w:val="both"/>
      </w:pPr>
      <w:r>
        <w:t xml:space="preserve">Second, selectivity is highly target-specific. Non-selectivity rates range from 24% (PTR1) to 94% (cathepsin B) — a nearly four-fold range. This means the choice of target matters as much as the choice of compound. A medicinal chemistry program optimizing against cathepsin B faces a fundamentally different selectivity landscape than one optimizing against PTR1, regardless of the quality of the chemistry. Target-level selectivity triage should therefore precede compound-level optimization.</w:t>
      </w:r>
    </w:p>
    <w:p>
      <w:pPr>
        <w:spacing w:after="120" w:line="360"/>
        <w:jc w:val="both"/>
      </w:pPr>
      <w:r>
        <w:t xml:space="preserve">Third, the methodology identifies opportunities that potency-first approaches miss entirely. PTR1’s median 68-fold selectivity, CHEMBL155771’s 30.8-fold selectivity against SmDHODH, and PDEB1’s 7 selective compounds are findings that emerge only when selectivity is assessed systematically across the chemical series. These are not the compounds that would be prioritized by potency alone — in several cases, more potent but non-selective compounds rank higher in conventional analyses.</w:t>
      </w:r>
    </w:p>
    <w:p>
      <w:pPr>
        <w:spacing w:after="120" w:line="360"/>
        <w:jc w:val="both"/>
      </w:pPr>
      <w:r>
        <w:t xml:space="preserve">The discovery of PTR1 as the most selective target across all three diseases is particularly notable. PTR1 is a short-chain dehydrogenase/reductase that reduces oxidized pteridines and folates in Leishmania. Despite participating in the same metabolic pathway as human DHFR, PTR1 belongs to a completely different protein fold family. This structural independence likely explains the extraordinary selectivity: compounds binding PTR1’s active site encounter a fundamentally different binding environment than that of human DHFR, even when targeting the same metabolic pathway.</w:t>
      </w:r>
    </w:p>
    <w:p>
      <w:pPr>
        <w:spacing w:after="120" w:line="360"/>
        <w:jc w:val="both"/>
      </w:pPr>
      <w:r>
        <w:t xml:space="preserve">For schistosomiasis, atovaquone remains the strongest translational candidate: an approved oral antimalarial on the WHO Essential Medicines List with confirmed 6-fold SmDHODH selectivity and existing East African supply chains. For trypanosomiasis, PDEB1 selective compounds and trypanothione reductase (unique enzyme, 116 compounds) merit parallel investigation. For leishmaniasis, the PTR1 chemical series represents the most favorable selectivity landscape in the entire study.</w:t>
      </w:r>
    </w:p>
    <w:p>
      <w:pPr>
        <w:pStyle w:val="Heading2"/>
      </w:pPr>
      <w:r>
        <w:t xml:space="preserve">Limitations</w:t>
      </w:r>
    </w:p>
    <w:p>
      <w:pPr>
        <w:spacing w:after="120" w:line="360"/>
        <w:jc w:val="both"/>
      </w:pPr>
      <w:r>
        <w:t xml:space="preserve">(1) Selectivity ratios reflect ChEMBL measurements across different laboratories and assay conditions, not matched assays. (2) Orthologue mapping was limited to targets with known human counterparts; many targets were unmapped. (3) Molecular docking (SmTGR) was rigid and compared non-equivalent binding sites. (4) PTR1 selectivity was computed against human DHFR as the closest functional equivalent; PTR1 has no direct structural orthologue. (5) No experimental validation of pipeline predictions has been performed. (6) Supply chain assessment covered S. mansoni approved drugs only. (7) The S. mansoni benchmark tests an easy discrimination task. (8) Leishmania DHODH showed only weak activity data (best 25,119 nM), preventing meaningful selectivity comparison.</w:t>
      </w:r>
    </w:p>
    <w:p>
      <w:pPr>
        <w:pStyle w:val="Heading1"/>
      </w:pPr>
      <w:r>
        <w:t xml:space="preserve">Conclusions</w:t>
      </w:r>
    </w:p>
    <w:p>
      <w:pPr>
        <w:spacing w:after="120" w:line="360"/>
        <w:jc w:val="both"/>
      </w:pPr>
      <w:r>
        <w:t xml:space="preserve">Selectivity-first triage, applied across three parasitic diseases, 2,699 unique compounds, and 50 parasite protein targets, reveals that 61.7% of antiparasitic chemical matter against conserved targets is non-selective. The distribution is highly target-specific: cathepsin B (94% non-selective) and SmHDAC8 (90%) represent near-total selectivity barriers, while PTR1 (24%, median 68x) represents an exceptional selectivity opportunity. Each disease harbors at least one tractable target (SmDHODH, PDEB1, PTR1) and at least one selectivity trap. The methodology generalizes across NTDs spanning two phyla and argues for selectivity-first triage as a standard component of antiparasitic drug repurposing.</w:t>
      </w:r>
    </w:p>
    <w:p>
      <w:pPr>
        <w:pStyle w:val="Heading1"/>
      </w:pPr>
      <w:r>
        <w:t xml:space="preserve">Data and code availability</w:t>
      </w:r>
    </w:p>
    <w:p>
      <w:pPr>
        <w:spacing w:after="120" w:line="360"/>
        <w:jc w:val="both"/>
      </w:pPr>
      <w:r>
        <w:t xml:space="preserve">All code (21 scripts + clean rerun), data, evaluation sets, docking files, and cross-disease analyses are available at https://github.com/Danny2045/Kira.</w:t>
      </w:r>
    </w:p>
    <w:p>
      <w:pPr>
        <w:pStyle w:val="Heading1"/>
      </w:pPr>
      <w:r>
        <w:t xml:space="preserve">Acknowledgments</w:t>
      </w:r>
    </w:p>
    <w:p>
      <w:pPr>
        <w:spacing w:after="120" w:line="360"/>
        <w:jc w:val="both"/>
      </w:pPr>
      <w:r>
        <w:t xml:space="preserve">This work was conducted independently in Nashville, TN, without institutional affiliation or external funding.</w:t>
      </w:r>
    </w:p>
    <w:p>
      <w:pPr>
        <w:pStyle w:val="Heading1"/>
      </w:pPr>
      <w:r>
        <w:t xml:space="preserve">Conflicts of interest</w:t>
      </w:r>
    </w:p>
    <w:p>
      <w:pPr>
        <w:spacing w:after="120" w:line="360"/>
        <w:jc w:val="both"/>
      </w:pPr>
      <w:r>
        <w:t xml:space="preserve">The author declares no conflicts of interest.</w:t>
      </w:r>
    </w:p>
    <w:p>
      <w:r>
        <w:br w:type="page"/>
      </w:r>
    </w:p>
    <w:p>
      <w:pPr>
        <w:pStyle w:val="Heading1"/>
      </w:pPr>
      <w:r>
        <w:t xml:space="preserve">References</w:t>
      </w:r>
    </w:p>
    <w:p>
      <w:pPr>
        <w:spacing w:after="60"/>
        <w:ind w:left="480" w:hanging="480"/>
      </w:pPr>
      <w:r>
        <w:rPr>
          <w:rFonts w:ascii="Georgia" w:cs="Georgia" w:eastAsia="Georgia" w:hAnsi="Georgia"/>
          <w:sz w:val="20"/>
          <w:szCs w:val="20"/>
        </w:rPr>
        <w:t xml:space="preserve">1. World Health Organization. Neglected tropical diseases. WHO, 2024.</w:t>
      </w:r>
    </w:p>
    <w:p>
      <w:pPr>
        <w:spacing w:after="60"/>
        <w:ind w:left="480" w:hanging="480"/>
      </w:pPr>
      <w:r>
        <w:rPr>
          <w:rFonts w:ascii="Georgia" w:cs="Georgia" w:eastAsia="Georgia" w:hAnsi="Georgia"/>
          <w:sz w:val="20"/>
          <w:szCs w:val="20"/>
        </w:rPr>
        <w:t xml:space="preserve">2. World Health Organization. Schistosomiasis fact sheet. WHO, 2024.</w:t>
      </w:r>
    </w:p>
    <w:p>
      <w:pPr>
        <w:spacing w:after="60"/>
        <w:ind w:left="480" w:hanging="480"/>
      </w:pPr>
      <w:r>
        <w:rPr>
          <w:rFonts w:ascii="Georgia" w:cs="Georgia" w:eastAsia="Georgia" w:hAnsi="Georgia"/>
          <w:sz w:val="20"/>
          <w:szCs w:val="20"/>
        </w:rPr>
        <w:t xml:space="preserve">3. World Health Organization. Trypanosomiasis, human African. WHO, 2024.</w:t>
      </w:r>
    </w:p>
    <w:p>
      <w:pPr>
        <w:spacing w:after="60"/>
        <w:ind w:left="480" w:hanging="480"/>
      </w:pPr>
      <w:r>
        <w:rPr>
          <w:rFonts w:ascii="Georgia" w:cs="Georgia" w:eastAsia="Georgia" w:hAnsi="Georgia"/>
          <w:sz w:val="20"/>
          <w:szCs w:val="20"/>
        </w:rPr>
        <w:t xml:space="preserve">4. World Health Organization. Leishmaniasis. WHO, 2024.</w:t>
      </w:r>
    </w:p>
    <w:p>
      <w:pPr>
        <w:spacing w:after="60"/>
        <w:ind w:left="480" w:hanging="480"/>
      </w:pPr>
      <w:r>
        <w:rPr>
          <w:rFonts w:ascii="Georgia" w:cs="Georgia" w:eastAsia="Georgia" w:hAnsi="Georgia"/>
          <w:sz w:val="20"/>
          <w:szCs w:val="20"/>
        </w:rPr>
        <w:t xml:space="preserve">5. Cioli D, et al. Schistosomiasis control: praziquantel forever? Mol Biochem Parasitol. 2014;195(1):23–29.</w:t>
      </w:r>
    </w:p>
    <w:p>
      <w:pPr>
        <w:spacing w:after="60"/>
        <w:ind w:left="480" w:hanging="480"/>
      </w:pPr>
      <w:r>
        <w:rPr>
          <w:rFonts w:ascii="Georgia" w:cs="Georgia" w:eastAsia="Georgia" w:hAnsi="Georgia"/>
          <w:sz w:val="20"/>
          <w:szCs w:val="20"/>
        </w:rPr>
        <w:t xml:space="preserve">6. Heimburg T, et al. Novel inhibitors targeting HDAC8 from S. mansoni. J Med Chem. 2016;59(6):2423–2435.</w:t>
      </w:r>
    </w:p>
    <w:p>
      <w:pPr>
        <w:spacing w:after="60"/>
        <w:ind w:left="480" w:hanging="480"/>
      </w:pPr>
      <w:r>
        <w:rPr>
          <w:rFonts w:ascii="Georgia" w:cs="Georgia" w:eastAsia="Georgia" w:hAnsi="Georgia"/>
          <w:sz w:val="20"/>
          <w:szCs w:val="20"/>
        </w:rPr>
        <w:t xml:space="preserve">7. Kuntz AN, et al. Thioredoxin glutathione reductase from S. mansoni. PLoS Med. 2007;4(6):e206.</w:t>
      </w:r>
    </w:p>
    <w:p>
      <w:pPr>
        <w:spacing w:after="60"/>
        <w:ind w:left="480" w:hanging="480"/>
      </w:pPr>
      <w:r>
        <w:rPr>
          <w:rFonts w:ascii="Georgia" w:cs="Georgia" w:eastAsia="Georgia" w:hAnsi="Georgia"/>
          <w:sz w:val="20"/>
          <w:szCs w:val="20"/>
        </w:rPr>
        <w:t xml:space="preserve">8. Krauth-Siegel RL, Comini MA. Redox control in trypanosomatids. Biochim Biophys Acta. 2008;1780(11):1236–1248.</w:t>
      </w:r>
    </w:p>
    <w:p>
      <w:pPr>
        <w:spacing w:after="60"/>
        <w:ind w:left="480" w:hanging="480"/>
      </w:pPr>
      <w:r>
        <w:rPr>
          <w:rFonts w:ascii="Georgia" w:cs="Georgia" w:eastAsia="Georgia" w:hAnsi="Georgia"/>
          <w:sz w:val="20"/>
          <w:szCs w:val="20"/>
        </w:rPr>
        <w:t xml:space="preserve">9. Gourley DG, et al. Pteridine reductase mechanism correlates pterin and folate metabolism with drug resistance in trypanosomatid parasites. Nat Struct Biol. 2001;8(6):521–525.</w:t>
      </w:r>
    </w:p>
    <w:p>
      <w:pPr>
        <w:spacing w:after="60"/>
        <w:ind w:left="480" w:hanging="480"/>
      </w:pPr>
      <w:r>
        <w:rPr>
          <w:rFonts w:ascii="Georgia" w:cs="Georgia" w:eastAsia="Georgia" w:hAnsi="Georgia"/>
          <w:sz w:val="20"/>
          <w:szCs w:val="20"/>
        </w:rPr>
        <w:t xml:space="preserve">10. Mendez D, et al. ChEMBL: towards direct deposition of bioassay data. Nucleic Acids Res. 2019;47(D1):D930–D940.</w:t>
      </w:r>
    </w:p>
    <w:p>
      <w:pPr>
        <w:spacing w:after="60"/>
        <w:ind w:left="480" w:hanging="480"/>
      </w:pPr>
      <w:r>
        <w:rPr>
          <w:rFonts w:ascii="Georgia" w:cs="Georgia" w:eastAsia="Georgia" w:hAnsi="Georgia"/>
          <w:sz w:val="20"/>
          <w:szCs w:val="20"/>
        </w:rPr>
        <w:t xml:space="preserve">11. Chandak P, et al. Building a knowledge graph to enable precision medicine. Sci Data. 2023;10:67.</w:t>
      </w:r>
    </w:p>
    <w:p>
      <w:pPr>
        <w:spacing w:after="60"/>
        <w:ind w:left="480" w:hanging="480"/>
      </w:pPr>
      <w:r>
        <w:rPr>
          <w:rFonts w:ascii="Georgia" w:cs="Georgia" w:eastAsia="Georgia" w:hAnsi="Georgia"/>
          <w:sz w:val="20"/>
          <w:szCs w:val="20"/>
        </w:rPr>
        <w:t xml:space="preserve">12. Lipinski CA, et al. Experimental and computational approaches to estimate solubility and permeability. Adv Drug Deliv Rev. 2001;46(1–3):3–26.</w:t>
      </w:r>
    </w:p>
    <w:p>
      <w:pPr>
        <w:spacing w:after="60"/>
        <w:ind w:left="480" w:hanging="480"/>
      </w:pPr>
      <w:r>
        <w:rPr>
          <w:rFonts w:ascii="Georgia" w:cs="Georgia" w:eastAsia="Georgia" w:hAnsi="Georgia"/>
          <w:sz w:val="20"/>
          <w:szCs w:val="20"/>
        </w:rPr>
        <w:t xml:space="preserve">13. Bickerton GR, et al. Quantifying the chemical beauty of drugs. Nat Chem. 2012;4(2):90–98.</w:t>
      </w:r>
    </w:p>
    <w:p>
      <w:pPr>
        <w:spacing w:after="60"/>
        <w:ind w:left="480" w:hanging="480"/>
      </w:pPr>
      <w:r>
        <w:rPr>
          <w:rFonts w:ascii="Georgia" w:cs="Georgia" w:eastAsia="Georgia" w:hAnsi="Georgia"/>
          <w:sz w:val="20"/>
          <w:szCs w:val="20"/>
        </w:rPr>
        <w:t xml:space="preserve">14. Rogers D, Hahn M. Extended-connectivity fingerprints. J Chem Inf Model. 2010;50(5):742–754.</w:t>
      </w:r>
    </w:p>
    <w:p>
      <w:pPr>
        <w:spacing w:after="60"/>
        <w:ind w:left="480" w:hanging="480"/>
      </w:pPr>
      <w:r>
        <w:rPr>
          <w:rFonts w:ascii="Georgia" w:cs="Georgia" w:eastAsia="Georgia" w:hAnsi="Georgia"/>
          <w:sz w:val="20"/>
          <w:szCs w:val="20"/>
        </w:rPr>
        <w:t xml:space="preserve">15. Trott O, Olson AJ. AutoDock Vina. J Comput Chem. 2010;31(2):455–461.</w:t>
      </w:r>
    </w:p>
    <w:p>
      <w:pPr>
        <w:spacing w:after="60"/>
        <w:ind w:left="480" w:hanging="480"/>
      </w:pPr>
      <w:r>
        <w:rPr>
          <w:rFonts w:ascii="Georgia" w:cs="Georgia" w:eastAsia="Georgia" w:hAnsi="Georgia"/>
          <w:sz w:val="20"/>
          <w:szCs w:val="20"/>
        </w:rPr>
        <w:t xml:space="preserve">16. World Health Organization. WHO Model List of Essential Medicines. 23rd list, 2023.</w:t>
      </w:r>
    </w:p>
    <w:p>
      <w:pPr>
        <w:spacing w:after="60"/>
        <w:ind w:left="480" w:hanging="480"/>
      </w:pPr>
      <w:r>
        <w:rPr>
          <w:rFonts w:ascii="Georgia" w:cs="Georgia" w:eastAsia="Georgia" w:hAnsi="Georgia"/>
          <w:sz w:val="20"/>
          <w:szCs w:val="20"/>
        </w:rPr>
        <w:t xml:space="preserve">17. Looareesuwan S, et al. Malarone: clinical development review. Am J Trop Med Hyg. 1999;60(4):533–541.</w:t>
      </w:r>
    </w:p>
    <w:p>
      <w:pPr>
        <w:spacing w:after="60"/>
        <w:ind w:left="480" w:hanging="480"/>
      </w:pPr>
      <w:r>
        <w:rPr>
          <w:rFonts w:ascii="Georgia" w:cs="Georgia" w:eastAsia="Georgia" w:hAnsi="Georgia"/>
          <w:sz w:val="20"/>
          <w:szCs w:val="20"/>
        </w:rPr>
        <w:t xml:space="preserve">18. Neves BJ, et al. In silico repositioning for S. mansoni. PLoS Negl Trop Dis. 2015;9(1):e3435.</w:t>
      </w:r>
    </w:p>
    <w:p>
      <w:pPr>
        <w:spacing w:after="60"/>
        <w:ind w:left="480" w:hanging="480"/>
      </w:pPr>
      <w:r>
        <w:rPr>
          <w:rFonts w:ascii="Georgia" w:cs="Georgia" w:eastAsia="Georgia" w:hAnsi="Georgia"/>
          <w:sz w:val="20"/>
          <w:szCs w:val="20"/>
        </w:rPr>
        <w:t xml:space="preserve">19. Lin Z, et al. Evolutionary-scale prediction of atomic-level protein structure with a language model. Science. 2023;379(6637):1123–1130.</w:t>
      </w:r>
    </w:p>
    <w:p>
      <w:r>
        <w:br w:type="page"/>
      </w:r>
    </w:p>
    <w:p>
      <w:pPr>
        <w:pStyle w:val="Heading1"/>
      </w:pPr>
      <w:r>
        <w:t xml:space="preserve">Tables</w:t>
      </w:r>
    </w:p>
    <w:p>
      <w:pPr>
        <w:spacing w:after="120" w:line="360"/>
        <w:jc w:val="both"/>
      </w:pPr>
      <w:r>
        <w:rPr>
          <w:b/>
          <w:bCs/>
        </w:rPr>
        <w:t xml:space="preserve">Table 1. </w:t>
      </w:r>
      <w:r>
        <w:t xml:space="preserve">Three-disease cross-species selectivity landscape. Seven target–orthologue pairs assessed experimentally; SmTGR assessed by molecular docking. Targets ordered by non-selectivity rate.</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650"/>
        <w:gridCol w:w="650"/>
        <w:gridCol w:w="700"/>
        <w:gridCol w:w="650"/>
        <w:gridCol w:w="650"/>
        <w:gridCol w:w="800"/>
        <w:gridCol w:w="900"/>
      </w:tblGrid>
      <w:tr>
        <w:tc>
          <w:tcPr>
            <w:tcW w:type="dxa" w:w="13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Disease</w:t>
            </w:r>
          </w:p>
        </w:tc>
        <w:tc>
          <w:tcPr>
            <w:tcW w:type="dxa" w:w="16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Target</w:t>
            </w:r>
          </w:p>
        </w:tc>
        <w:tc>
          <w:tcPr>
            <w:tcW w:type="dxa" w:w="65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N cpd</w:t>
            </w:r>
          </w:p>
        </w:tc>
        <w:tc>
          <w:tcPr>
            <w:tcW w:type="dxa" w:w="65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N sel.</w:t>
            </w:r>
          </w:p>
        </w:tc>
        <w:tc>
          <w:tcPr>
            <w:tcW w:type="dxa" w:w="7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≥10x</w:t>
            </w:r>
          </w:p>
        </w:tc>
        <w:tc>
          <w:tcPr>
            <w:tcW w:type="dxa" w:w="65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 Non-sel</w:t>
            </w:r>
          </w:p>
        </w:tc>
        <w:tc>
          <w:tcPr>
            <w:tcW w:type="dxa" w:w="65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Med. ratio</w:t>
            </w:r>
          </w:p>
        </w:tc>
        <w:tc>
          <w:tcPr>
            <w:tcW w:type="dxa" w:w="8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Best ratio</w:t>
            </w:r>
          </w:p>
        </w:tc>
        <w:tc>
          <w:tcPr>
            <w:tcW w:type="dxa" w:w="9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Verdict</w:t>
            </w:r>
          </w:p>
        </w:tc>
      </w:tr>
      <w:tr>
        <w:tc>
          <w:tcPr>
            <w:tcW w:type="dxa" w:w="13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T. brucei</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Cathepsin B</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60</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36</w:t>
            </w:r>
          </w:p>
        </w:tc>
        <w:tc>
          <w:tcPr>
            <w:tcW w:type="dxa" w:w="7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0</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94.4%</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0.8x</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4.1x</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Trap</w:t>
            </w:r>
          </w:p>
        </w:tc>
      </w:tr>
      <w:tr>
        <w:tc>
          <w:tcPr>
            <w:tcW w:type="dxa" w:w="13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 mansoni</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SmHDAC8</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100</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73</w:t>
            </w:r>
          </w:p>
        </w:tc>
        <w:tc>
          <w:tcPr>
            <w:tcW w:type="dxa" w:w="7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90.4%</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1.0x</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11.0x</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Trap</w:t>
            </w:r>
          </w:p>
        </w:tc>
      </w:tr>
      <w:tr>
        <w:tc>
          <w:tcPr>
            <w:tcW w:type="dxa" w:w="13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 mansoni</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SmTGR*</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43</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43</w:t>
            </w:r>
          </w:p>
        </w:tc>
        <w:tc>
          <w:tcPr>
            <w:tcW w:type="dxa" w:w="7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0</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88%</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Trap</w:t>
            </w:r>
          </w:p>
        </w:tc>
      </w:tr>
      <w:tr>
        <w:tc>
          <w:tcPr>
            <w:tcW w:type="dxa" w:w="13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T. brucei</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PDEB1</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157</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68</w:t>
            </w:r>
          </w:p>
        </w:tc>
        <w:tc>
          <w:tcPr>
            <w:tcW w:type="dxa" w:w="7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7</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61.8%</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1.6x</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20.0x</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Mixed</w:t>
            </w:r>
          </w:p>
        </w:tc>
      </w:tr>
      <w:tr>
        <w:tc>
          <w:tcPr>
            <w:tcW w:type="dxa" w:w="13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Leishmania</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DHFR</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120</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69</w:t>
            </w:r>
          </w:p>
        </w:tc>
        <w:tc>
          <w:tcPr>
            <w:tcW w:type="dxa" w:w="7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29</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43.5%</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3.6x</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&gt;100x</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Mixed</w:t>
            </w:r>
          </w:p>
        </w:tc>
      </w:tr>
      <w:tr>
        <w:tc>
          <w:tcPr>
            <w:tcW w:type="dxa" w:w="13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 mansoni</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SmDHODH</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21</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18</w:t>
            </w:r>
          </w:p>
        </w:tc>
        <w:tc>
          <w:tcPr>
            <w:tcW w:type="dxa" w:w="7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3</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38.9%</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4.7x</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30.8x</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Tractable</w:t>
            </w:r>
          </w:p>
        </w:tc>
      </w:tr>
      <w:tr>
        <w:tc>
          <w:tcPr>
            <w:tcW w:type="dxa" w:w="13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Leishmania</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PTR1</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133</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45</w:t>
            </w:r>
          </w:p>
        </w:tc>
        <w:tc>
          <w:tcPr>
            <w:tcW w:type="dxa" w:w="7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34</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24.4%</w:t>
            </w:r>
          </w:p>
        </w:tc>
        <w:tc>
          <w:tcPr>
            <w:tcW w:type="dxa" w:w="65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68.2x</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&gt;100x</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Goldmine</w:t>
            </w:r>
          </w:p>
        </w:tc>
      </w:tr>
    </w:tbl>
    <w:p>
      <w:pPr>
        <w:spacing w:after="120" w:line="360"/>
        <w:jc w:val="both"/>
      </w:pPr>
      <w:r>
        <w:rPr>
          <w:i/>
          <w:iCs/>
          <w:sz w:val="19"/>
          <w:szCs w:val="19"/>
        </w:rPr>
        <w:t xml:space="preserve">* Assessed by molecular docking (AutoDock Vina), not experimental ChEMBL data.</w:t>
      </w:r>
    </w:p>
    <w:p>
      <w:pPr>
        <w:spacing w:after="80"/>
      </w:pPr>
      <w:r>
        <w:t xml:space="preserve"/>
      </w:r>
    </w:p>
    <w:p>
      <w:pPr>
        <w:spacing w:after="120" w:line="360"/>
        <w:jc w:val="both"/>
      </w:pPr>
      <w:r>
        <w:rPr>
          <w:b/>
          <w:bCs/>
        </w:rPr>
        <w:t xml:space="preserve">Table 2. </w:t>
      </w:r>
      <w:r>
        <w:t xml:space="preserve">Platform summary statistics across three diseases.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tblGrid>
      <w:tr>
        <w:tc>
          <w:tcPr>
            <w:tcW w:type="dxa" w:w="30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left"/>
            </w:pPr>
            <w:r>
              <w:rPr>
                <w:rFonts w:ascii="Arial" w:cs="Arial" w:eastAsia="Arial" w:hAnsi="Arial"/>
                <w:b/>
                <w:bCs/>
                <w:sz w:val="19"/>
                <w:szCs w:val="19"/>
              </w:rPr>
              <w:t xml:space="preserve">Metric</w:t>
            </w:r>
          </w:p>
        </w:tc>
        <w:tc>
          <w:tcPr>
            <w:tcW w:type="dxa" w:w="15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Schistosomiasis</w:t>
            </w:r>
          </w:p>
        </w:tc>
        <w:tc>
          <w:tcPr>
            <w:tcW w:type="dxa" w:w="15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Trypanosomiasis</w:t>
            </w:r>
          </w:p>
        </w:tc>
        <w:tc>
          <w:tcPr>
            <w:tcW w:type="dxa" w:w="15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Leishmaniasis</w:t>
            </w:r>
          </w:p>
        </w:tc>
      </w:tr>
      <w:tr>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Parasite targets</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10</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16 (23 incl. subspecies)</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24 (35 incl. species)</w:t>
            </w:r>
          </w:p>
        </w:tc>
      </w:tr>
      <w:tr>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Unique compounds</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176</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1,035</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1,488</w:t>
            </w:r>
          </w:p>
        </w:tc>
      </w:tr>
      <w:tr>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Activity measurements</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226</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1,140</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2,154</w:t>
            </w:r>
          </w:p>
        </w:tc>
      </w:tr>
      <w:tr>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Selectivity comparisons</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91 exp. + 43 dock.</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104</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116</w:t>
            </w:r>
          </w:p>
        </w:tc>
      </w:tr>
      <w:tr>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Tractable target</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SmDHODH</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PDEB1</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PTR1</w:t>
            </w:r>
          </w:p>
        </w:tc>
      </w:tr>
      <w:tr>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Best selectivity ratio</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30.8x</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20.0x</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68.2x (median)</w:t>
            </w:r>
          </w:p>
        </w:tc>
      </w:tr>
      <w:tr>
        <w:tc>
          <w:tcPr>
            <w:tcW w:type="dxa" w:w="3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Unique enzymes</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SmTGR</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TryR, Alt. oxidase</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TryR</w:t>
            </w:r>
          </w:p>
        </w:tc>
      </w:tr>
    </w:tbl>
    <w:p>
      <w:pPr>
        <w:spacing w:after="80"/>
      </w:pPr>
      <w:r>
        <w:t xml:space="preserve"/>
      </w:r>
    </w:p>
    <w:p>
      <w:pPr>
        <w:spacing w:after="120" w:line="360"/>
        <w:jc w:val="both"/>
      </w:pPr>
      <w:r>
        <w:rPr>
          <w:b/>
          <w:bCs/>
        </w:rPr>
        <w:t xml:space="preserve">Table 3. </w:t>
      </w:r>
      <w:r>
        <w:t xml:space="preserve">Selected compounds achieving ≥10-fold parasite selectivity. PTR1 contributes 34 of 74 total selective compounds; representative examples shown.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900"/>
        <w:gridCol w:w="900"/>
        <w:gridCol w:w="800"/>
        <w:gridCol w:w="700"/>
      </w:tblGrid>
      <w:tr>
        <w:tc>
          <w:tcPr>
            <w:tcW w:type="dxa" w:w="12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Disease</w:t>
            </w:r>
          </w:p>
        </w:tc>
        <w:tc>
          <w:tcPr>
            <w:tcW w:type="dxa" w:w="15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Compound</w:t>
            </w:r>
          </w:p>
        </w:tc>
        <w:tc>
          <w:tcPr>
            <w:tcW w:type="dxa" w:w="12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Target</w:t>
            </w:r>
          </w:p>
        </w:tc>
        <w:tc>
          <w:tcPr>
            <w:tcW w:type="dxa" w:w="9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Para IC50</w:t>
            </w:r>
          </w:p>
        </w:tc>
        <w:tc>
          <w:tcPr>
            <w:tcW w:type="dxa" w:w="9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Hu IC50</w:t>
            </w:r>
          </w:p>
        </w:tc>
        <w:tc>
          <w:tcPr>
            <w:tcW w:type="dxa" w:w="8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Sel.</w:t>
            </w:r>
          </w:p>
        </w:tc>
        <w:tc>
          <w:tcPr>
            <w:tcW w:type="dxa" w:w="700"/>
            <w:tcBorders>
              <w:top w:val="single" w:color="999999" w:sz="1"/>
              <w:left w:val="single" w:color="999999" w:sz="1"/>
              <w:bottom w:val="single" w:color="999999" w:sz="1"/>
              <w:right w:val="single" w:color="999999" w:sz="1"/>
            </w:tcBorders>
            <w:shd w:fill="D9E2F3" w:val="clear"/>
            <w:tcMar>
              <w:top w:type="dxa" w:w="60"/>
              <w:left w:type="dxa" w:w="80"/>
              <w:bottom w:type="dxa" w:w="60"/>
              <w:right w:type="dxa" w:w="80"/>
            </w:tcMar>
          </w:tcPr>
          <w:p>
            <w:pPr>
              <w:jc w:val="center"/>
            </w:pPr>
            <w:r>
              <w:rPr>
                <w:rFonts w:ascii="Arial" w:cs="Arial" w:eastAsia="Arial" w:hAnsi="Arial"/>
                <w:b/>
                <w:bCs/>
                <w:sz w:val="19"/>
                <w:szCs w:val="19"/>
              </w:rPr>
              <w:t xml:space="preserve">QED</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Leishmania</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Top PTR1 cpd</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PTR1</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10 nM</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&gt;680 nM</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&gt;68x</w:t>
            </w:r>
          </w:p>
        </w:tc>
        <w:tc>
          <w:tcPr>
            <w:tcW w:type="dxa" w:w="7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 mansoni</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CHEMBL155771</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SmDHODH</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23 nM</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709 nM</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30.8x</w:t>
            </w:r>
          </w:p>
        </w:tc>
        <w:tc>
          <w:tcPr>
            <w:tcW w:type="dxa" w:w="7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0.89</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 mansoni</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CHEMBL4474026</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SmDHODH</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227 nM</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4,600 nM</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20.3x</w:t>
            </w:r>
          </w:p>
        </w:tc>
        <w:tc>
          <w:tcPr>
            <w:tcW w:type="dxa" w:w="7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0.88</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T. brucei</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CHEMBL4204999</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PDEB1</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100 nM</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1,995 nM</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20.0x</w:t>
            </w:r>
          </w:p>
        </w:tc>
        <w:tc>
          <w:tcPr>
            <w:tcW w:type="dxa" w:w="7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 mansoni</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CHEMBL4855490</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SmHDAC8</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100 nM</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1,100 nM</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11.0x</w:t>
            </w:r>
          </w:p>
        </w:tc>
        <w:tc>
          <w:tcPr>
            <w:tcW w:type="dxa" w:w="7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0.44</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 mansoni</w:t>
            </w:r>
          </w:p>
        </w:tc>
        <w:tc>
          <w:tcPr>
            <w:tcW w:type="dxa" w:w="15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CHEMBL4452960</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SmDHODH</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78 nM</w:t>
            </w:r>
          </w:p>
        </w:tc>
        <w:tc>
          <w:tcPr>
            <w:tcW w:type="dxa" w:w="9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808 nM</w:t>
            </w:r>
          </w:p>
        </w:tc>
        <w:tc>
          <w:tcPr>
            <w:tcW w:type="dxa" w:w="8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10.4x</w:t>
            </w:r>
          </w:p>
        </w:tc>
        <w:tc>
          <w:tcPr>
            <w:tcW w:type="dxa" w:w="7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0.89</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Ngabonziza, 2026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pPr>
        <w:spacing w:line="36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2026-03-26T04:50:15.359Z</dcterms:created>
  <dcterms:modified xsi:type="dcterms:W3CDTF">2026-03-26T04:50:15.360Z</dcterms:modified>
</cp:coreProperties>
</file>

<file path=docProps/custom.xml><?xml version="1.0" encoding="utf-8"?>
<Properties xmlns="http://schemas.openxmlformats.org/officeDocument/2006/custom-properties" xmlns:vt="http://schemas.openxmlformats.org/officeDocument/2006/docPropsVTypes"/>
</file>