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95959"/>
          <w:sz w:val="20"/>
          <w:szCs w:val="20"/>
        </w:rPr>
        <w:t xml:space="preserve">PROYECTO FINAL · OPCIÓN 10 de 10</w:t>
      </w:r>
    </w:p>
    <w:p>
      <w:pPr>
        <w:pStyle w:val="Title"/>
        <w:spacing w:after="120"/>
      </w:pPr>
      <w:r>
        <w:rPr>
          <w:b/>
          <w:bCs/>
          <w:color w:val="1E2761"/>
          <w:sz w:val="44"/>
          <w:szCs w:val="44"/>
        </w:rPr>
        <w:t xml:space="preserve">Agente Sin ADK, Empaquetado en Docker y Desplegado en Cloud Run</w:t>
      </w:r>
    </w:p>
    <w:p>
      <w:pPr>
        <w:spacing w:after="300"/>
      </w:pPr>
      <w:r>
        <w:rPr>
          <w:i/>
          <w:iCs/>
          <w:color w:val="595959"/>
          <w:sz w:val="24"/>
          <w:szCs w:val="24"/>
        </w:rPr>
        <w:t xml:space="preserve">Construir a mano lo que un framework de agentes hace por ti</w:t>
      </w:r>
    </w:p>
    <w:p>
      <w:pPr>
        <w:pBdr>
          <w:bottom w:val="single" w:color="CADCFC" w:sz="6" w:space="8"/>
        </w:pBdr>
        <w:spacing w:after="300"/>
      </w:pPr>
      <w:r>
        <w:rPr>
          <w:color w:val="595959"/>
          <w:sz w:val="18"/>
          <w:szCs w:val="18"/>
        </w:rPr>
        <w:t xml:space="preserve">Fundamentos de Arquitectura LLM · Proyecto Final</w:t>
      </w:r>
    </w:p>
    <w:p>
      <w:pPr>
        <w:pStyle w:val="Heading1"/>
        <w:pBdr>
          <w:bottom w:val="none"/>
        </w:pBdr>
        <w:spacing w:after="160" w:before="360"/>
      </w:pPr>
      <w:r>
        <w:rPr>
          <w:b/>
          <w:bCs/>
          <w:color w:val="1E2761"/>
          <w:sz w:val="28"/>
          <w:szCs w:val="28"/>
        </w:rPr>
        <w:t xml:space="preserve">1. Contexto y motivación</w:t>
      </w:r>
    </w:p>
    <w:p>
      <w:pPr>
        <w:spacing w:after="160" w:line="276"/>
        <w:jc w:val="both"/>
      </w:pPr>
      <w:r>
        <w:rPr>
          <w:color w:val="212121"/>
          <w:sz w:val="22"/>
          <w:szCs w:val="22"/>
        </w:rPr>
        <w:t xml:space="preserve">La Parte 3.3 del ejercicio guiado de agentes en Google Cloud mostró cómo construir un agente sin adoptar el framework ADK: un servicio FastAPI plano, con lógica de decisión propia expresada como código Python ordinario, empaquetado en un Dockerfile escrito a mano y desplegado con `gcloud run deploy` en vez de `adk deploy`. Ese camino existe porque, en la práctica profesional, muchos equipos ya tienen un backend propio y no quieren adoptar un framework de agentes completo solo para agregar una decisión simple respaldada por un LLM.</w:t>
      </w:r>
    </w:p>
    <w:p>
      <w:pPr>
        <w:spacing w:after="160" w:line="276"/>
        <w:jc w:val="both"/>
      </w:pPr>
      <w:r>
        <w:rPr>
          <w:color w:val="212121"/>
          <w:sz w:val="22"/>
          <w:szCs w:val="22"/>
        </w:rPr>
        <w:t xml:space="preserve">Este proyecto lleva ese patrón a un caso de uso original, con énfasis explícito en las prácticas de seguridad de contenedores vistas en el curso: usuario no-root dentro del contenedor, secretos gestionados fuera del código y fuera de las variables de entorno en texto plano, y un Dockerfile que el propio estudiante entiende línea por línea, no uno generado automáticamente.</w:t>
      </w:r>
    </w:p>
    <w:p>
      <w:pPr>
        <w:pStyle w:val="Heading1"/>
        <w:pBdr>
          <w:bottom w:val="none"/>
        </w:pBdr>
        <w:spacing w:after="160" w:before="360"/>
      </w:pPr>
      <w:r>
        <w:rPr>
          <w:b/>
          <w:bCs/>
          <w:color w:val="1E2761"/>
          <w:sz w:val="28"/>
          <w:szCs w:val="28"/>
        </w:rPr>
        <w:t xml:space="preserve">2. Objetivos de aprendizaje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212121"/>
          <w:sz w:val="22"/>
          <w:szCs w:val="22"/>
        </w:rPr>
        <w:t xml:space="preserve">Entender, construyendo el equivalente mínimo a mano, qué resuelve realmente un framework de agentes como el ADK (y por lo tanto, cuándo vale la pena adoptarlo y cuándo no).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212121"/>
          <w:sz w:val="22"/>
          <w:szCs w:val="22"/>
        </w:rPr>
        <w:t xml:space="preserve">Escribir un `Dockerfile` propio siguiendo prácticas de seguridad de contenedores de nivel producción.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212121"/>
          <w:sz w:val="22"/>
          <w:szCs w:val="22"/>
        </w:rPr>
        <w:t xml:space="preserve">Completar el ciclo completo de despliegue a Google Cloud Run con gestión adecuada de secretos.</w:t>
      </w:r>
    </w:p>
    <w:p>
      <w:pPr>
        <w:pStyle w:val="Heading1"/>
        <w:pBdr>
          <w:bottom w:val="none"/>
        </w:pBdr>
        <w:spacing w:after="160" w:before="360"/>
      </w:pPr>
      <w:r>
        <w:rPr>
          <w:b/>
          <w:bCs/>
          <w:color w:val="1E2761"/>
          <w:sz w:val="28"/>
          <w:szCs w:val="28"/>
        </w:rPr>
        <w:t xml:space="preserve">3. Planteamiento del problema</w:t>
      </w:r>
    </w:p>
    <w:p>
      <w:pPr>
        <w:spacing w:after="160" w:line="276"/>
        <w:jc w:val="both"/>
      </w:pPr>
      <w:r>
        <w:rPr>
          <w:color w:val="212121"/>
          <w:sz w:val="22"/>
          <w:szCs w:val="22"/>
        </w:rPr>
        <w:t xml:space="preserve">Construir un servicio FastAPI propio (sin usar el framework ADK) que tome decisiones de negocio simples apoyándose en un LLM para un caso de uso original, empaquetarlo en un `Dockerfile` escrito por el estudiante siguiendo prácticas de seguridad de contenedores, y desplegarlo en Google Cloud Run con el secreto/API key gestionado a través de Secret Manager, nunca como variable de entorno en texto plano.</w:t>
      </w:r>
    </w:p>
    <w:p>
      <w:pPr>
        <w:pStyle w:val="Heading1"/>
        <w:pBdr>
          <w:bottom w:val="none"/>
        </w:pBdr>
        <w:spacing w:after="160" w:before="360"/>
      </w:pPr>
      <w:r>
        <w:rPr>
          <w:b/>
          <w:bCs/>
          <w:color w:val="1E2761"/>
          <w:sz w:val="28"/>
          <w:szCs w:val="28"/>
        </w:rPr>
        <w:t xml:space="preserve">4. Alcance funcional (qué debe hacer el sistema)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212121"/>
          <w:sz w:val="22"/>
          <w:szCs w:val="22"/>
        </w:rPr>
        <w:t xml:space="preserve">Un servicio FastAPI con lógica de decisión propia (por ejemplo, un endpoint que reciba una solicitud y decida, usando el LLM, cómo clasificarla o a qué flujo enviarla — análogo a la lógica de `decidir_accion()` del ejemplo del curso, pero para un caso de uso distinto).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212121"/>
          <w:sz w:val="22"/>
          <w:szCs w:val="22"/>
        </w:rPr>
        <w:t xml:space="preserve">Un `Dockerfile` propio (no autogenerado por una herramienta) que siga prácticas de seguridad de contenedores: imagen base mínima, usuario no-root, sin secretos copiados dentro de la imagen.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212121"/>
          <w:sz w:val="22"/>
          <w:szCs w:val="22"/>
        </w:rPr>
        <w:t xml:space="preserve">Despliegue funcional en Google Cloud Run, accesible mediante una URL pública o protegida por IAM.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212121"/>
          <w:sz w:val="22"/>
          <w:szCs w:val="22"/>
        </w:rPr>
        <w:t xml:space="preserve">Gestión del secreto/API key exclusivamente vía Google Secret Manager, referenciado en el despliegue (`--set-secrets`), nunca como variable de entorno en texto plano ni copiado dentro del contenedor.</w:t>
      </w:r>
    </w:p>
    <w:p>
      <w:pPr>
        <w:pStyle w:val="Heading1"/>
        <w:pBdr>
          <w:bottom w:val="none"/>
        </w:pBdr>
        <w:spacing w:after="160" w:before="360"/>
      </w:pPr>
      <w:r>
        <w:rPr>
          <w:b/>
          <w:bCs/>
          <w:color w:val="1E2761"/>
          <w:sz w:val="28"/>
          <w:szCs w:val="28"/>
        </w:rPr>
        <w:t xml:space="preserve">5. Requisitos no funcionales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212121"/>
          <w:sz w:val="22"/>
          <w:szCs w:val="22"/>
        </w:rPr>
        <w:t xml:space="preserve">El contenedor debe escuchar en el puerto que Cloud Run inyecta dinámicamente (variable `PORT`), nunca un puerto fijo asumido.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212121"/>
          <w:sz w:val="22"/>
          <w:szCs w:val="22"/>
        </w:rPr>
        <w:t xml:space="preserve">El servicio debe responder de forma controlada ante una solicitud mal formada, sin exponer trazas de error internas al cliente.</w:t>
      </w:r>
    </w:p>
    <w:p>
      <w:pPr>
        <w:pStyle w:val="Heading1"/>
        <w:pBdr>
          <w:bottom w:val="none"/>
        </w:pBdr>
        <w:spacing w:after="160" w:before="360"/>
      </w:pPr>
      <w:r>
        <w:rPr>
          <w:b/>
          <w:bCs/>
          <w:color w:val="1E2761"/>
          <w:sz w:val="28"/>
          <w:szCs w:val="28"/>
        </w:rPr>
        <w:t xml:space="preserve">6. Arquitectura sugerida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212121"/>
          <w:sz w:val="22"/>
          <w:szCs w:val="22"/>
        </w:rPr>
        <w:t xml:space="preserve">FastAPI puro (sin ADK) como framework del servicio.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212121"/>
          <w:sz w:val="22"/>
          <w:szCs w:val="22"/>
        </w:rPr>
        <w:t xml:space="preserve">Un `Dockerfile` escrito a mano: imagen base `python:3.12-slim` o equivalente, instalación de dependencias, creación explícita de un usuario no-root, y `CMD` que arranca el servicio.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212121"/>
          <w:sz w:val="22"/>
          <w:szCs w:val="22"/>
        </w:rPr>
        <w:t xml:space="preserve">Google Secret Manager para el secreto/API key, referenciado en el comando de despliegue de Cloud Run.</w:t>
      </w:r>
    </w:p>
    <w:p>
      <w:pPr>
        <w:pStyle w:val="Heading1"/>
        <w:pBdr>
          <w:bottom w:val="none"/>
        </w:pBdr>
        <w:spacing w:after="160" w:before="360"/>
      </w:pPr>
      <w:r>
        <w:rPr>
          <w:b/>
          <w:bCs/>
          <w:color w:val="1E2761"/>
          <w:sz w:val="28"/>
          <w:szCs w:val="28"/>
        </w:rPr>
        <w:t xml:space="preserve">7. Plan de trabajo sugerido (5 fases)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color w:val="212121"/>
          <w:sz w:val="22"/>
          <w:szCs w:val="22"/>
        </w:rPr>
        <w:t xml:space="preserve">Fase 1 — Diseñar el caso de uso y la lógica de decisión propia (qué condiciones activan qué rama de comportamiento).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color w:val="212121"/>
          <w:sz w:val="22"/>
          <w:szCs w:val="22"/>
        </w:rPr>
        <w:t xml:space="preserve">Fase 2 — Implementar y probar el servicio FastAPI localmente, sin Docker aún.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color w:val="212121"/>
          <w:sz w:val="22"/>
          <w:szCs w:val="22"/>
        </w:rPr>
        <w:t xml:space="preserve">Fase 3 — Escribir el `Dockerfile` propio y probar la imagen localmente (`docker build` + `docker run`) antes de intentar el despliegue en la nube.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color w:val="212121"/>
          <w:sz w:val="22"/>
          <w:szCs w:val="22"/>
        </w:rPr>
        <w:t xml:space="preserve">Fase 4 — Crear el secreto en Google Secret Manager y desplegar a Cloud Run referenciándolo, nunca copiándolo en texto plano.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color w:val="212121"/>
          <w:sz w:val="22"/>
          <w:szCs w:val="22"/>
        </w:rPr>
        <w:t xml:space="preserve">Fase 5 — Verificar el servicio desplegado con una llamada real y confirmar que el secreto nunca aparece expuesto (ni en logs, ni en la configuración visible del servicio).</w:t>
      </w:r>
    </w:p>
    <w:p>
      <w:pPr>
        <w:pStyle w:val="Heading1"/>
        <w:pBdr>
          <w:bottom w:val="none"/>
        </w:pBdr>
        <w:spacing w:after="160" w:before="360"/>
      </w:pPr>
      <w:r>
        <w:rPr>
          <w:b/>
          <w:bCs/>
          <w:color w:val="1E2761"/>
          <w:sz w:val="28"/>
          <w:szCs w:val="28"/>
        </w:rPr>
        <w:t xml:space="preserve">8. Entregables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212121"/>
          <w:sz w:val="22"/>
          <w:szCs w:val="22"/>
        </w:rPr>
        <w:t xml:space="preserve">Repositorio con el servicio FastAPI y el `Dockerfile` propio.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212121"/>
          <w:sz w:val="22"/>
          <w:szCs w:val="22"/>
        </w:rPr>
        <w:t xml:space="preserve">Evidencia del despliegue funcional en Cloud Run (URL, capturas de verificación).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212121"/>
          <w:sz w:val="22"/>
          <w:szCs w:val="22"/>
        </w:rPr>
        <w:t xml:space="preserve">Evidencia de que el secreto se gestiona vía Secret Manager (comando de creación del secreto y de despliegue referenciándolo, sin exponer el valor real).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212121"/>
          <w:sz w:val="22"/>
          <w:szCs w:val="22"/>
        </w:rPr>
        <w:t xml:space="preserve">Video explicativo de máximo 30 minutos.</w:t>
      </w:r>
    </w:p>
    <w:p>
      <w:pPr>
        <w:pStyle w:val="Heading1"/>
        <w:pBdr>
          <w:bottom w:val="none"/>
        </w:pBdr>
        <w:spacing w:after="160" w:before="360"/>
      </w:pPr>
      <w:r>
        <w:rPr>
          <w:b/>
          <w:bCs/>
          <w:color w:val="1E2761"/>
          <w:sz w:val="28"/>
          <w:szCs w:val="28"/>
        </w:rPr>
        <w:t xml:space="preserve">9. Rúbrica de evaluación (100 puntos)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200"/>
        <w:gridCol w:w="4000"/>
      </w:tblGrid>
      <w:tr>
        <w:trPr>
          <w:tblHeader/>
        </w:trPr>
        <w:tc>
          <w:tcPr>
            <w:tcW w:type="dxa" w:w="44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12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40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se evalúa</w:t>
            </w:r>
          </w:p>
        </w:tc>
      </w:tr>
      <w:tr>
        <w:tc>
          <w:tcPr>
            <w:tcW w:type="dxa" w:w="44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Funcionalidad y código</w:t>
            </w:r>
          </w:p>
        </w:tc>
        <w:tc>
          <w:tcPr>
            <w:tcW w:type="dxa" w:w="12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30 pts</w:t>
            </w:r>
          </w:p>
        </w:tc>
        <w:tc>
          <w:tcPr>
            <w:tcW w:type="dxa" w:w="40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212121"/>
                <w:sz w:val="20"/>
                <w:szCs w:val="20"/>
              </w:rPr>
              <w:t xml:space="preserve">El servicio responde correctamente y la lógica de decisión propia funciona de forma consistente para el caso de uso elegido.</w:t>
            </w:r>
          </w:p>
        </w:tc>
      </w:tr>
      <w:tr>
        <w:tc>
          <w:tcPr>
            <w:tcW w:type="dxa" w:w="4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Seguridad y arquitectura</w:t>
            </w:r>
          </w:p>
        </w:tc>
        <w:tc>
          <w:tcPr>
            <w:tcW w:type="dxa" w:w="1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20 pts</w:t>
            </w:r>
          </w:p>
        </w:tc>
        <w:tc>
          <w:tcPr>
            <w:tcW w:type="dxa" w:w="40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212121"/>
                <w:sz w:val="20"/>
                <w:szCs w:val="20"/>
              </w:rPr>
              <w:t xml:space="preserve">El `Dockerfile` sigue prácticas de seguridad de contenedores (usuario no-root, imagen mínima); el puerto se lee dinámicamente de la variable de entorno `PORT`.</w:t>
            </w:r>
          </w:p>
        </w:tc>
      </w:tr>
      <w:tr>
        <w:tc>
          <w:tcPr>
            <w:tcW w:type="dxa" w:w="44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Contenedor propio desplegado en Cloud Run con secretos gestionados correctamente (entregable específico)</w:t>
            </w:r>
          </w:p>
        </w:tc>
        <w:tc>
          <w:tcPr>
            <w:tcW w:type="dxa" w:w="12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25 pts</w:t>
            </w:r>
          </w:p>
        </w:tc>
        <w:tc>
          <w:tcPr>
            <w:tcW w:type="dxa" w:w="40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212121"/>
                <w:sz w:val="20"/>
                <w:szCs w:val="20"/>
              </w:rPr>
              <w:t xml:space="preserve">El despliegue en Cloud Run es real y verificable; el secreto se gestiona exclusivamente vía Secret Manager, nunca en texto plano en ningún punto del pipeline de despliegue.</w:t>
            </w:r>
          </w:p>
        </w:tc>
      </w:tr>
      <w:tr>
        <w:tc>
          <w:tcPr>
            <w:tcW w:type="dxa" w:w="4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Documentación</w:t>
            </w:r>
          </w:p>
        </w:tc>
        <w:tc>
          <w:tcPr>
            <w:tcW w:type="dxa" w:w="1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10 pts</w:t>
            </w:r>
          </w:p>
        </w:tc>
        <w:tc>
          <w:tcPr>
            <w:tcW w:type="dxa" w:w="40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212121"/>
                <w:sz w:val="20"/>
                <w:szCs w:val="20"/>
              </w:rPr>
              <w:t xml:space="preserve">El `Dockerfile` y las decisiones de seguridad de contenedores están explicadas, no solo presentes.</w:t>
            </w:r>
          </w:p>
        </w:tc>
      </w:tr>
      <w:tr>
        <w:tc>
          <w:tcPr>
            <w:tcW w:type="dxa" w:w="44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Video (máx. 30 min)</w:t>
            </w:r>
          </w:p>
        </w:tc>
        <w:tc>
          <w:tcPr>
            <w:tcW w:type="dxa" w:w="12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15 pts</w:t>
            </w:r>
          </w:p>
        </w:tc>
        <w:tc>
          <w:tcPr>
            <w:tcW w:type="dxa" w:w="40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212121"/>
                <w:sz w:val="20"/>
                <w:szCs w:val="20"/>
              </w:rPr>
              <w:t xml:space="preserve">Debe mostrarse el servicio YA DESPLEGADO respondiendo en vivo, y explicarse cómo el secreto llega al contenedor sin exponerse.</w:t>
            </w:r>
          </w:p>
        </w:tc>
      </w:tr>
      <w:tr>
        <w:tc>
          <w:tcPr>
            <w:tcW w:type="dxa" w:w="4400"/>
            <w:shd w:fill="CADC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E2761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shd w:fill="CADC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100 pts</w:t>
            </w:r>
          </w:p>
        </w:tc>
        <w:tc>
          <w:tcPr>
            <w:tcW w:type="dxa" w:w="4000"/>
            <w:shd w:fill="CADC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i/>
                <w:iCs/>
                <w:color w:val="1E2761"/>
                <w:sz w:val="20"/>
                <w:szCs w:val="20"/>
              </w:rPr>
              <w:t xml:space="preserve">Calificación máxima del proyecto</w:t>
            </w:r>
          </w:p>
        </w:tc>
      </w:tr>
    </w:tbl>
    <w:p>
      <w:pPr>
        <w:spacing w:after="200" w:before="60"/>
      </w:pPr>
      <w:r>
        <w:rPr>
          <w:i/>
          <w:iCs/>
          <w:color w:val="595959"/>
          <w:sz w:val="18"/>
          <w:szCs w:val="18"/>
        </w:rPr>
        <w:t xml:space="preserve">La distribución de pesos sigue el estándar del curso: funcionalidad/código 30 pts, seguridad y arquitectura 20 pts, entregable específico del proyecto 25 pts, documentación 10 pts, video explicativo 15 pts.</w:t>
      </w:r>
    </w:p>
    <w:p>
      <w:pPr>
        <w:pStyle w:val="Heading1"/>
        <w:pBdr>
          <w:bottom w:val="none"/>
        </w:pBdr>
        <w:spacing w:after="160" w:before="360"/>
      </w:pPr>
      <w:r>
        <w:rPr>
          <w:b/>
          <w:bCs/>
          <w:color w:val="1E2761"/>
          <w:sz w:val="28"/>
          <w:szCs w:val="28"/>
        </w:rPr>
        <w:t xml:space="preserve">10. Guía para el video (máx. 30 minutos)</w:t>
      </w:r>
    </w:p>
    <w:p>
      <w:pPr>
        <w:spacing w:after="160" w:line="276"/>
        <w:jc w:val="both"/>
      </w:pPr>
      <w:r>
        <w:rPr>
          <w:color w:val="212121"/>
          <w:sz w:val="22"/>
          <w:szCs w:val="22"/>
        </w:rPr>
        <w:t xml:space="preserve">El video debe responder explícitamente estas preguntas, en cualquier orden, mostrando la aplicación funcionando en vivo: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color w:val="212121"/>
          <w:sz w:val="22"/>
          <w:szCs w:val="22"/>
        </w:rPr>
        <w:t xml:space="preserve">¿Qué caso de uso eligieron y cómo funciona la lógica de decisión propia del servicio?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color w:val="212121"/>
          <w:sz w:val="22"/>
          <w:szCs w:val="22"/>
        </w:rPr>
        <w:t xml:space="preserve">Recorran el `Dockerfile` línea por línea explicando cada decisión de seguridad tomada.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color w:val="212121"/>
          <w:sz w:val="22"/>
          <w:szCs w:val="22"/>
        </w:rPr>
        <w:t xml:space="preserve">Demuestren el servicio YA DESPLEGADO en Cloud Run respondiendo a una llamada real.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color w:val="212121"/>
          <w:sz w:val="22"/>
          <w:szCs w:val="22"/>
        </w:rPr>
        <w:t xml:space="preserve">Expliquen cómo el secreto llega al servicio en producción sin quedar expuesto en ningún momento del proceso.</w:t>
      </w:r>
    </w:p>
    <w:p>
      <w:pPr>
        <w:pStyle w:val="Heading1"/>
        <w:pBdr>
          <w:bottom w:val="none"/>
        </w:pBdr>
        <w:spacing w:after="160" w:before="360"/>
      </w:pPr>
      <w:r>
        <w:rPr>
          <w:b/>
          <w:bCs/>
          <w:color w:val="1E2761"/>
          <w:sz w:val="28"/>
          <w:szCs w:val="28"/>
        </w:rPr>
        <w:t xml:space="preserve">11. Errores comunes a evitar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212121"/>
          <w:sz w:val="22"/>
          <w:szCs w:val="22"/>
        </w:rPr>
        <w:t xml:space="preserve">Copiar el archivo `.env` con el secreto real dentro de la imagen de Docker — queda embebido permanentemente en la imagen, incluso si luego se borra del contenedor en ejecución.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212121"/>
          <w:sz w:val="22"/>
          <w:szCs w:val="22"/>
        </w:rPr>
        <w:t xml:space="preserve">Asumir un puerto fijo (ej. 8080 hardcodeado) en vez de leer la variable `PORT` que Cloud Run inyecta dinámicamente, lo cual puede causar que el despliegue falle silenciosamente.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212121"/>
          <w:sz w:val="22"/>
          <w:szCs w:val="22"/>
        </w:rPr>
        <w:t xml:space="preserve">Ejecutar el proceso principal como usuario root dentro del contenedor —contradice directamente la práctica de seguridad de contenedores exigida por este proyecto.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212121"/>
          <w:sz w:val="22"/>
          <w:szCs w:val="22"/>
        </w:rPr>
        <w:t xml:space="preserve">Usar `--set-env-vars` para pasar el secreto en el despliegue en vez de `--set-secrets` con Secret Manager — técnicamente funciona, pero expone el secreto en la configuración visible del servicio.</w:t>
      </w:r>
    </w:p>
    <w:p>
      <w:pPr>
        <w:pStyle w:val="Heading1"/>
        <w:pBdr>
          <w:bottom w:val="none"/>
        </w:pBdr>
        <w:spacing w:after="160" w:before="360"/>
      </w:pPr>
      <w:r>
        <w:rPr>
          <w:b/>
          <w:bCs/>
          <w:color w:val="1E2761"/>
          <w:sz w:val="28"/>
          <w:szCs w:val="28"/>
        </w:rPr>
        <w:t xml:space="preserve">12. Definición de "terminado" (checklist final)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color w:val="212121"/>
          <w:sz w:val="22"/>
          <w:szCs w:val="22"/>
        </w:rPr>
        <w:t xml:space="preserve">El servicio está desplegado en Cloud Run y responde correctamente a una llamada real al momento de grabar el video.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color w:val="212121"/>
          <w:sz w:val="22"/>
          <w:szCs w:val="22"/>
        </w:rPr>
        <w:t xml:space="preserve">El `Dockerfile` usa un usuario no-root y lee el puerto dinámicamente.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color w:val="212121"/>
          <w:sz w:val="22"/>
          <w:szCs w:val="22"/>
        </w:rPr>
        <w:t xml:space="preserve">El secreto se gestiona vía Secret Manager, verificable en el comando de despliegue usado.</w:t>
      </w:r>
    </w:p>
    <w:p>
      <w:pPr>
        <w:pBdr>
          <w:top w:val="single" w:color="CADCFC" w:sz="6" w:space="8"/>
        </w:pBdr>
        <w:spacing w:before="300"/>
      </w:pPr>
      <w:r>
        <w:rPr>
          <w:color w:val="595959"/>
          <w:sz w:val="16"/>
          <w:szCs w:val="16"/>
        </w:rPr>
        <w:t xml:space="preserve">BSG · Fundamentos de Arquitectura LLM · Proyecto Final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2026-09-22T22:15:06.021Z</dcterms:created>
  <dcterms:modified xsi:type="dcterms:W3CDTF">2026-09-22T22:15:06.021Z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