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determine whether intermediate/failed Malbolge searches contain reusable state/trace motifs that reduce future concrete VM work.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 GrowLibm, https://arxiv.org/abs/2603.24812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Evidence floor: historical exhaustive/search runs and negative results remain evidence; do not relabel failures without a measurable reuse criterion.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Hypothesis: a compact motif library reduces VM evaluations/steps on held-out synthesis workloads without changing accepted semantics.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Falsification: no held-out reduction, training-target memorization, or changed VM-observable behavior.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Boundary: offline mining plus held-out bounded benchmark. No VM semantic changes.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Target: trace summarization, motif deduplication, candidate-generation/search macros.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Roles: Librarian inventories traces/provenance; Researcher defines motif equivalence and held-out set; Coder builds miner/optional consumer; Devil's Advocate attacks memorization/false equivalence; Historian preserves lineage.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Plan: discover raw artifacts; define conservative observable transition signature; deduplicate/rank by reuse; freeze held-out workloads; compare matched budgets; canonically replay accepted results.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Artifacts: source manifest, motif library with source refs, dedup report, benchmark, receipts.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Gates: every motif links to raw evidence; equivalence needs replay/proof, not similarity.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Stop: missing provenance, unsafe equivalence merging, no held-out gain.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Rollback: motif layer remains external/optional.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Provenance: run IDs/hashes, miner version, benchmark, VM version, commit, originating compose.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