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test whether a cheap predictor can prioritize Malbolge branches or estimate useful size bounds while exact acceptance remains with the canonical VM.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Neural-guided superoptimization in Ethereum, https://fis.uni-bamberg.de/handle/uniba/110288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floor: Autobolge exhaustive len-10 result remains unchanged. Any pruning must explicitly account for lost completeness.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Hypothesis: advisory prediction reduces time/VM evaluations; conservative mode preserves observed hit quality on the benchmark.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Falsification: no speedup, lost valid hits, bounds exclude optimal candidates, or correctness becomes predictor-dependent.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Boundary: finite benchmark. Predictor advisory unless pruning is separately justified.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Target: scheduler, branch priority, size-bound estimator.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Roles: Researcher defines loss metrics; Librarian discovers training evidence; Coder isolates predictor; Devil's Advocate hunts false negatives; Historian records excluded/deprioritized cases.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Plan: begin with priority only, no pruning; establish baseline; measure ranking utility; only then test bounded mode separately with explicit loss metric.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Artifacts: feature schema, predictor/heuristic, calibration, rankings, receipts, false-negative analysis.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Gates: no completeness claim from empirical success; VM validates hits; speedup and loss reported separately.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Stop: unauditable false negatives or unclear training provenance.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Rollback: predictor disabled by default until demonstrated.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Provenance: publication, dataset hashes, model/heuristic version, seed, hardware, VM/solver version, originating compose.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