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— 2026-10-02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Mandatory: discover current repo paths/interfaces before editing; never invent implementation facts or commands; avoid unrelated refactors; preserve receipts/history.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floor: Autobolge len-10 2^30 candidates, ~10,252.8 s, ~104,727/s, hits 0. Quine baseline 59,852 bytes; halt 69,547,437. H1 ≤512 bytes NOT_DEMONSTRATED.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Prototype symbolic families for partial Malbolge programs, inspired by Prism sGraph.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Source: Wu et al., arXiv:2604.15272 — hierarchical symbolic families, two-level search, structured pruning, e-graph verification.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Hypothesis: grouping candidates by unknown cells/instruction classes/initial-memory constraints reduces concrete VM executions on a bounded self-reference target without losing solutions.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Falsification: requires essentially all concrete candidates, misses any exhaustive solution, or overhead dominates.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Workload: synthetic bounded target first; then tiny quine-prefix/self-reference constraint. No claim about H1 ≤512.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Target: solver candidate representation + verifier boundary; VM stays oracle.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Roles: Researcher, Coder, Sentinel, Devil’s Advocate.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Constraints: family semantics explicit; no unverifiable equivalence; baseline untouched.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Plan: discover encoding; define family schema; implement expand/instantiate; compare exhaustive vs family search; measure executions/memory/runtime.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Commands: none until discovery.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Artifacts: schema, expansion tests, parity receipt, compression/execution metrics.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Gates: exact solution-set parity; deterministic expansion; no VM semantic changes.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Stop: first missed solution/candidate or uncontrolled family explosion.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Rollback: isolated representation layer.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Provenance: arXiv:2604.15272; repo commit and benchmark manifest.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