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OPENISY COMPOSE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Objective: test whether learned/model-generated candidate proposals improve Malbolge search efficiency without weakening deterministic correctness.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Source: SuperCoder, https://arxiv.org/abs/2505.11480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Evidence floor: Autobolge len-10 exhausted 2^30 candidates in ~10,252.8 s at ~104,727/s with 0 hits. Preserve this exactly. Canonical VM/tracer remains acceptance authority.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Hypothesis: under the same concrete VM-step/evaluation budget, guided proposals reach predefined interesting states or valid targets sooner than uniform/unguided mutation.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Falsification: no meaningful improvement under matched budgets, or gains disappear under deterministic re-verification.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Workload boundary: one bounded Malbolge synthesis/search benchmark. No ISyCo-wide or VM redesign.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Target: candidate proposal/order layer around existing solver/searcher.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Roles: Librarian discovers current repos, paths and baseline commands; Researcher freezes benchmark/controls; Coder makes smallest isolated adapter; Devil's Advocate attacks leakage and oracle bypass; Historian preserves receipts.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Constraints: inspect repo before editing; invent no paths, commands, endpoints or implementation facts; no unrelated refactors; LLM verdict never counts as correctness.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Plan: reproduce small baseline; freeze budget and target; add optional guided ordering; run matched baseline/guided variants; re-verify every hit in canonical VM.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Artifacts: benchmark manifest, raw candidates, VM receipts, timings/evaluation counts, comparison, provenance.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Gates: deterministic re-verification and comparable budgets. Report wall time and VM evaluations/steps.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Stop: oracle disagreement, unbounded resources, unreproducible baseline, or unrelated architecture required.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Rollback: guidance removable without baseline semantic changes.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Provenance: paper, commit/hash, model/provider if used, prompt/config, seed, hardware, VM version, originating compose.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