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OPENISY COMPOSE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Objective: measure how representation/language changes synthesis difficulty while task semantics and external correctness oracle remain fixed.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Source: Acher &amp; Jézéquel, https://arxiv.org/abs/2606.13763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Evidence floor: Malbolge VM/tracer is authority for Malbolge behavior; agent confidence is not correctness. Preserve existing cross-backend parity evidence exactly.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Hypothesis: synthesis cost/evaluations rise for more exotic representations, while a shared external oracle permits fair comparison and detects forbidden delegation.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Falsification: semantics cannot be held equivalent, oracle differs by language, or artifacts depend on forbidden delegation.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Boundary: one tiny task and only verified available runtimes; do not add languages for spectacle.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Target: benchmark harness/oracle and delegation checks, not production runtimes.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Roles: Librarian discovers verified runtimes/parity tests; Researcher specifies language-neutral behavior; Coder builds minimal harness; Devil's Advocate attempts delegation; Historian preserves artifacts.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Plan: define I/O/termination oracle; freeze budget; generate/synthesize; execute through runtimes but score same contract; inspect dependencies/processes where feasible.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Artifacts: task spec, runtime manifest, sources, oracle receipts, cost metrics, delegation report.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Gates: DEMONSTRATED only when artifact independently executes and satisfies shared oracle.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Stop: task equivalence unspecifiable or runtime provenance unverified.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Rollback: isolated benchmark, no runtime changes required.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Provenance: paper, runtimes, models/prompts, artifact hashes, verified commands, originating compose.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