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2026-10-02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Mandatory: inspect/discover current repo paths, entry points, tests and semantics before editing. Never invent paths or commands. Avoid unrelated refactors.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floor: quine baseline 59,852 bytes, halt step 69,547,437; H1 ≤512 NOT_DEMONSTRATED.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establish a soundness test for cyclic/self-referential analysis before e-graph use in quine synthesis.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Arbore/Cheung/Willsey, PLDI 2026, DOI 10.1145/3808302. The paper shows a straightforward optimistic e-class analysis can be unsound and proposes a sound cyclic abstract-interpretation method.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Hypothesis: a deliberately naïve optimistic analysis over a tiny cyclic Malbolge-derived IR can disagree with concrete execution, while a fixed-point sound variant agrees with bounded concrete enumeration.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Falsification: no relevant cyclic abstraction can be constructed, or the intended sound variant disagrees with concrete oracle.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Boundary: tiny hand-checked cycles only; no production integration.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Target: experimental IR/e-graph analysis harness, never VM semantics.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Roles: Researcher formalizes; Coder prototypes; Sentinel compares concrete semantics; Historian captures counterexample.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Constraints: soundness evidence, not speed.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Plan: discover existing IR; define cyclic toy; implement naïve optimistic analysis; seek counterexample; implement fixed-point variant; cross-check all bounded states concretely.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Commands: none until discovery.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Artifacts: toy semantics, counterexample if found, concrete traces, parity report.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Gates: every abstract claim mapped to concrete oracle; no solver integration without full bounded parity.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Stop: semantic ambiguity. Rollback: isolated experiment.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Provenance: DOI 10.1145/3808302; artifact/library versions and repo hashes.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