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88C66" w14:textId="7AFA3F39" w:rsidR="008E18A7" w:rsidRDefault="008E18A7" w:rsidP="008E18A7">
      <w:pPr>
        <w:pStyle w:val="Heading1"/>
      </w:pPr>
      <w:r w:rsidRPr="008E18A7">
        <w:t>C</w:t>
      </w:r>
      <w:r>
        <w:t>HAPTER TWO</w:t>
      </w:r>
    </w:p>
    <w:p w14:paraId="33389A96" w14:textId="423B2FB5" w:rsidR="00D70D23" w:rsidRPr="008E18A7" w:rsidRDefault="008E18A7" w:rsidP="008E18A7">
      <w:pPr>
        <w:pStyle w:val="Heading2"/>
      </w:pPr>
      <w:r w:rsidRPr="008E18A7">
        <w:t xml:space="preserve">2.0 </w:t>
      </w:r>
      <w:r w:rsidRPr="008E18A7">
        <w:t>Literature Review</w:t>
      </w:r>
    </w:p>
    <w:p w14:paraId="2900E975" w14:textId="6DB9E653" w:rsidR="008E18A7" w:rsidRDefault="008E18A7" w:rsidP="008E18A7">
      <w:pPr>
        <w:pStyle w:val="Heading3"/>
      </w:pPr>
      <w:r>
        <w:t xml:space="preserve">2.1 </w:t>
      </w:r>
      <w:r w:rsidRPr="008E18A7">
        <w:t>Theoretical Foundations of Zero-Knowledge Proofs</w:t>
      </w:r>
    </w:p>
    <w:p w14:paraId="6F29F835" w14:textId="1AE97A4F" w:rsidR="008E18A7" w:rsidRDefault="008E18A7" w:rsidP="008E18A7">
      <w:r w:rsidRPr="008E18A7">
        <w:t>Zero-Knowledge Proofs (ZKPs) are cryptographic primitives enabling a prover to convince a verifier that a given statement is true without revealing any information beyond the statement's validity.</w:t>
      </w:r>
    </w:p>
    <w:p w14:paraId="700AC7E5" w14:textId="3D2DD0E8" w:rsidR="00C711EE" w:rsidRDefault="00C711EE" w:rsidP="00C711EE">
      <w:pPr>
        <w:pStyle w:val="Heading3"/>
      </w:pPr>
      <w:r w:rsidRPr="00C711EE">
        <w:t>2.1 ZK-SNARKs Definition and Architecture</w:t>
      </w:r>
    </w:p>
    <w:p w14:paraId="12C00466" w14:textId="79A04C36" w:rsidR="00C711EE" w:rsidRDefault="00C711EE" w:rsidP="00C711EE">
      <w:r w:rsidRPr="00C711EE">
        <w:t>Zero-Knowledge Succinct Non-Interactive Arguments of Knowledge (ZK-SNARKs) enhance interactive zero-knowledge proofs by removing back-and-forth interaction and restricting proof size and verification time. A ZK-SNARK scheme consists of three polynomial-time algorithms</w:t>
      </w:r>
      <w:r>
        <w:t xml:space="preserve">; </w:t>
      </w:r>
      <w:r w:rsidRPr="00C711EE">
        <w:t>Setup</w:t>
      </w:r>
      <w:r>
        <w:t xml:space="preserve">, </w:t>
      </w:r>
      <w:r w:rsidRPr="00C711EE">
        <w:t>Prove</w:t>
      </w:r>
      <w:r>
        <w:t xml:space="preserve"> and </w:t>
      </w:r>
      <w:r w:rsidRPr="00C711EE">
        <w:t>Verify</w:t>
      </w:r>
      <w:r>
        <w:t>.</w:t>
      </w:r>
      <w:r w:rsidR="003439A6">
        <w:t xml:space="preserve"> </w:t>
      </w:r>
      <w:r w:rsidR="003439A6" w:rsidRPr="003439A6">
        <w:t>Succinctness dictates that the proof size and the verification runtime is linear in the size of the public input</w:t>
      </w:r>
      <w:r w:rsidR="003439A6">
        <w:t>,</w:t>
      </w:r>
      <w:r w:rsidR="003439A6" w:rsidRPr="003439A6">
        <w:t xml:space="preserve"> operating independently of the circuit's computational complexity</w:t>
      </w:r>
      <w:r w:rsidR="003439A6">
        <w:t>.</w:t>
      </w:r>
    </w:p>
    <w:p w14:paraId="3F88F901" w14:textId="15ED5130" w:rsidR="0078254E" w:rsidRDefault="0078254E" w:rsidP="0078254E">
      <w:pPr>
        <w:pStyle w:val="Heading3"/>
      </w:pPr>
      <w:r w:rsidRPr="0078254E">
        <w:t>2.2 Evolution of Cryptographic Identity and Attribute-Based Credentials</w:t>
      </w:r>
    </w:p>
    <w:p w14:paraId="403551C0" w14:textId="3D650375" w:rsidR="0078254E" w:rsidRDefault="0078254E" w:rsidP="0078254E">
      <w:r w:rsidRPr="0078254E">
        <w:t>Identity management on distributed networks has evolved from</w:t>
      </w:r>
      <w:r>
        <w:t xml:space="preserve"> using models that require disclosing</w:t>
      </w:r>
      <w:r w:rsidRPr="0078254E">
        <w:t xml:space="preserve"> identity </w:t>
      </w:r>
      <w:r>
        <w:t>over</w:t>
      </w:r>
      <w:r w:rsidRPr="0078254E">
        <w:t xml:space="preserve"> to</w:t>
      </w:r>
      <w:r>
        <w:t xml:space="preserve"> models resembling</w:t>
      </w:r>
      <w:r w:rsidRPr="0078254E">
        <w:t xml:space="preserve"> privacy-preserving frameworks.</w:t>
      </w:r>
    </w:p>
    <w:p w14:paraId="77E3B912" w14:textId="77777777" w:rsidR="00E40795" w:rsidRDefault="00E40795" w:rsidP="00E40795">
      <w:pPr>
        <w:pStyle w:val="Heading3"/>
      </w:pPr>
      <w:r w:rsidRPr="00E40795">
        <w:t>2.2.1 Attribute-Based Credentials (ABCs)</w:t>
      </w:r>
    </w:p>
    <w:p w14:paraId="2DDFA569" w14:textId="77777777" w:rsidR="0082661B" w:rsidRDefault="00E40795" w:rsidP="0078254E">
      <w:r w:rsidRPr="00E40795">
        <w:t xml:space="preserve">Attribute-Based Credentials allow a holder to acquire signed credentials containing individual attributes (e.g., </w:t>
      </w:r>
      <w:r>
        <w:t>‘</w:t>
      </w:r>
      <w:proofErr w:type="spellStart"/>
      <w:r w:rsidRPr="00E40795">
        <w:t>DateOfBirth</w:t>
      </w:r>
      <w:proofErr w:type="spellEnd"/>
      <w:r>
        <w:t>’</w:t>
      </w:r>
      <w:r w:rsidRPr="00E40795">
        <w:t xml:space="preserve">, </w:t>
      </w:r>
      <w:r>
        <w:t>‘</w:t>
      </w:r>
      <w:r w:rsidRPr="00E40795">
        <w:t>Citizenship</w:t>
      </w:r>
      <w:r>
        <w:t>’</w:t>
      </w:r>
      <w:r w:rsidRPr="00E40795">
        <w:t xml:space="preserve">, </w:t>
      </w:r>
      <w:r>
        <w:t>‘</w:t>
      </w:r>
      <w:proofErr w:type="spellStart"/>
      <w:r w:rsidRPr="00E40795">
        <w:t>CreditScore</w:t>
      </w:r>
      <w:proofErr w:type="spellEnd"/>
      <w:r>
        <w:t>’</w:t>
      </w:r>
      <w:r w:rsidRPr="00E40795">
        <w:t>) from a trusted Issuer. During verification, the Holder generates a proof enabling selective disclosure (revealing only required fields) or predicate proving (verifying properties like Age</w:t>
      </w:r>
      <w:r>
        <w:t xml:space="preserve"> =</w:t>
      </w:r>
      <w:r w:rsidRPr="00E40795">
        <w:t xml:space="preserve"> 18</w:t>
      </w:r>
      <w:r>
        <w:t>)</w:t>
      </w:r>
      <w:r w:rsidRPr="00E40795">
        <w:t xml:space="preserve"> without disclosing </w:t>
      </w:r>
      <w:r>
        <w:t>‘</w:t>
      </w:r>
      <w:proofErr w:type="spellStart"/>
      <w:r w:rsidRPr="00E40795">
        <w:t>DateOfBirth</w:t>
      </w:r>
      <w:proofErr w:type="spellEnd"/>
      <w:r>
        <w:t>’)</w:t>
      </w:r>
      <w:r w:rsidRPr="00E40795">
        <w:t xml:space="preserve">.  </w:t>
      </w:r>
    </w:p>
    <w:p w14:paraId="6C08A6A7" w14:textId="77777777" w:rsidR="0082661B" w:rsidRDefault="00E40795" w:rsidP="0082661B">
      <w:pPr>
        <w:pStyle w:val="Heading3"/>
      </w:pPr>
      <w:r w:rsidRPr="00E40795">
        <w:t>2.2.2 Comparative Cryptographic Frameworks</w:t>
      </w:r>
    </w:p>
    <w:p w14:paraId="22376690" w14:textId="77777777" w:rsidR="0082661B" w:rsidRDefault="00E40795" w:rsidP="0078254E">
      <w:r w:rsidRPr="00E40795">
        <w:t>Traditional anonymous credential systems rely on specific cryptographic</w:t>
      </w:r>
      <w:r w:rsidR="0082661B">
        <w:t xml:space="preserve"> </w:t>
      </w:r>
      <w:r w:rsidRPr="00E40795">
        <w:t>assumptions:</w:t>
      </w:r>
    </w:p>
    <w:p w14:paraId="4AA24776" w14:textId="77777777" w:rsidR="0082661B" w:rsidRDefault="00E40795" w:rsidP="0082661B">
      <w:pPr>
        <w:pStyle w:val="ListParagraph"/>
        <w:numPr>
          <w:ilvl w:val="0"/>
          <w:numId w:val="1"/>
        </w:numPr>
      </w:pPr>
      <w:r w:rsidRPr="0082661B">
        <w:rPr>
          <w:b/>
          <w:bCs/>
        </w:rPr>
        <w:t>Camenisch-</w:t>
      </w:r>
      <w:proofErr w:type="spellStart"/>
      <w:r w:rsidRPr="0082661B">
        <w:rPr>
          <w:b/>
          <w:bCs/>
        </w:rPr>
        <w:t>Lysyanskaya</w:t>
      </w:r>
      <w:proofErr w:type="spellEnd"/>
      <w:r w:rsidRPr="0082661B">
        <w:rPr>
          <w:b/>
          <w:bCs/>
        </w:rPr>
        <w:t xml:space="preserve"> (CL) Signatures:</w:t>
      </w:r>
      <w:r w:rsidRPr="00E40795">
        <w:t xml:space="preserve"> Built on strong RSA assumptions, supporting selective disclosure and efficient zero-knowledge proofs of signature </w:t>
      </w:r>
      <w:r w:rsidRPr="00E40795">
        <w:lastRenderedPageBreak/>
        <w:t>knowledge. However, they rely on complex interactive pairings that are computationally expensive to verify on EVM-based blockchains.</w:t>
      </w:r>
    </w:p>
    <w:p w14:paraId="5D3024D7" w14:textId="77777777" w:rsidR="0082661B" w:rsidRDefault="00E40795" w:rsidP="0082661B">
      <w:pPr>
        <w:pStyle w:val="ListParagraph"/>
        <w:numPr>
          <w:ilvl w:val="0"/>
          <w:numId w:val="1"/>
        </w:numPr>
      </w:pPr>
      <w:r w:rsidRPr="0082661B">
        <w:rPr>
          <w:b/>
          <w:bCs/>
        </w:rPr>
        <w:t>BBS+ Signatures:</w:t>
      </w:r>
      <w:r w:rsidRPr="00E40795">
        <w:t xml:space="preserve"> Utilize bilinear pairings over pairing-friendly elliptic curves to provide short signatures and zero-knowledge proofs of unrevealed attributes. Verification remains relatively expensive on-chain due to the required pairing checks.</w:t>
      </w:r>
    </w:p>
    <w:p w14:paraId="516515AC" w14:textId="4E9C4C83" w:rsidR="00E40795" w:rsidRDefault="00E40795" w:rsidP="0082661B">
      <w:pPr>
        <w:pStyle w:val="ListParagraph"/>
        <w:numPr>
          <w:ilvl w:val="0"/>
          <w:numId w:val="1"/>
        </w:numPr>
      </w:pPr>
      <w:r w:rsidRPr="0082661B">
        <w:rPr>
          <w:b/>
          <w:bCs/>
        </w:rPr>
        <w:t>ZK-SNARK Encapsulated Credentials:</w:t>
      </w:r>
      <w:r w:rsidRPr="00E40795">
        <w:t xml:space="preserve"> Encapsulate cryptographic signatures and attributes directly inside a ZK-SNARK circuit. The user proves off-chain that they possess a valid signature over a set of attributes from a trusted issuer key, outputting a compact proof. Verification reduces to checking a single ZK-SNARK proof on-chain.</w:t>
      </w:r>
    </w:p>
    <w:p w14:paraId="0EB6F58F" w14:textId="0258B81A" w:rsidR="00BE09ED" w:rsidRDefault="00BE09ED" w:rsidP="00BE09ED">
      <w:pPr>
        <w:pStyle w:val="Heading3"/>
      </w:pPr>
      <w:r w:rsidRPr="00BE09ED">
        <w:t>2.3 The Noir DSL and the Aztec Cryptographic Stack</w:t>
      </w:r>
    </w:p>
    <w:p w14:paraId="4955D4E3" w14:textId="72E67D75" w:rsidR="00BE09ED" w:rsidRDefault="00BE09ED" w:rsidP="00BE09ED">
      <w:r w:rsidRPr="00BE09ED">
        <w:t>Noir is a Rust-</w:t>
      </w:r>
      <w:r>
        <w:t>based</w:t>
      </w:r>
      <w:r w:rsidRPr="00BE09ED">
        <w:t xml:space="preserve"> programming language created by Aztec for constructing ZK circuits. It abstracts low-level cryptographic primitives, finite field operations, and constraint generation into developer-friendly syntax.</w:t>
      </w:r>
    </w:p>
    <w:p w14:paraId="4C100D71" w14:textId="667EDB8C" w:rsidR="0020096D" w:rsidRDefault="0020096D" w:rsidP="0020096D">
      <w:pPr>
        <w:pStyle w:val="Heading3"/>
      </w:pPr>
      <w:r w:rsidRPr="0020096D">
        <w:t>2.3.1 Compiler Pipeline: Noir to ACIR</w:t>
      </w:r>
    </w:p>
    <w:p w14:paraId="77823959" w14:textId="77777777" w:rsidR="0020096D" w:rsidRDefault="0020096D" w:rsidP="0020096D">
      <w:r>
        <w:t>Noir separates high-level language parsing from the low-level proving backend using Abstract</w:t>
      </w:r>
      <w:r>
        <w:t xml:space="preserve"> </w:t>
      </w:r>
      <w:r>
        <w:t>Circuit Intermediate Representation (ACIR):</w:t>
      </w:r>
    </w:p>
    <w:p w14:paraId="1AA7E27D" w14:textId="77777777" w:rsidR="0020096D" w:rsidRDefault="0020096D" w:rsidP="0020096D">
      <w:pPr>
        <w:pStyle w:val="ListParagraph"/>
        <w:numPr>
          <w:ilvl w:val="0"/>
          <w:numId w:val="2"/>
        </w:numPr>
      </w:pPr>
      <w:r w:rsidRPr="0020096D">
        <w:rPr>
          <w:b/>
          <w:bCs/>
        </w:rPr>
        <w:t>Noir Front-End:</w:t>
      </w:r>
      <w:r>
        <w:t xml:space="preserve"> Compiles type-checked Noir code into an ACIR bytecode representation.</w:t>
      </w:r>
    </w:p>
    <w:p w14:paraId="77310064" w14:textId="77777777" w:rsidR="0020096D" w:rsidRDefault="0020096D" w:rsidP="0020096D">
      <w:pPr>
        <w:pStyle w:val="ListParagraph"/>
        <w:numPr>
          <w:ilvl w:val="0"/>
          <w:numId w:val="2"/>
        </w:numPr>
      </w:pPr>
      <w:r w:rsidRPr="0020096D">
        <w:rPr>
          <w:b/>
          <w:bCs/>
        </w:rPr>
        <w:t>ACIR Optimizations:</w:t>
      </w:r>
      <w:r>
        <w:t xml:space="preserve"> Reorganizes arithmetic constraints, optimizes variable lifetimes, and eliminates redundant operations.</w:t>
      </w:r>
    </w:p>
    <w:p w14:paraId="4636F642" w14:textId="45ACADEC" w:rsidR="0020096D" w:rsidRDefault="0020096D" w:rsidP="0020096D">
      <w:pPr>
        <w:pStyle w:val="ListParagraph"/>
        <w:numPr>
          <w:ilvl w:val="0"/>
          <w:numId w:val="2"/>
        </w:numPr>
      </w:pPr>
      <w:r w:rsidRPr="0020096D">
        <w:rPr>
          <w:b/>
          <w:bCs/>
        </w:rPr>
        <w:t>Backend Target Translation:</w:t>
      </w:r>
      <w:r>
        <w:t xml:space="preserve"> The ACIR representation is passed to a backend proving engine</w:t>
      </w:r>
      <w:r w:rsidR="00DB31D9">
        <w:t xml:space="preserve">, </w:t>
      </w:r>
      <w:r>
        <w:t xml:space="preserve">primarily </w:t>
      </w:r>
      <w:proofErr w:type="spellStart"/>
      <w:r>
        <w:t>Barretenberg</w:t>
      </w:r>
      <w:proofErr w:type="spellEnd"/>
      <w:r w:rsidR="00DB31D9">
        <w:t xml:space="preserve">, </w:t>
      </w:r>
      <w:r>
        <w:t xml:space="preserve">which maps the ACIR opcodes to </w:t>
      </w:r>
      <w:proofErr w:type="spellStart"/>
      <w:r>
        <w:t>PlonKish</w:t>
      </w:r>
      <w:proofErr w:type="spellEnd"/>
      <w:r>
        <w:t xml:space="preserve"> gates and polynomial relations.</w:t>
      </w:r>
    </w:p>
    <w:p w14:paraId="45922375" w14:textId="77777777" w:rsidR="0020096D" w:rsidRDefault="0020096D" w:rsidP="00227FA7">
      <w:pPr>
        <w:pStyle w:val="Heading3"/>
      </w:pPr>
      <w:r>
        <w:t xml:space="preserve">2.3.2 </w:t>
      </w:r>
      <w:proofErr w:type="spellStart"/>
      <w:r>
        <w:t>Barretenberg</w:t>
      </w:r>
      <w:proofErr w:type="spellEnd"/>
      <w:r>
        <w:t xml:space="preserve"> Proving Engine</w:t>
      </w:r>
    </w:p>
    <w:p w14:paraId="51C7CE46" w14:textId="77777777" w:rsidR="00227FA7" w:rsidRDefault="0020096D" w:rsidP="0020096D">
      <w:proofErr w:type="spellStart"/>
      <w:r>
        <w:t>Barretenberg</w:t>
      </w:r>
      <w:proofErr w:type="spellEnd"/>
      <w:r>
        <w:t xml:space="preserve"> is a C++ C-API/WASM backend supporting multiple proving algorithms:</w:t>
      </w:r>
    </w:p>
    <w:p w14:paraId="5A7AB35F" w14:textId="77777777" w:rsidR="00227FA7" w:rsidRDefault="0020096D" w:rsidP="00227FA7">
      <w:pPr>
        <w:pStyle w:val="ListParagraph"/>
        <w:numPr>
          <w:ilvl w:val="0"/>
          <w:numId w:val="3"/>
        </w:numPr>
      </w:pPr>
      <w:proofErr w:type="spellStart"/>
      <w:r>
        <w:t>UltraPlonk</w:t>
      </w:r>
      <w:proofErr w:type="spellEnd"/>
      <w:r>
        <w:t xml:space="preserve">: Utilizes </w:t>
      </w:r>
      <w:proofErr w:type="spellStart"/>
      <w:r>
        <w:t>Plookup</w:t>
      </w:r>
      <w:proofErr w:type="spellEnd"/>
      <w:r>
        <w:t xml:space="preserve"> tables, custom gates, and KZG (Kate-</w:t>
      </w:r>
      <w:proofErr w:type="spellStart"/>
      <w:r>
        <w:t>Zaverucha</w:t>
      </w:r>
      <w:proofErr w:type="spellEnd"/>
      <w:r>
        <w:t>-Goldberg) polynomial commitments over the BN254 curve.</w:t>
      </w:r>
      <w:r w:rsidR="00227FA7">
        <w:t xml:space="preserve"> </w:t>
      </w:r>
    </w:p>
    <w:p w14:paraId="3A89CF18" w14:textId="108BB3BA" w:rsidR="0020096D" w:rsidRDefault="0020096D" w:rsidP="00227FA7">
      <w:pPr>
        <w:pStyle w:val="ListParagraph"/>
        <w:numPr>
          <w:ilvl w:val="0"/>
          <w:numId w:val="3"/>
        </w:numPr>
      </w:pPr>
      <w:proofErr w:type="spellStart"/>
      <w:r>
        <w:lastRenderedPageBreak/>
        <w:t>UltraHonk</w:t>
      </w:r>
      <w:proofErr w:type="spellEnd"/>
      <w:r>
        <w:t xml:space="preserve">: An advanced proving system that replaces standard </w:t>
      </w:r>
      <w:proofErr w:type="spellStart"/>
      <w:r>
        <w:t>PlonKish</w:t>
      </w:r>
      <w:proofErr w:type="spellEnd"/>
      <w:r>
        <w:t xml:space="preserve"> structures with </w:t>
      </w:r>
      <w:proofErr w:type="spellStart"/>
      <w:r>
        <w:t>sumcheck</w:t>
      </w:r>
      <w:proofErr w:type="spellEnd"/>
      <w:r>
        <w:t>-based polynomial protocols, decreasing client-side proving time and memory usage.</w:t>
      </w:r>
    </w:p>
    <w:p w14:paraId="6F158CD5" w14:textId="27C50F78" w:rsidR="00EF61F2" w:rsidRDefault="00EF61F2" w:rsidP="00EF61F2">
      <w:pPr>
        <w:pStyle w:val="Heading3"/>
      </w:pPr>
      <w:r w:rsidRPr="00EF61F2">
        <w:t>2.4 Blockchain Integration: Ethereum Verification Environment</w:t>
      </w:r>
    </w:p>
    <w:p w14:paraId="35C33392" w14:textId="6CB3E50D" w:rsidR="00EF61F2" w:rsidRDefault="00EF61F2" w:rsidP="00EF61F2">
      <w:r w:rsidRPr="00EF61F2">
        <w:t>Verifying ZK-SNARK proofs on public blockchains requires balancing cryptographic execution against resource constraints.</w:t>
      </w:r>
    </w:p>
    <w:p w14:paraId="275680D6" w14:textId="3C73FE78" w:rsidR="00EF61F2" w:rsidRDefault="00EF61F2" w:rsidP="00EF61F2">
      <w:pPr>
        <w:pStyle w:val="Heading3"/>
      </w:pPr>
      <w:r w:rsidRPr="00EF61F2">
        <w:t>2.4.1 EVM Architecture and Gas Mechanics</w:t>
      </w:r>
    </w:p>
    <w:p w14:paraId="298A7FA1" w14:textId="77777777" w:rsidR="00EF61F2" w:rsidRDefault="00EF61F2" w:rsidP="00EF61F2">
      <w:r w:rsidRPr="00EF61F2">
        <w:t>The Ethereum Virtual Machine (EVM) charges execution costs in Gas. Every operation (opcode) has a fixed or dynamic gas cost reflecting its computational overhead. On-chain ZK verification requires executing cryptographic primitives directly in EVM bytecode.  To reduce computational costs, Ethereum provides Precompiled Contracts—specialized state execution shortcuts implemented at fixed addresses:</w:t>
      </w:r>
    </w:p>
    <w:p w14:paraId="0075B3FB" w14:textId="7750E0B6" w:rsidR="00EF61F2" w:rsidRDefault="00EF61F2" w:rsidP="00EF61F2">
      <w:pPr>
        <w:pStyle w:val="ListParagraph"/>
        <w:numPr>
          <w:ilvl w:val="0"/>
          <w:numId w:val="4"/>
        </w:numPr>
      </w:pPr>
      <w:proofErr w:type="spellStart"/>
      <w:r w:rsidRPr="00EF61F2">
        <w:rPr>
          <w:b/>
          <w:bCs/>
        </w:rPr>
        <w:t>ecAdd</w:t>
      </w:r>
      <w:proofErr w:type="spellEnd"/>
      <w:r w:rsidRPr="00EF61F2">
        <w:t>: Addition of points on the BN254 elliptic curve (150 ga</w:t>
      </w:r>
      <w:r>
        <w:t>s</w:t>
      </w:r>
      <w:r w:rsidRPr="00EF61F2">
        <w:t>).</w:t>
      </w:r>
    </w:p>
    <w:p w14:paraId="4281C435" w14:textId="575152B9" w:rsidR="00EF61F2" w:rsidRDefault="00EF61F2" w:rsidP="00EF61F2">
      <w:pPr>
        <w:pStyle w:val="ListParagraph"/>
        <w:numPr>
          <w:ilvl w:val="0"/>
          <w:numId w:val="4"/>
        </w:numPr>
      </w:pPr>
      <w:proofErr w:type="spellStart"/>
      <w:r w:rsidRPr="00EF61F2">
        <w:rPr>
          <w:b/>
          <w:bCs/>
        </w:rPr>
        <w:t>ecMul</w:t>
      </w:r>
      <w:proofErr w:type="spellEnd"/>
      <w:r w:rsidR="008F2B10">
        <w:t>:</w:t>
      </w:r>
      <w:r w:rsidRPr="00EF61F2">
        <w:t xml:space="preserve"> Scalar multiplication on the BN254 curve (6,000 gas).</w:t>
      </w:r>
    </w:p>
    <w:p w14:paraId="79B9FD04" w14:textId="681339EB" w:rsidR="00EF61F2" w:rsidRDefault="00EF61F2" w:rsidP="00EF61F2">
      <w:pPr>
        <w:pStyle w:val="ListParagraph"/>
        <w:numPr>
          <w:ilvl w:val="0"/>
          <w:numId w:val="4"/>
        </w:numPr>
      </w:pPr>
      <w:proofErr w:type="spellStart"/>
      <w:r w:rsidRPr="00EF61F2">
        <w:rPr>
          <w:b/>
          <w:bCs/>
        </w:rPr>
        <w:t>ecPairing</w:t>
      </w:r>
      <w:proofErr w:type="spellEnd"/>
      <w:r w:rsidRPr="00EF61F2">
        <w:t>: Bilinear pairing check on the BN254 curve (45,000 base gas + 34,000 per pairing pair).</w:t>
      </w:r>
    </w:p>
    <w:p w14:paraId="660691AC" w14:textId="394B422B" w:rsidR="00EF61F2" w:rsidRDefault="00EF61F2" w:rsidP="00EF61F2">
      <w:pPr>
        <w:pStyle w:val="Heading3"/>
      </w:pPr>
      <w:r w:rsidRPr="00EF61F2">
        <w:t>2.4.2 Verification Cost Profiles across Proof Schemes</w:t>
      </w:r>
    </w:p>
    <w:tbl>
      <w:tblPr>
        <w:tblStyle w:val="TableGrid"/>
        <w:tblW w:w="11252" w:type="dxa"/>
        <w:tblInd w:w="-3" w:type="dxa"/>
        <w:tblLayout w:type="fixed"/>
        <w:tblLook w:val="04A0" w:firstRow="1" w:lastRow="0" w:firstColumn="1" w:lastColumn="0" w:noHBand="0" w:noVBand="1"/>
      </w:tblPr>
      <w:tblGrid>
        <w:gridCol w:w="1417"/>
        <w:gridCol w:w="1998"/>
        <w:gridCol w:w="4050"/>
        <w:gridCol w:w="3787"/>
      </w:tblGrid>
      <w:tr w:rsidR="00EF61F2" w14:paraId="33099FC6" w14:textId="77777777" w:rsidTr="00EF61F2">
        <w:tc>
          <w:tcPr>
            <w:tcW w:w="141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75541AD9" w14:textId="3669F38F" w:rsidR="00EF61F2" w:rsidRDefault="00EF61F2" w:rsidP="00EF61F2">
            <w:r>
              <w:rPr>
                <w:rStyle w:val="Strong"/>
                <w:rFonts w:ascii="Arial" w:hAnsi="Arial" w:cs="Arial"/>
              </w:rPr>
              <w:t>Proof System</w:t>
            </w:r>
          </w:p>
        </w:tc>
        <w:tc>
          <w:tcPr>
            <w:tcW w:w="199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3696FE01" w14:textId="19B17B4F" w:rsidR="00EF61F2" w:rsidRDefault="00EF61F2" w:rsidP="00EF61F2">
            <w:r>
              <w:rPr>
                <w:rStyle w:val="Strong"/>
                <w:rFonts w:ascii="Arial" w:hAnsi="Arial" w:cs="Arial"/>
              </w:rPr>
              <w:t>Proof Size (Bytes)</w:t>
            </w:r>
          </w:p>
        </w:tc>
        <w:tc>
          <w:tcPr>
            <w:tcW w:w="40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3423B571" w14:textId="48D44EAE" w:rsidR="00EF61F2" w:rsidRDefault="00EF61F2" w:rsidP="00EF61F2">
            <w:r>
              <w:rPr>
                <w:rStyle w:val="Strong"/>
                <w:rFonts w:ascii="Arial" w:hAnsi="Arial" w:cs="Arial"/>
              </w:rPr>
              <w:t>Dominant On-Chain Computations</w:t>
            </w:r>
          </w:p>
        </w:tc>
        <w:tc>
          <w:tcPr>
            <w:tcW w:w="378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599B39EA" w14:textId="13DB3FE8" w:rsidR="00EF61F2" w:rsidRDefault="00EF61F2" w:rsidP="00EF61F2">
            <w:r>
              <w:rPr>
                <w:rStyle w:val="Strong"/>
                <w:rFonts w:ascii="Arial" w:hAnsi="Arial" w:cs="Arial"/>
              </w:rPr>
              <w:t>Estimated EVM Verification Gas</w:t>
            </w:r>
          </w:p>
        </w:tc>
      </w:tr>
      <w:tr w:rsidR="00EF61F2" w:rsidRPr="00EF61F2" w14:paraId="4D318719" w14:textId="77777777" w:rsidTr="00EF61F2">
        <w:tc>
          <w:tcPr>
            <w:tcW w:w="141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397F71B9" w14:textId="5D2F60D3" w:rsidR="00EF61F2" w:rsidRPr="00EF61F2" w:rsidRDefault="00EF61F2" w:rsidP="00EF61F2">
            <w:r w:rsidRPr="00EF61F2">
              <w:rPr>
                <w:rFonts w:ascii="Arial" w:hAnsi="Arial" w:cs="Arial"/>
              </w:rPr>
              <w:t>Groth16</w:t>
            </w:r>
          </w:p>
        </w:tc>
        <w:tc>
          <w:tcPr>
            <w:tcW w:w="199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693A86A5" w14:textId="1201FA5A" w:rsidR="00EF61F2" w:rsidRPr="00EF61F2" w:rsidRDefault="00EF61F2" w:rsidP="00EF61F2">
            <m:oMathPara>
              <m:oMath>
                <m:r>
                  <w:rPr>
                    <w:rFonts w:ascii="Cambria Math" w:eastAsia="Times New Roman" w:hAnsi="Cambria Math" w:cs="Arial"/>
                  </w:rPr>
                  <m:t>∼128-256</m:t>
                </m:r>
              </m:oMath>
            </m:oMathPara>
          </w:p>
        </w:tc>
        <w:tc>
          <w:tcPr>
            <w:tcW w:w="40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054C49E0" w14:textId="79A85027" w:rsidR="00EF61F2" w:rsidRPr="00EF61F2" w:rsidRDefault="00EF61F2" w:rsidP="00EF61F2">
            <m:oMathPara>
              <m:oMath>
                <m:r>
                  <w:rPr>
                    <w:rFonts w:ascii="Cambria Math" w:eastAsia="Times New Roman" w:hAnsi="Cambria Math" w:cs="Arial"/>
                  </w:rPr>
                  <m:t>1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</w:rPr>
                  <m:t> Pairing check (4 pairs)</m:t>
                </m:r>
                <m:r>
                  <w:rPr>
                    <w:rFonts w:ascii="Cambria Math" w:eastAsia="Times New Roman" w:hAnsi="Cambria Math" w:cs="Arial"/>
                  </w:rPr>
                  <m:t>,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</w:rPr>
                  <m:t> Scalar Multiplications</m:t>
                </m:r>
              </m:oMath>
            </m:oMathPara>
          </w:p>
        </w:tc>
        <w:tc>
          <w:tcPr>
            <w:tcW w:w="378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5ABAD95C" w14:textId="71425011" w:rsidR="00EF61F2" w:rsidRPr="00EF61F2" w:rsidRDefault="00EF61F2" w:rsidP="00EF61F2">
            <m:oMathPara>
              <m:oMath>
                <m:r>
                  <w:rPr>
                    <w:rFonts w:ascii="Cambria Math" w:eastAsia="Times New Roman" w:hAnsi="Cambria Math" w:cs="Arial"/>
                  </w:rPr>
                  <m:t>∼200,000-300,000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</w:rPr>
                  <m:t> gas</m:t>
                </m:r>
              </m:oMath>
            </m:oMathPara>
          </w:p>
        </w:tc>
      </w:tr>
      <w:tr w:rsidR="00EF61F2" w:rsidRPr="00EF61F2" w14:paraId="3B828C7F" w14:textId="77777777" w:rsidTr="00EF61F2">
        <w:tc>
          <w:tcPr>
            <w:tcW w:w="141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6A2666F8" w14:textId="43AB59B6" w:rsidR="00EF61F2" w:rsidRPr="00EF61F2" w:rsidRDefault="00EF61F2" w:rsidP="00EF61F2">
            <w:proofErr w:type="spellStart"/>
            <w:r w:rsidRPr="00EF61F2">
              <w:rPr>
                <w:rFonts w:ascii="Arial" w:hAnsi="Arial" w:cs="Arial"/>
              </w:rPr>
              <w:t>UltraPlonk</w:t>
            </w:r>
            <w:proofErr w:type="spellEnd"/>
          </w:p>
        </w:tc>
        <w:tc>
          <w:tcPr>
            <w:tcW w:w="199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5E491D78" w14:textId="48E4668F" w:rsidR="00EF61F2" w:rsidRPr="00EF61F2" w:rsidRDefault="00EF61F2" w:rsidP="00EF61F2">
            <m:oMathPara>
              <m:oMath>
                <m:r>
                  <w:rPr>
                    <w:rFonts w:ascii="Cambria Math" w:eastAsia="Times New Roman" w:hAnsi="Cambria Math" w:cs="Arial"/>
                  </w:rPr>
                  <m:t>∼400-800</m:t>
                </m:r>
              </m:oMath>
            </m:oMathPara>
          </w:p>
        </w:tc>
        <w:tc>
          <w:tcPr>
            <w:tcW w:w="40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35FC7B95" w14:textId="5BD02451" w:rsidR="00EF61F2" w:rsidRPr="00EF61F2" w:rsidRDefault="00EF61F2" w:rsidP="00EF61F2">
            <m:oMathPara>
              <m:oMath>
                <m:r>
                  <w:rPr>
                    <w:rFonts w:ascii="Cambria Math" w:eastAsia="Times New Roman" w:hAnsi="Cambria Math" w:cs="Arial"/>
                  </w:rPr>
                  <m:t>1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</w:rPr>
                  <m:t> Pairing check</m:t>
                </m:r>
                <m:r>
                  <w:rPr>
                    <w:rFonts w:ascii="Cambria Math" w:eastAsia="Times New Roman" w:hAnsi="Cambria Math" w:cs="Arial"/>
                  </w:rPr>
                  <m:t>,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</w:rPr>
                  <m:t> Multiple KZG Openings</m:t>
                </m:r>
                <m:r>
                  <w:rPr>
                    <w:rFonts w:ascii="Cambria Math" w:eastAsia="Times New Roman" w:hAnsi="Cambria Math" w:cs="Arial"/>
                  </w:rPr>
                  <m:t>,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</w:rPr>
                  <m:t> Polynomial Evaluations</m:t>
                </m:r>
              </m:oMath>
            </m:oMathPara>
          </w:p>
        </w:tc>
        <w:tc>
          <w:tcPr>
            <w:tcW w:w="378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321DC7B1" w14:textId="6CA02A12" w:rsidR="00EF61F2" w:rsidRPr="00EF61F2" w:rsidRDefault="00EF61F2" w:rsidP="00EF61F2">
            <m:oMathPara>
              <m:oMath>
                <m:r>
                  <w:rPr>
                    <w:rFonts w:ascii="Cambria Math" w:eastAsia="Times New Roman" w:hAnsi="Cambria Math" w:cs="Arial"/>
                  </w:rPr>
                  <m:t>∼300,000-500,000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</w:rPr>
                  <m:t> gas</m:t>
                </m:r>
              </m:oMath>
            </m:oMathPara>
          </w:p>
        </w:tc>
      </w:tr>
      <w:tr w:rsidR="00EF61F2" w:rsidRPr="00EF61F2" w14:paraId="41EB96F6" w14:textId="77777777" w:rsidTr="00EF61F2">
        <w:tc>
          <w:tcPr>
            <w:tcW w:w="141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3619F099" w14:textId="4F09C3F2" w:rsidR="00EF61F2" w:rsidRPr="00EF61F2" w:rsidRDefault="00EF61F2" w:rsidP="00EF61F2">
            <w:proofErr w:type="spellStart"/>
            <w:r w:rsidRPr="00EF61F2">
              <w:rPr>
                <w:rFonts w:ascii="Arial" w:hAnsi="Arial" w:cs="Arial"/>
              </w:rPr>
              <w:t>UltraHonk</w:t>
            </w:r>
            <w:proofErr w:type="spellEnd"/>
          </w:p>
        </w:tc>
        <w:tc>
          <w:tcPr>
            <w:tcW w:w="199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1C2FFF97" w14:textId="7F21FD17" w:rsidR="00EF61F2" w:rsidRPr="00EF61F2" w:rsidRDefault="00EF61F2" w:rsidP="00EF61F2">
            <m:oMathPara>
              <m:oMath>
                <m:r>
                  <w:rPr>
                    <w:rFonts w:ascii="Cambria Math" w:eastAsia="Times New Roman" w:hAnsi="Cambria Math" w:cs="Arial"/>
                  </w:rPr>
                  <m:t>∼1,000-2,000</m:t>
                </m:r>
              </m:oMath>
            </m:oMathPara>
          </w:p>
        </w:tc>
        <w:tc>
          <w:tcPr>
            <w:tcW w:w="40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786D0DCE" w14:textId="0C9D38D7" w:rsidR="00EF61F2" w:rsidRPr="00EF61F2" w:rsidRDefault="00EF61F2" w:rsidP="00EF61F2">
            <w:proofErr w:type="spellStart"/>
            <m:oMathPara>
              <m:oMath>
                <m:r>
                  <m:rPr>
                    <m:nor/>
                  </m:rPr>
                  <w:rPr>
                    <w:rFonts w:ascii="Arial" w:eastAsia="Times New Roman" w:hAnsi="Arial" w:cs="Arial"/>
                  </w:rPr>
                  <m:t>Sumcheck</m:t>
                </m:r>
                <w:proofErr w:type="spellEnd"/>
                <m:r>
                  <m:rPr>
                    <m:nor/>
                  </m:rPr>
                  <w:rPr>
                    <w:rFonts w:ascii="Arial" w:eastAsia="Times New Roman" w:hAnsi="Arial" w:cs="Arial"/>
                  </w:rPr>
                  <m:t> evaluations</m:t>
                </m:r>
                <m:r>
                  <w:rPr>
                    <w:rFonts w:ascii="Cambria Math" w:eastAsia="Times New Roman" w:hAnsi="Cambria Math" w:cs="Arial"/>
                  </w:rPr>
                  <m:t>,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</w:rPr>
                  <m:t> KZG / IPA Opening checks</m:t>
                </m:r>
              </m:oMath>
            </m:oMathPara>
          </w:p>
        </w:tc>
        <w:tc>
          <w:tcPr>
            <w:tcW w:w="378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0AB7A2C2" w14:textId="6F1655D1" w:rsidR="00EF61F2" w:rsidRPr="00EF61F2" w:rsidRDefault="00EF61F2" w:rsidP="00EF61F2">
            <m:oMathPara>
              <m:oMath>
                <m:r>
                  <w:rPr>
                    <w:rFonts w:ascii="Cambria Math" w:eastAsia="Times New Roman" w:hAnsi="Cambria Math" w:cs="Arial"/>
                  </w:rPr>
                  <m:t>∼350,000-600,000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</w:rPr>
                  <m:t> gas</m:t>
                </m:r>
              </m:oMath>
            </m:oMathPara>
          </w:p>
        </w:tc>
      </w:tr>
    </w:tbl>
    <w:p w14:paraId="4756E8A8" w14:textId="76704F77" w:rsidR="005E42CD" w:rsidRDefault="005E42CD" w:rsidP="00EF61F2">
      <w:r>
        <w:br w:type="page"/>
      </w:r>
    </w:p>
    <w:p w14:paraId="4DA56F68" w14:textId="77777777" w:rsidR="00EF61F2" w:rsidRDefault="00EF61F2" w:rsidP="00EF61F2"/>
    <w:p w14:paraId="07D9F2D7" w14:textId="4ED225B1" w:rsidR="005E42CD" w:rsidRDefault="005E42CD" w:rsidP="005E42CD">
      <w:pPr>
        <w:pStyle w:val="Heading3"/>
      </w:pPr>
      <w:r w:rsidRPr="005E42CD">
        <w:t>2.5 Related Work and Research Gaps</w:t>
      </w:r>
    </w:p>
    <w:p w14:paraId="777B2120" w14:textId="4FD80E61" w:rsidR="005E42CD" w:rsidRDefault="005E42CD" w:rsidP="005E42CD">
      <w:pPr>
        <w:pStyle w:val="Heading3"/>
      </w:pPr>
      <w:r w:rsidRPr="005E42CD">
        <w:t>2.5.1 Review of Existing Literature</w:t>
      </w:r>
    </w:p>
    <w:p w14:paraId="14887597" w14:textId="77777777" w:rsidR="005E42CD" w:rsidRDefault="005E42CD" w:rsidP="005E42CD">
      <w:r>
        <w:t>Recent research has increasingly focused on combining zero-knowledge proofs with decentralized identity and access management:</w:t>
      </w:r>
    </w:p>
    <w:p w14:paraId="0AF73844" w14:textId="77777777" w:rsidR="005E42CD" w:rsidRDefault="005E42CD" w:rsidP="005E42CD">
      <w:pPr>
        <w:pStyle w:val="ListParagraph"/>
        <w:numPr>
          <w:ilvl w:val="0"/>
          <w:numId w:val="5"/>
        </w:numPr>
      </w:pPr>
      <w:proofErr w:type="spellStart"/>
      <w:r w:rsidRPr="00B20979">
        <w:rPr>
          <w:b/>
          <w:bCs/>
        </w:rPr>
        <w:t>Circom</w:t>
      </w:r>
      <w:proofErr w:type="spellEnd"/>
      <w:r w:rsidRPr="00B20979">
        <w:rPr>
          <w:b/>
          <w:bCs/>
        </w:rPr>
        <w:t xml:space="preserve"> and Groth16 Implementations</w:t>
      </w:r>
      <w:r>
        <w:t xml:space="preserve">: Studies evaluating identity credentials in </w:t>
      </w:r>
      <w:proofErr w:type="spellStart"/>
      <w:r>
        <w:t>Circom</w:t>
      </w:r>
      <w:proofErr w:type="spellEnd"/>
      <w:r>
        <w:t xml:space="preserve"> demonstrate low verification costs on-chain. However, </w:t>
      </w:r>
      <w:proofErr w:type="spellStart"/>
      <w:r>
        <w:t>Circom</w:t>
      </w:r>
      <w:proofErr w:type="spellEnd"/>
      <w:r>
        <w:t xml:space="preserve"> requires manual circuit layout and lacks higher-level abstractions like strongly typed data structures.</w:t>
      </w:r>
    </w:p>
    <w:p w14:paraId="04ED13D2" w14:textId="77777777" w:rsidR="005E42CD" w:rsidRDefault="005E42CD" w:rsidP="005E42CD">
      <w:pPr>
        <w:pStyle w:val="ListParagraph"/>
        <w:numPr>
          <w:ilvl w:val="0"/>
          <w:numId w:val="5"/>
        </w:numPr>
      </w:pPr>
      <w:proofErr w:type="spellStart"/>
      <w:r w:rsidRPr="00B20979">
        <w:rPr>
          <w:b/>
          <w:bCs/>
        </w:rPr>
        <w:t>zk</w:t>
      </w:r>
      <w:proofErr w:type="spellEnd"/>
      <w:r w:rsidRPr="00B20979">
        <w:rPr>
          <w:b/>
          <w:bCs/>
        </w:rPr>
        <w:t>-ABAC Frameworks</w:t>
      </w:r>
      <w:r>
        <w:t>: Empirical tests on Zero-Knowledge Attribute-Based Access Control demonstrate that off-chain proof generation scales with credential size, whereas on-chain verification costs remain constant.</w:t>
      </w:r>
    </w:p>
    <w:p w14:paraId="523728D6" w14:textId="3139793E" w:rsidR="005E42CD" w:rsidRDefault="005E42CD" w:rsidP="005E42CD">
      <w:pPr>
        <w:pStyle w:val="ListParagraph"/>
        <w:numPr>
          <w:ilvl w:val="0"/>
          <w:numId w:val="5"/>
        </w:numPr>
      </w:pPr>
      <w:r w:rsidRPr="00B20979">
        <w:rPr>
          <w:b/>
          <w:bCs/>
        </w:rPr>
        <w:t>Selective Disclosure via Merkle Trees</w:t>
      </w:r>
      <w:r>
        <w:t>: Research highlights that proving membership in static identity registries using cryptographic hash trees effectively preserves privacy while bounding public state parameters.</w:t>
      </w:r>
    </w:p>
    <w:p w14:paraId="648C22F1" w14:textId="77777777" w:rsidR="00D02E5D" w:rsidRDefault="00D02E5D" w:rsidP="00D02E5D">
      <w:pPr>
        <w:pStyle w:val="Heading3"/>
      </w:pPr>
      <w:r>
        <w:t>2.5.2 Identified Research Gaps</w:t>
      </w:r>
    </w:p>
    <w:p w14:paraId="000B700F" w14:textId="77777777" w:rsidR="00D02E5D" w:rsidRDefault="00D02E5D" w:rsidP="00D02E5D">
      <w:r>
        <w:t>Despite these advancements, key gaps remain in existing literature:</w:t>
      </w:r>
    </w:p>
    <w:p w14:paraId="49ECFD62" w14:textId="77777777" w:rsidR="00D02E5D" w:rsidRDefault="00D02E5D" w:rsidP="00D02E5D">
      <w:pPr>
        <w:pStyle w:val="ListParagraph"/>
        <w:numPr>
          <w:ilvl w:val="0"/>
          <w:numId w:val="6"/>
        </w:numPr>
      </w:pPr>
      <w:r>
        <w:t xml:space="preserve">Lack of Empirical Benchmarks for High-Level DSLs: Most published studies focus on lower-level languages (such as </w:t>
      </w:r>
      <w:proofErr w:type="spellStart"/>
      <w:r>
        <w:t>Circom</w:t>
      </w:r>
      <w:proofErr w:type="spellEnd"/>
      <w:r>
        <w:t xml:space="preserve">) or earlier systems (like Groth16). Comprehensive performance data on modern </w:t>
      </w:r>
      <w:proofErr w:type="spellStart"/>
      <w:r>
        <w:t>PlonKish</w:t>
      </w:r>
      <w:proofErr w:type="spellEnd"/>
      <w:r>
        <w:t xml:space="preserve"> ecosystems like Noir/</w:t>
      </w:r>
      <w:proofErr w:type="spellStart"/>
      <w:r>
        <w:t>Barretenberg</w:t>
      </w:r>
      <w:proofErr w:type="spellEnd"/>
      <w:r>
        <w:t xml:space="preserve"> remains limited.</w:t>
      </w:r>
    </w:p>
    <w:p w14:paraId="13F8E276" w14:textId="77777777" w:rsidR="00D02E5D" w:rsidRDefault="00D02E5D" w:rsidP="00D02E5D">
      <w:pPr>
        <w:pStyle w:val="ListParagraph"/>
        <w:numPr>
          <w:ilvl w:val="0"/>
          <w:numId w:val="6"/>
        </w:numPr>
      </w:pPr>
      <w:r>
        <w:t>Missing Granular Breakdown of On-Chain Costs: Existing research often reports overall gas usage without isolating specific factors like memory allocation, payload decoding, precompile consumption, and public input size.</w:t>
      </w:r>
    </w:p>
    <w:p w14:paraId="2060FEDC" w14:textId="31F80C34" w:rsidR="00D02E5D" w:rsidRPr="005E42CD" w:rsidRDefault="00D02E5D" w:rsidP="00D02E5D">
      <w:pPr>
        <w:pStyle w:val="ListParagraph"/>
        <w:numPr>
          <w:ilvl w:val="0"/>
          <w:numId w:val="6"/>
        </w:numPr>
      </w:pPr>
      <w:r>
        <w:t>Trade-Off Analysis in Client-Side Environments: There is limited quantitative analysis evaluating how circuit optimization in domain-specific languages affects proving speed and memory usage on resource-constrained client devices.</w:t>
      </w:r>
    </w:p>
    <w:sectPr w:rsidR="00D02E5D" w:rsidRPr="005E42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67841"/>
    <w:multiLevelType w:val="hybridMultilevel"/>
    <w:tmpl w:val="5380E5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192001"/>
    <w:multiLevelType w:val="hybridMultilevel"/>
    <w:tmpl w:val="02F0FE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EB17C6"/>
    <w:multiLevelType w:val="hybridMultilevel"/>
    <w:tmpl w:val="9828A7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C32271"/>
    <w:multiLevelType w:val="hybridMultilevel"/>
    <w:tmpl w:val="024436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F656EE"/>
    <w:multiLevelType w:val="hybridMultilevel"/>
    <w:tmpl w:val="819A5B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493BA8"/>
    <w:multiLevelType w:val="hybridMultilevel"/>
    <w:tmpl w:val="C5F616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3943460">
    <w:abstractNumId w:val="4"/>
  </w:num>
  <w:num w:numId="2" w16cid:durableId="1005789063">
    <w:abstractNumId w:val="1"/>
  </w:num>
  <w:num w:numId="3" w16cid:durableId="9378922">
    <w:abstractNumId w:val="3"/>
  </w:num>
  <w:num w:numId="4" w16cid:durableId="1724210860">
    <w:abstractNumId w:val="0"/>
  </w:num>
  <w:num w:numId="5" w16cid:durableId="1987932203">
    <w:abstractNumId w:val="5"/>
  </w:num>
  <w:num w:numId="6" w16cid:durableId="16604971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D23"/>
    <w:rsid w:val="0020096D"/>
    <w:rsid w:val="00227FA7"/>
    <w:rsid w:val="003439A6"/>
    <w:rsid w:val="00385F9A"/>
    <w:rsid w:val="005E42CD"/>
    <w:rsid w:val="0078254E"/>
    <w:rsid w:val="0082661B"/>
    <w:rsid w:val="008E18A7"/>
    <w:rsid w:val="008F2B10"/>
    <w:rsid w:val="00B20979"/>
    <w:rsid w:val="00BD1C21"/>
    <w:rsid w:val="00BE09ED"/>
    <w:rsid w:val="00C711EE"/>
    <w:rsid w:val="00D02E5D"/>
    <w:rsid w:val="00D70D23"/>
    <w:rsid w:val="00DB31D9"/>
    <w:rsid w:val="00E40795"/>
    <w:rsid w:val="00EF6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10B63"/>
  <w15:chartTrackingRefBased/>
  <w15:docId w15:val="{35831FD6-A557-4E6D-8B3A-97F2D99F6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1EE"/>
    <w:pPr>
      <w:spacing w:line="36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18A7"/>
    <w:pPr>
      <w:keepNext/>
      <w:keepLines/>
      <w:spacing w:before="360" w:after="80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18A7"/>
    <w:pPr>
      <w:outlineLvl w:val="1"/>
    </w:pPr>
    <w:rPr>
      <w:b/>
      <w:sz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18A7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0D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0D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0D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0D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0D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0D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8A7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18A7"/>
    <w:rPr>
      <w:rFonts w:ascii="Times New Roman" w:hAnsi="Times New Roman"/>
      <w:b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E18A7"/>
    <w:rPr>
      <w:rFonts w:ascii="Times New Roman" w:eastAsiaTheme="majorEastAsia" w:hAnsi="Times New Roman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0D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0D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0D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0D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0D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0D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0D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0D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0D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0D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0D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0D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0D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0D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0D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0D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0D2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F61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F61F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999</Words>
  <Characters>5696</Characters>
  <Application>Microsoft Office Word</Application>
  <DocSecurity>0</DocSecurity>
  <Lines>47</Lines>
  <Paragraphs>13</Paragraphs>
  <ScaleCrop>false</ScaleCrop>
  <Company/>
  <LinksUpToDate>false</LinksUpToDate>
  <CharactersWithSpaces>6682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DBANK</dc:creator>
  <cp:keywords/>
  <dc:description/>
  <cp:lastModifiedBy>DBANK</cp:lastModifiedBy>
  <cp:revision>17</cp:revision>
  <dcterms:created xsi:type="dcterms:W3CDTF">2026-08-21T20:19:00Z</dcterms:created>
  <dcterms:modified xsi:type="dcterms:W3CDTF">2026-08-21T20:51:00Z</dcterms:modified>
</cp:coreProperties>
</file>