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EFAA7" w14:textId="77777777" w:rsidR="00EE0075" w:rsidRPr="00F41211" w:rsidRDefault="00000000">
      <w:pPr>
        <w:spacing w:before="240" w:after="240"/>
        <w:jc w:val="center"/>
        <w:rPr>
          <w:lang w:val="en-GB"/>
        </w:rPr>
      </w:pPr>
      <w:r w:rsidRPr="00F41211">
        <w:rPr>
          <w:b/>
          <w:bCs/>
          <w:sz w:val="24"/>
          <w:szCs w:val="24"/>
          <w:lang w:val="en-GB"/>
        </w:rPr>
        <w:t>CHAPTER FIVE</w:t>
      </w:r>
    </w:p>
    <w:p w14:paraId="0C52A10D" w14:textId="77777777" w:rsidR="00EE0075" w:rsidRPr="00F41211" w:rsidRDefault="00000000">
      <w:pPr>
        <w:spacing w:before="240" w:after="240"/>
        <w:jc w:val="center"/>
        <w:rPr>
          <w:lang w:val="en-GB"/>
        </w:rPr>
      </w:pPr>
      <w:r w:rsidRPr="00F41211">
        <w:rPr>
          <w:b/>
          <w:bCs/>
          <w:sz w:val="24"/>
          <w:szCs w:val="24"/>
          <w:lang w:val="en-GB"/>
        </w:rPr>
        <w:t>SUMMARY, CONCLUSIONS AND RECOMMENDATIONS</w:t>
      </w:r>
    </w:p>
    <w:p w14:paraId="58F93508" w14:textId="77777777" w:rsidR="00EE0075" w:rsidRPr="00F41211" w:rsidRDefault="00000000">
      <w:pPr>
        <w:spacing w:before="360" w:after="200"/>
        <w:rPr>
          <w:lang w:val="en-GB"/>
        </w:rPr>
      </w:pPr>
      <w:r w:rsidRPr="00F41211">
        <w:rPr>
          <w:b/>
          <w:bCs/>
          <w:sz w:val="24"/>
          <w:szCs w:val="24"/>
          <w:lang w:val="en-GB"/>
        </w:rPr>
        <w:t>5.0 Introduction</w:t>
      </w:r>
    </w:p>
    <w:p w14:paraId="6B744E6B" w14:textId="77777777" w:rsidR="00EE0075" w:rsidRPr="00F41211" w:rsidRDefault="00000000">
      <w:pPr>
        <w:spacing w:after="200" w:line="360" w:lineRule="auto"/>
        <w:jc w:val="both"/>
        <w:rPr>
          <w:lang w:val="en-GB"/>
        </w:rPr>
      </w:pPr>
      <w:r w:rsidRPr="00F41211">
        <w:rPr>
          <w:sz w:val="24"/>
          <w:szCs w:val="24"/>
          <w:lang w:val="en-GB"/>
        </w:rPr>
        <w:t>This chapter closes the thesis by drawing together the empirical findings reported in Chapter Four into a coherent summary, stating the conclusions those findings support, and translating them into concrete recommendations for developers and researchers. It revisits the study's original objectives (Section 1.4) and research questions (Section 1.5) to confirm the extent to which each was addressed, and closes with the study's principal contribution to knowledge and directions for future research.</w:t>
      </w:r>
    </w:p>
    <w:p w14:paraId="67F148E4" w14:textId="77777777" w:rsidR="00EE0075" w:rsidRPr="00F41211" w:rsidRDefault="00000000">
      <w:pPr>
        <w:spacing w:before="360" w:after="200"/>
        <w:rPr>
          <w:lang w:val="en-GB"/>
        </w:rPr>
      </w:pPr>
      <w:r w:rsidRPr="00F41211">
        <w:rPr>
          <w:b/>
          <w:bCs/>
          <w:sz w:val="24"/>
          <w:szCs w:val="24"/>
          <w:lang w:val="en-GB"/>
        </w:rPr>
        <w:t>5.1 Summary of the Study</w:t>
      </w:r>
    </w:p>
    <w:p w14:paraId="2E8653EE" w14:textId="77777777" w:rsidR="00EE0075" w:rsidRPr="00F41211" w:rsidRDefault="00000000">
      <w:pPr>
        <w:spacing w:after="200" w:line="360" w:lineRule="auto"/>
        <w:jc w:val="both"/>
        <w:rPr>
          <w:lang w:val="en-GB"/>
        </w:rPr>
      </w:pPr>
      <w:r w:rsidRPr="00F41211">
        <w:rPr>
          <w:sz w:val="24"/>
          <w:szCs w:val="24"/>
          <w:lang w:val="en-GB"/>
        </w:rPr>
        <w:t>This study set out to empirically evaluate the efficiency of ZK-SNARK proof generation and verification for Attribute-Based Credentials implemented in Noir and verified on Ethereum, and to situate the findings against Secure Multi-Party Computation as a conceptual alternative (Section 1.3). Four benchmark scenarios of increasing predicate complexity (one, four, eight and sixteen attributes, with range checks, set-membership checks, a Poseidon commitment and a depth-four Merkle membership proof layered on progressively; Section 3.7) were implemented as genuine, unit-tested Noir circuits, compiled and proven on a fixed, fully documented hardware and software environment (Section 3.4, corrected in Section 4.1 to reflect the environment actually used), and benchmarked across 120 off-chain trials (thirty per scenario) plus a dedicated Ethereum gas-measurement protocol. Every stage of the four-stage experimental design set out in Section 3.3, system specification, circuit implementation, experimental benchmarking, and Ethereum verification, was carried through to completion with real, measured data; no stage relied on projected, simulated, or placeholder figures. A measurement defect identified during review, two different proof artefacts (an off-chain and an on-chain proof) being conflated under one column, was traced to its root cause and corrected directly in the underlying data (Section 4.6; results/RUN_MANIFEST.md).</w:t>
      </w:r>
    </w:p>
    <w:p w14:paraId="724EAA06" w14:textId="77777777" w:rsidR="00EE0075" w:rsidRPr="00F41211" w:rsidRDefault="00000000">
      <w:pPr>
        <w:spacing w:before="360" w:after="200"/>
        <w:rPr>
          <w:lang w:val="en-GB"/>
        </w:rPr>
      </w:pPr>
      <w:r w:rsidRPr="00F41211">
        <w:rPr>
          <w:b/>
          <w:bCs/>
          <w:sz w:val="24"/>
          <w:szCs w:val="24"/>
          <w:lang w:val="en-GB"/>
        </w:rPr>
        <w:t>5.2 Summary of Findings</w:t>
      </w:r>
    </w:p>
    <w:p w14:paraId="4EDD9CD8" w14:textId="447291DA" w:rsidR="00570672" w:rsidRPr="00F41211" w:rsidRDefault="00000000">
      <w:pPr>
        <w:spacing w:after="200" w:line="360" w:lineRule="auto"/>
        <w:jc w:val="both"/>
        <w:rPr>
          <w:sz w:val="24"/>
          <w:szCs w:val="24"/>
          <w:lang w:val="en-GB"/>
        </w:rPr>
      </w:pPr>
      <w:r w:rsidRPr="00F41211">
        <w:rPr>
          <w:sz w:val="24"/>
          <w:szCs w:val="24"/>
          <w:lang w:val="en-GB"/>
        </w:rPr>
        <w:t>Table 5.1 maps each research question directly onto its empirical outcome, before the discussion below expands on each in turn.</w:t>
      </w:r>
      <w:r w:rsidR="00570672" w:rsidRPr="00F41211">
        <w:rPr>
          <w:sz w:val="24"/>
          <w:szCs w:val="24"/>
          <w:lang w:val="en-GB"/>
        </w:rPr>
        <w:br w:type="page"/>
      </w:r>
    </w:p>
    <w:p w14:paraId="7A5223DF" w14:textId="77777777" w:rsidR="00EE0075" w:rsidRPr="00F41211" w:rsidRDefault="00EE0075">
      <w:pPr>
        <w:spacing w:after="200" w:line="360" w:lineRule="auto"/>
        <w:jc w:val="both"/>
        <w:rPr>
          <w:lang w:val="en-GB"/>
        </w:rPr>
      </w:pPr>
    </w:p>
    <w:tbl>
      <w:tblPr>
        <w:tblStyle w:val="TableGridLight"/>
        <w:tblW w:w="8600" w:type="dxa"/>
        <w:tblLook w:val="0000" w:firstRow="0" w:lastRow="0" w:firstColumn="0" w:lastColumn="0" w:noHBand="0" w:noVBand="0"/>
      </w:tblPr>
      <w:tblGrid>
        <w:gridCol w:w="900"/>
        <w:gridCol w:w="3200"/>
        <w:gridCol w:w="4500"/>
      </w:tblGrid>
      <w:tr w:rsidR="00EE0075" w:rsidRPr="00F41211" w14:paraId="25D4F616" w14:textId="77777777" w:rsidTr="00570672">
        <w:tc>
          <w:tcPr>
            <w:tcW w:w="900" w:type="dxa"/>
          </w:tcPr>
          <w:p w14:paraId="26D6DD44" w14:textId="77777777" w:rsidR="00EE0075" w:rsidRPr="00F41211" w:rsidRDefault="00000000">
            <w:pPr>
              <w:rPr>
                <w:lang w:val="en-GB"/>
              </w:rPr>
            </w:pPr>
            <w:r w:rsidRPr="00F41211">
              <w:rPr>
                <w:b/>
                <w:bCs/>
                <w:lang w:val="en-GB"/>
              </w:rPr>
              <w:t>RQ</w:t>
            </w:r>
          </w:p>
        </w:tc>
        <w:tc>
          <w:tcPr>
            <w:tcW w:w="3200" w:type="dxa"/>
          </w:tcPr>
          <w:p w14:paraId="1BF34888" w14:textId="77777777" w:rsidR="00EE0075" w:rsidRPr="00F41211" w:rsidRDefault="00000000">
            <w:pPr>
              <w:rPr>
                <w:lang w:val="en-GB"/>
              </w:rPr>
            </w:pPr>
            <w:r w:rsidRPr="00F41211">
              <w:rPr>
                <w:b/>
                <w:bCs/>
                <w:lang w:val="en-GB"/>
              </w:rPr>
              <w:t>Question</w:t>
            </w:r>
          </w:p>
        </w:tc>
        <w:tc>
          <w:tcPr>
            <w:tcW w:w="4500" w:type="dxa"/>
          </w:tcPr>
          <w:p w14:paraId="5F32402D" w14:textId="77777777" w:rsidR="00EE0075" w:rsidRPr="00F41211" w:rsidRDefault="00000000">
            <w:pPr>
              <w:rPr>
                <w:lang w:val="en-GB"/>
              </w:rPr>
            </w:pPr>
            <w:r w:rsidRPr="00F41211">
              <w:rPr>
                <w:b/>
                <w:bCs/>
                <w:lang w:val="en-GB"/>
              </w:rPr>
              <w:t>Empirical Outcome</w:t>
            </w:r>
          </w:p>
        </w:tc>
      </w:tr>
      <w:tr w:rsidR="00EE0075" w:rsidRPr="00F41211" w14:paraId="18C3CA1E" w14:textId="77777777" w:rsidTr="00570672">
        <w:tc>
          <w:tcPr>
            <w:tcW w:w="900" w:type="dxa"/>
          </w:tcPr>
          <w:p w14:paraId="75F16781" w14:textId="77777777" w:rsidR="00EE0075" w:rsidRPr="00F41211" w:rsidRDefault="00000000">
            <w:pPr>
              <w:rPr>
                <w:lang w:val="en-GB"/>
              </w:rPr>
            </w:pPr>
            <w:r w:rsidRPr="00F41211">
              <w:rPr>
                <w:lang w:val="en-GB"/>
              </w:rPr>
              <w:t>RQ1</w:t>
            </w:r>
          </w:p>
        </w:tc>
        <w:tc>
          <w:tcPr>
            <w:tcW w:w="3200" w:type="dxa"/>
          </w:tcPr>
          <w:p w14:paraId="491CC4F0" w14:textId="77777777" w:rsidR="00EE0075" w:rsidRPr="00F41211" w:rsidRDefault="00000000">
            <w:pPr>
              <w:rPr>
                <w:lang w:val="en-GB"/>
              </w:rPr>
            </w:pPr>
            <w:r w:rsidRPr="00F41211">
              <w:rPr>
                <w:lang w:val="en-GB"/>
              </w:rPr>
              <w:t>Effect of circuit complexity on off-chain proving performance</w:t>
            </w:r>
          </w:p>
        </w:tc>
        <w:tc>
          <w:tcPr>
            <w:tcW w:w="4500" w:type="dxa"/>
          </w:tcPr>
          <w:p w14:paraId="6FBBF570" w14:textId="77777777" w:rsidR="00EE0075" w:rsidRPr="00F41211" w:rsidRDefault="00000000">
            <w:pPr>
              <w:rPr>
                <w:lang w:val="en-GB"/>
              </w:rPr>
            </w:pPr>
            <w:r w:rsidRPr="00F41211">
              <w:rPr>
                <w:lang w:val="en-GB"/>
              </w:rPr>
              <w:t>Proving time +196.7%, compile time +387.1%, peak memory +65.3% (Scenario 1→4); strong, significant correlations (ρ=0.90-0.98, p&lt;.001).</w:t>
            </w:r>
          </w:p>
        </w:tc>
      </w:tr>
      <w:tr w:rsidR="00EE0075" w:rsidRPr="00F41211" w14:paraId="4762045A" w14:textId="77777777" w:rsidTr="00570672">
        <w:tc>
          <w:tcPr>
            <w:tcW w:w="900" w:type="dxa"/>
          </w:tcPr>
          <w:p w14:paraId="2A2DA143" w14:textId="77777777" w:rsidR="00EE0075" w:rsidRPr="00F41211" w:rsidRDefault="00000000">
            <w:pPr>
              <w:rPr>
                <w:lang w:val="en-GB"/>
              </w:rPr>
            </w:pPr>
            <w:r w:rsidRPr="00F41211">
              <w:rPr>
                <w:lang w:val="en-GB"/>
              </w:rPr>
              <w:t>RQ2</w:t>
            </w:r>
          </w:p>
        </w:tc>
        <w:tc>
          <w:tcPr>
            <w:tcW w:w="3200" w:type="dxa"/>
          </w:tcPr>
          <w:p w14:paraId="3390624E" w14:textId="77777777" w:rsidR="00EE0075" w:rsidRPr="00F41211" w:rsidRDefault="00000000">
            <w:pPr>
              <w:rPr>
                <w:lang w:val="en-GB"/>
              </w:rPr>
            </w:pPr>
            <w:r w:rsidRPr="00F41211">
              <w:rPr>
                <w:lang w:val="en-GB"/>
              </w:rPr>
              <w:t>Effect of circuit complexity on local verification performance</w:t>
            </w:r>
          </w:p>
        </w:tc>
        <w:tc>
          <w:tcPr>
            <w:tcW w:w="4500" w:type="dxa"/>
          </w:tcPr>
          <w:p w14:paraId="45181171" w14:textId="77777777" w:rsidR="00EE0075" w:rsidRPr="00F41211" w:rsidRDefault="00000000">
            <w:pPr>
              <w:rPr>
                <w:lang w:val="en-GB"/>
              </w:rPr>
            </w:pPr>
            <w:r w:rsidRPr="00F41211">
              <w:rPr>
                <w:lang w:val="en-GB"/>
              </w:rPr>
              <w:t>Near-flat (14.67-15.87 ms mean); statistically significant but practically negligible correlation (ρ=0.28).</w:t>
            </w:r>
          </w:p>
        </w:tc>
      </w:tr>
      <w:tr w:rsidR="00EE0075" w:rsidRPr="00F41211" w14:paraId="5EFF280E" w14:textId="77777777" w:rsidTr="00570672">
        <w:tc>
          <w:tcPr>
            <w:tcW w:w="900" w:type="dxa"/>
          </w:tcPr>
          <w:p w14:paraId="164DC48B" w14:textId="77777777" w:rsidR="00EE0075" w:rsidRPr="00F41211" w:rsidRDefault="00000000">
            <w:pPr>
              <w:rPr>
                <w:lang w:val="en-GB"/>
              </w:rPr>
            </w:pPr>
            <w:r w:rsidRPr="00F41211">
              <w:rPr>
                <w:lang w:val="en-GB"/>
              </w:rPr>
              <w:t>RQ3</w:t>
            </w:r>
          </w:p>
        </w:tc>
        <w:tc>
          <w:tcPr>
            <w:tcW w:w="3200" w:type="dxa"/>
          </w:tcPr>
          <w:p w14:paraId="4079C5CA" w14:textId="77777777" w:rsidR="00EE0075" w:rsidRPr="00F41211" w:rsidRDefault="00000000">
            <w:pPr>
              <w:rPr>
                <w:lang w:val="en-GB"/>
              </w:rPr>
            </w:pPr>
            <w:r w:rsidRPr="00F41211">
              <w:rPr>
                <w:lang w:val="en-GB"/>
              </w:rPr>
              <w:t>Computational cost of Ethereum verification</w:t>
            </w:r>
          </w:p>
        </w:tc>
        <w:tc>
          <w:tcPr>
            <w:tcW w:w="4500" w:type="dxa"/>
          </w:tcPr>
          <w:p w14:paraId="1AA5A031" w14:textId="77777777" w:rsidR="00EE0075" w:rsidRPr="00F41211" w:rsidRDefault="00000000">
            <w:pPr>
              <w:rPr>
                <w:lang w:val="en-GB"/>
              </w:rPr>
            </w:pPr>
            <w:r w:rsidRPr="00F41211">
              <w:rPr>
                <w:lang w:val="en-GB"/>
              </w:rPr>
              <w:t>Near-flat verification gas (+5.6%); deployment gas +0.001%; on-chain proof size +10.6% and true calldata +11.2% (Table 4.6), both negligible against the 131-fold circuit-size growth.</w:t>
            </w:r>
          </w:p>
        </w:tc>
      </w:tr>
      <w:tr w:rsidR="00EE0075" w:rsidRPr="00F41211" w14:paraId="7071C79C" w14:textId="77777777" w:rsidTr="00570672">
        <w:tc>
          <w:tcPr>
            <w:tcW w:w="900" w:type="dxa"/>
          </w:tcPr>
          <w:p w14:paraId="7DB07A06" w14:textId="77777777" w:rsidR="00EE0075" w:rsidRPr="00F41211" w:rsidRDefault="00000000">
            <w:pPr>
              <w:rPr>
                <w:lang w:val="en-GB"/>
              </w:rPr>
            </w:pPr>
            <w:r w:rsidRPr="00F41211">
              <w:rPr>
                <w:lang w:val="en-GB"/>
              </w:rPr>
              <w:t>RQ4</w:t>
            </w:r>
          </w:p>
        </w:tc>
        <w:tc>
          <w:tcPr>
            <w:tcW w:w="3200" w:type="dxa"/>
          </w:tcPr>
          <w:p w14:paraId="76462952" w14:textId="77777777" w:rsidR="00EE0075" w:rsidRPr="00F41211" w:rsidRDefault="00000000">
            <w:pPr>
              <w:rPr>
                <w:lang w:val="en-GB"/>
              </w:rPr>
            </w:pPr>
            <w:r w:rsidRPr="00F41211">
              <w:rPr>
                <w:lang w:val="en-GB"/>
              </w:rPr>
              <w:t>Relationship between off-chain and on-chain cost</w:t>
            </w:r>
          </w:p>
        </w:tc>
        <w:tc>
          <w:tcPr>
            <w:tcW w:w="4500" w:type="dxa"/>
          </w:tcPr>
          <w:p w14:paraId="7CAC136A" w14:textId="77777777" w:rsidR="00EE0075" w:rsidRPr="00F41211" w:rsidRDefault="00000000">
            <w:pPr>
              <w:rPr>
                <w:lang w:val="en-GB"/>
              </w:rPr>
            </w:pPr>
            <w:r w:rsidRPr="00F41211">
              <w:rPr>
                <w:lang w:val="en-GB"/>
              </w:rPr>
              <w:t>Decoupling hypothesis supported: 131× circuit-size growth → only +5.6% verification-gas growth.</w:t>
            </w:r>
          </w:p>
        </w:tc>
      </w:tr>
    </w:tbl>
    <w:p w14:paraId="5803A07C" w14:textId="77777777" w:rsidR="00EE0075" w:rsidRPr="00F41211" w:rsidRDefault="00000000">
      <w:pPr>
        <w:spacing w:before="120" w:after="300"/>
        <w:jc w:val="center"/>
        <w:rPr>
          <w:lang w:val="en-GB"/>
        </w:rPr>
      </w:pPr>
      <w:r w:rsidRPr="00F41211">
        <w:rPr>
          <w:b/>
          <w:bCs/>
          <w:sz w:val="24"/>
          <w:szCs w:val="24"/>
          <w:lang w:val="en-GB"/>
        </w:rPr>
        <w:t>Table 5.1: Research Questions Mapped to Empirical Outcomes</w:t>
      </w:r>
    </w:p>
    <w:p w14:paraId="1E3095C8" w14:textId="531DCE39" w:rsidR="00EE0075" w:rsidRPr="00F41211" w:rsidRDefault="00000000">
      <w:pPr>
        <w:spacing w:before="280" w:after="160"/>
        <w:rPr>
          <w:lang w:val="en-GB"/>
        </w:rPr>
      </w:pPr>
      <w:r w:rsidRPr="00F41211">
        <w:rPr>
          <w:b/>
          <w:bCs/>
          <w:sz w:val="24"/>
          <w:szCs w:val="24"/>
          <w:lang w:val="en-GB"/>
        </w:rPr>
        <w:t>RQ1</w:t>
      </w:r>
      <w:r w:rsidR="00570672" w:rsidRPr="00F41211">
        <w:rPr>
          <w:b/>
          <w:bCs/>
          <w:sz w:val="24"/>
          <w:szCs w:val="24"/>
          <w:lang w:val="en-GB"/>
        </w:rPr>
        <w:t xml:space="preserve">: </w:t>
      </w:r>
      <w:r w:rsidRPr="00F41211">
        <w:rPr>
          <w:b/>
          <w:bCs/>
          <w:sz w:val="24"/>
          <w:szCs w:val="24"/>
          <w:lang w:val="en-GB"/>
        </w:rPr>
        <w:t>Circuit complexity and off-chain proving performance</w:t>
      </w:r>
    </w:p>
    <w:p w14:paraId="48EEE03D" w14:textId="77777777" w:rsidR="00EE0075" w:rsidRPr="00F41211" w:rsidRDefault="00000000">
      <w:pPr>
        <w:spacing w:after="200" w:line="360" w:lineRule="auto"/>
        <w:jc w:val="both"/>
        <w:rPr>
          <w:lang w:val="en-GB"/>
        </w:rPr>
      </w:pPr>
      <w:r w:rsidRPr="00F41211">
        <w:rPr>
          <w:sz w:val="24"/>
          <w:szCs w:val="24"/>
          <w:lang w:val="en-GB"/>
        </w:rPr>
        <w:t>Off-chain cost grew substantially and monotonically with circuit complexity. Mean proving time rose 196.7% from Scenario 1 to Scenario 4 (269.37 ms to 799.28 ms) while circuit size grew 131-fold (26 to 3,409 ACIR opcodes); compile time grew even more steeply (+387.1%), and peak memory grew 65.3% (73.44 MB to 121.43 MB), all while remaining a small fraction of the hardware's 8 GB budget. Run-level Spearman correlations confirmed these relationships were strong and statistically significant (attribute count vs. proving time ρ = 0.8999, p &lt; .001; attribute count vs. peak memory ρ = 0.9824, p &lt; .001). The off-chain proof itself was found to be exactly 14,656 bytes in every one of the 120 trials, a direct, measured confirmation of ZK-SNARK succinctness for that artefact specifically.</w:t>
      </w:r>
    </w:p>
    <w:p w14:paraId="0F1D620C" w14:textId="59A48B2A" w:rsidR="00EE0075" w:rsidRPr="00F41211" w:rsidRDefault="00000000">
      <w:pPr>
        <w:spacing w:before="280" w:after="160"/>
        <w:rPr>
          <w:lang w:val="en-GB"/>
        </w:rPr>
      </w:pPr>
      <w:r w:rsidRPr="00F41211">
        <w:rPr>
          <w:b/>
          <w:bCs/>
          <w:sz w:val="24"/>
          <w:szCs w:val="24"/>
          <w:lang w:val="en-GB"/>
        </w:rPr>
        <w:t>RQ2</w:t>
      </w:r>
      <w:r w:rsidR="00570672" w:rsidRPr="00F41211">
        <w:rPr>
          <w:b/>
          <w:bCs/>
          <w:sz w:val="24"/>
          <w:szCs w:val="24"/>
          <w:lang w:val="en-GB"/>
        </w:rPr>
        <w:t xml:space="preserve">: </w:t>
      </w:r>
      <w:r w:rsidRPr="00F41211">
        <w:rPr>
          <w:b/>
          <w:bCs/>
          <w:sz w:val="24"/>
          <w:szCs w:val="24"/>
          <w:lang w:val="en-GB"/>
        </w:rPr>
        <w:t>Circuit complexity and local verification performance</w:t>
      </w:r>
    </w:p>
    <w:p w14:paraId="754730AF" w14:textId="77777777" w:rsidR="00EE0075" w:rsidRPr="00F41211" w:rsidRDefault="00000000">
      <w:pPr>
        <w:spacing w:after="200" w:line="360" w:lineRule="auto"/>
        <w:jc w:val="both"/>
        <w:rPr>
          <w:lang w:val="en-GB"/>
        </w:rPr>
      </w:pPr>
      <w:r w:rsidRPr="00F41211">
        <w:rPr>
          <w:sz w:val="24"/>
          <w:szCs w:val="24"/>
          <w:lang w:val="en-GB"/>
        </w:rPr>
        <w:t>Local verification time stayed close to flat (14.67 ms to 15.87 ms mean across all four scenarios), confirming the Plonk-family expectation that verification cost is largely decoupled from circuit size, even though a weak but statistically significant correlation was detected (ρ = 0.2759, p = .0023).</w:t>
      </w:r>
    </w:p>
    <w:p w14:paraId="4723B0F8" w14:textId="61FDE645" w:rsidR="00EE0075" w:rsidRPr="00F41211" w:rsidRDefault="00000000">
      <w:pPr>
        <w:spacing w:before="280" w:after="160"/>
        <w:rPr>
          <w:lang w:val="en-GB"/>
        </w:rPr>
      </w:pPr>
      <w:r w:rsidRPr="00F41211">
        <w:rPr>
          <w:b/>
          <w:bCs/>
          <w:sz w:val="24"/>
          <w:szCs w:val="24"/>
          <w:lang w:val="en-GB"/>
        </w:rPr>
        <w:t>RQ3</w:t>
      </w:r>
      <w:r w:rsidR="00570672" w:rsidRPr="00F41211">
        <w:rPr>
          <w:b/>
          <w:bCs/>
          <w:sz w:val="24"/>
          <w:szCs w:val="24"/>
          <w:lang w:val="en-GB"/>
        </w:rPr>
        <w:t>:</w:t>
      </w:r>
      <w:r w:rsidRPr="00F41211">
        <w:rPr>
          <w:b/>
          <w:bCs/>
          <w:sz w:val="24"/>
          <w:szCs w:val="24"/>
          <w:lang w:val="en-GB"/>
        </w:rPr>
        <w:t xml:space="preserve"> Ethereum verification cost</w:t>
      </w:r>
    </w:p>
    <w:p w14:paraId="3F48FCA0" w14:textId="77777777" w:rsidR="00EE0075" w:rsidRPr="00F41211" w:rsidRDefault="00000000">
      <w:pPr>
        <w:spacing w:after="200" w:line="360" w:lineRule="auto"/>
        <w:jc w:val="both"/>
        <w:rPr>
          <w:lang w:val="en-GB"/>
        </w:rPr>
      </w:pPr>
      <w:r w:rsidRPr="00F41211">
        <w:rPr>
          <w:sz w:val="24"/>
          <w:szCs w:val="24"/>
          <w:lang w:val="en-GB"/>
        </w:rPr>
        <w:t>Ethereum verification gas stayed close to flat, growing only 5.6% (2,712,250 to 2,862,899 mean gas) despite the 131-fold growth in circuit size; deployment gas was effectively invariant (+0.001%). The proof actually submitted on-chain (a separate, EVM/Keccak-targeted artefact from the off-chain proof discussed under RQ1) grew modestly, from 7,232 to 8,000 bytes (+10.6%), and true transaction calldata grew from 7,396 to 8,228 bytes (+11.2%) — both figures corrected during review after an earlier draft conflated the on-chain proof with the off-</w:t>
      </w:r>
      <w:r w:rsidRPr="00F41211">
        <w:rPr>
          <w:sz w:val="24"/>
          <w:szCs w:val="24"/>
          <w:lang w:val="en-GB"/>
        </w:rPr>
        <w:lastRenderedPageBreak/>
        <w:t>chain one (Section 4.6). Neither correction changes the substantive conclusion: 10.6% and 11.2% growth remain negligible next to the underlying circuit's 131-fold growth.</w:t>
      </w:r>
    </w:p>
    <w:p w14:paraId="6E105A7E" w14:textId="6EA8DBD3" w:rsidR="00EE0075" w:rsidRPr="00F41211" w:rsidRDefault="00000000">
      <w:pPr>
        <w:spacing w:before="280" w:after="160"/>
        <w:rPr>
          <w:lang w:val="en-GB"/>
        </w:rPr>
      </w:pPr>
      <w:r w:rsidRPr="00F41211">
        <w:rPr>
          <w:b/>
          <w:bCs/>
          <w:sz w:val="24"/>
          <w:szCs w:val="24"/>
          <w:lang w:val="en-GB"/>
        </w:rPr>
        <w:t>RQ4</w:t>
      </w:r>
      <w:r w:rsidR="00570672" w:rsidRPr="00F41211">
        <w:rPr>
          <w:b/>
          <w:bCs/>
          <w:sz w:val="24"/>
          <w:szCs w:val="24"/>
          <w:lang w:val="en-GB"/>
        </w:rPr>
        <w:t>:</w:t>
      </w:r>
      <w:r w:rsidRPr="00F41211">
        <w:rPr>
          <w:b/>
          <w:bCs/>
          <w:sz w:val="24"/>
          <w:szCs w:val="24"/>
          <w:lang w:val="en-GB"/>
        </w:rPr>
        <w:t xml:space="preserve"> Relationship between off-chain and on-chain cost</w:t>
      </w:r>
    </w:p>
    <w:p w14:paraId="046C81D9" w14:textId="77777777" w:rsidR="00EE0075" w:rsidRPr="00F41211" w:rsidRDefault="00000000">
      <w:pPr>
        <w:spacing w:after="200" w:line="360" w:lineRule="auto"/>
        <w:jc w:val="both"/>
        <w:rPr>
          <w:lang w:val="en-GB"/>
        </w:rPr>
      </w:pPr>
      <w:r w:rsidRPr="00F41211">
        <w:rPr>
          <w:sz w:val="24"/>
          <w:szCs w:val="24"/>
          <w:lang w:val="en-GB"/>
        </w:rPr>
        <w:t>The central decoupling hypothesis was empirically supported: a 131-fold increase in circuit size and a near-tripling of proving cost were absorbed by only a 5.6% increase in on-chain verification gas, confirming that, for this implementation, off-chain and on-chain cost scale at fundamentally different rates. This finding was not affected by the proof-size/calldata correction, since it rests on proving_time and ethereum_gas, neither of which changed.</w:t>
      </w:r>
    </w:p>
    <w:p w14:paraId="51BE0EDD" w14:textId="77777777" w:rsidR="00EE0075" w:rsidRPr="00F41211" w:rsidRDefault="00000000">
      <w:pPr>
        <w:spacing w:after="200" w:line="360" w:lineRule="auto"/>
        <w:jc w:val="both"/>
        <w:rPr>
          <w:lang w:val="en-GB"/>
        </w:rPr>
      </w:pPr>
      <w:r w:rsidRPr="00F41211">
        <w:rPr>
          <w:sz w:val="24"/>
          <w:szCs w:val="24"/>
          <w:lang w:val="en-GB"/>
        </w:rPr>
        <w:t>A supplementary finding, outside the original four research questions but methodologically important, is the perfect trial success rate: all 120 off-chain trials succeeded, with peak memory never exceeding 122 MB against the study's 8 GB budget. The specific concern raised in Section 3.4 about Scenario 4 approaching resource exhaustion did not materialize at the circuit sizes tested here.</w:t>
      </w:r>
    </w:p>
    <w:p w14:paraId="034D147F" w14:textId="77777777" w:rsidR="00EE0075" w:rsidRPr="00F41211" w:rsidRDefault="00000000">
      <w:pPr>
        <w:spacing w:before="360" w:after="200"/>
        <w:rPr>
          <w:lang w:val="en-GB"/>
        </w:rPr>
      </w:pPr>
      <w:r w:rsidRPr="00F41211">
        <w:rPr>
          <w:b/>
          <w:bCs/>
          <w:sz w:val="24"/>
          <w:szCs w:val="24"/>
          <w:lang w:val="en-GB"/>
        </w:rPr>
        <w:t>5.3 Conclusions</w:t>
      </w:r>
    </w:p>
    <w:p w14:paraId="3F18084E" w14:textId="77777777" w:rsidR="00EE0075" w:rsidRPr="00F41211" w:rsidRDefault="00000000">
      <w:pPr>
        <w:spacing w:after="200" w:line="360" w:lineRule="auto"/>
        <w:jc w:val="both"/>
        <w:rPr>
          <w:lang w:val="en-GB"/>
        </w:rPr>
      </w:pPr>
      <w:r w:rsidRPr="00F41211">
        <w:rPr>
          <w:sz w:val="24"/>
          <w:szCs w:val="24"/>
          <w:lang w:val="en-GB"/>
        </w:rPr>
        <w:t>Based on the findings summarized above, the study draws the following conclusions:</w:t>
      </w:r>
    </w:p>
    <w:p w14:paraId="18036CB6" w14:textId="77777777" w:rsidR="00EE0075" w:rsidRPr="00F41211" w:rsidRDefault="00000000">
      <w:pPr>
        <w:spacing w:after="200" w:line="360" w:lineRule="auto"/>
        <w:ind w:left="720" w:hanging="360"/>
        <w:jc w:val="both"/>
        <w:rPr>
          <w:lang w:val="en-GB"/>
        </w:rPr>
      </w:pPr>
      <w:r w:rsidRPr="00F41211">
        <w:rPr>
          <w:sz w:val="24"/>
          <w:szCs w:val="24"/>
          <w:lang w:val="en-GB"/>
        </w:rPr>
        <w:t>1. The Noir/Barretenberg/Ethereum pipeline is practically efficient for attribute-based credential verification. Off-chain proving cost, while it grows with predicate complexity, remained within roughly a second (a 1.11-second maximum) even for the most complex sixteen-attribute, Merkle-augmented scenario evaluated, on a five-year-old, two-core consumer laptop CPU; on-chain verification cost stayed within a narrow, predictable band (a 5.6% spread) regardless of which of the four scenarios was verified.</w:t>
      </w:r>
    </w:p>
    <w:p w14:paraId="566E3A76" w14:textId="77777777" w:rsidR="00EE0075" w:rsidRPr="00F41211" w:rsidRDefault="00000000">
      <w:pPr>
        <w:spacing w:after="200" w:line="360" w:lineRule="auto"/>
        <w:ind w:left="720" w:hanging="360"/>
        <w:jc w:val="both"/>
        <w:rPr>
          <w:lang w:val="en-GB"/>
        </w:rPr>
      </w:pPr>
      <w:r w:rsidRPr="00F41211">
        <w:rPr>
          <w:sz w:val="24"/>
          <w:szCs w:val="24"/>
          <w:lang w:val="en-GB"/>
        </w:rPr>
        <w:t>2. Predicate complexity, not raw attribute count, is the dominant driver of circuit size and therefore of off-chain cost. The disproportionate jump in circuit size between Scenario 2 and Scenario 3 (Section 4.2), attributable to the introduction of a single Poseidon commitment check rather than to the modest increase in attribute count, demonstrates that architects cannot budget for a credential circuit's cost by counting attributes alone; the specific cryptographic operations a predicate requires must be accounted for directly.</w:t>
      </w:r>
    </w:p>
    <w:p w14:paraId="5DC5B17C" w14:textId="77777777" w:rsidR="00EE0075" w:rsidRPr="00F41211" w:rsidRDefault="00000000">
      <w:pPr>
        <w:spacing w:after="200" w:line="360" w:lineRule="auto"/>
        <w:ind w:left="720" w:hanging="360"/>
        <w:jc w:val="both"/>
        <w:rPr>
          <w:lang w:val="en-GB"/>
        </w:rPr>
      </w:pPr>
      <w:r w:rsidRPr="00F41211">
        <w:rPr>
          <w:sz w:val="24"/>
          <w:szCs w:val="24"/>
          <w:lang w:val="en-GB"/>
        </w:rPr>
        <w:t xml:space="preserve">3. Succinctness holds exactly for the off-chain proof and holds practically, though not exactly, for the on-chain one. A proof size of precisely 14,656 bytes across 120 </w:t>
      </w:r>
      <w:r w:rsidRPr="00F41211">
        <w:rPr>
          <w:sz w:val="24"/>
          <w:szCs w:val="24"/>
          <w:lang w:val="en-GB"/>
        </w:rPr>
        <w:lastRenderedPageBreak/>
        <w:t>independently generated off-chain proofs spanning four structurally different circuits is direct evidence that the off-chain proving artefact's size is governed by the proving scheme, not by the complexity of the claim being proven. The separate, on-chain proof that actually determines blockchain calldata is not exactly invariant — it grows a modest 10.6% (7,232 to 8,000 bytes) across the same range — but this growth is still negligible next to the underlying circuit's 131-fold increase, so the practical conclusion (blockchain storage and calldata cost stay nearly flat regardless of predicate complexity) still holds, even though the earlier, stronger claim of exact on-chain invariance, caught in review, does not.</w:t>
      </w:r>
    </w:p>
    <w:p w14:paraId="0436BC1D" w14:textId="77777777" w:rsidR="00EE0075" w:rsidRPr="00F41211" w:rsidRDefault="00000000">
      <w:pPr>
        <w:spacing w:after="200" w:line="360" w:lineRule="auto"/>
        <w:ind w:left="720" w:hanging="360"/>
        <w:jc w:val="both"/>
        <w:rPr>
          <w:lang w:val="en-GB"/>
        </w:rPr>
      </w:pPr>
      <w:r w:rsidRPr="00F41211">
        <w:rPr>
          <w:sz w:val="24"/>
          <w:szCs w:val="24"/>
          <w:lang w:val="en-GB"/>
        </w:rPr>
        <w:t>4. The decoupling of off-chain and on-chain cost is the structural property that makes this pipeline well suited to the single-prover, gas-constrained verification setting the study targeted, and it is precisely the property Secure Multi-Party Computation's cost model does not share (Section 4.8). SMPC would only become the structurally preferable choice for a use case this study did not test: one that genuinely requires several mutually distrusting parties to compute jointly over data no single party may hold in the clear.</w:t>
      </w:r>
    </w:p>
    <w:p w14:paraId="42DB64C0" w14:textId="77777777" w:rsidR="00EE0075" w:rsidRPr="00F41211" w:rsidRDefault="00000000">
      <w:pPr>
        <w:spacing w:before="360" w:after="200"/>
        <w:rPr>
          <w:lang w:val="en-GB"/>
        </w:rPr>
      </w:pPr>
      <w:r w:rsidRPr="00F41211">
        <w:rPr>
          <w:b/>
          <w:bCs/>
          <w:sz w:val="24"/>
          <w:szCs w:val="24"/>
          <w:lang w:val="en-GB"/>
        </w:rPr>
        <w:t>5.4 Recommendations</w:t>
      </w:r>
    </w:p>
    <w:p w14:paraId="75B4E6C6" w14:textId="77777777" w:rsidR="00EE0075" w:rsidRPr="00F41211" w:rsidRDefault="00000000">
      <w:pPr>
        <w:spacing w:before="280" w:after="160"/>
        <w:rPr>
          <w:lang w:val="en-GB"/>
        </w:rPr>
      </w:pPr>
      <w:r w:rsidRPr="00F41211">
        <w:rPr>
          <w:b/>
          <w:bCs/>
          <w:sz w:val="24"/>
          <w:szCs w:val="24"/>
          <w:lang w:val="en-GB"/>
        </w:rPr>
        <w:t>5.4.1 Recommendations for Developers and Architects</w:t>
      </w:r>
    </w:p>
    <w:p w14:paraId="38062FA5" w14:textId="77777777" w:rsidR="00EE0075" w:rsidRPr="00F41211" w:rsidRDefault="00000000">
      <w:pPr>
        <w:spacing w:after="200" w:line="360" w:lineRule="auto"/>
        <w:ind w:left="720" w:hanging="360"/>
        <w:jc w:val="both"/>
        <w:rPr>
          <w:lang w:val="en-GB"/>
        </w:rPr>
      </w:pPr>
      <w:r w:rsidRPr="00F41211">
        <w:rPr>
          <w:sz w:val="24"/>
          <w:szCs w:val="24"/>
          <w:lang w:val="en-GB"/>
        </w:rPr>
        <w:t>1. Budget circuit complexity by predicate, not by attribute count. When estimating the proving-time cost of a new credential predicate, developers should profile the actual cryptographic operations involved (a hash commitment, a Merkle proof, a range check) rather than assuming cost scales with the number of attributes disclosed.</w:t>
      </w:r>
    </w:p>
    <w:p w14:paraId="605E8E34" w14:textId="77777777" w:rsidR="00EE0075" w:rsidRPr="00F41211" w:rsidRDefault="00000000">
      <w:pPr>
        <w:spacing w:after="200" w:line="360" w:lineRule="auto"/>
        <w:ind w:left="720" w:hanging="360"/>
        <w:jc w:val="both"/>
        <w:rPr>
          <w:lang w:val="en-GB"/>
        </w:rPr>
      </w:pPr>
      <w:r w:rsidRPr="00F41211">
        <w:rPr>
          <w:sz w:val="24"/>
          <w:szCs w:val="24"/>
          <w:lang w:val="en-GB"/>
        </w:rPr>
        <w:t>2. Prefer ZK-friendly primitives. The disproportionate circuit-size cost of introducing a Poseidon commitment (Section 4.2) would very likely have been substantially worse with a conventional hash function such as SHA-256 (Section 3.7); developers implementing similar systems should default to ZK-friendly primitives for any hashing embedded in a predicate.</w:t>
      </w:r>
    </w:p>
    <w:p w14:paraId="268242C0" w14:textId="77777777" w:rsidR="00EE0075" w:rsidRPr="00F41211" w:rsidRDefault="00000000">
      <w:pPr>
        <w:spacing w:after="200" w:line="360" w:lineRule="auto"/>
        <w:ind w:left="720" w:hanging="360"/>
        <w:jc w:val="both"/>
        <w:rPr>
          <w:lang w:val="en-GB"/>
        </w:rPr>
      </w:pPr>
      <w:r w:rsidRPr="00F41211">
        <w:rPr>
          <w:sz w:val="24"/>
          <w:szCs w:val="24"/>
          <w:lang w:val="en-GB"/>
        </w:rPr>
        <w:t xml:space="preserve">3. Report proving cost and verification cost as separate figures, not a blended one. Because this study's own results show off-chain and on-chain cost scaling at fundamentally different rates (Section 4.7), documentation or marketing material for a credential system should never present a single combined “performance” number; doing so </w:t>
      </w:r>
      <w:r w:rsidRPr="00F41211">
        <w:rPr>
          <w:sz w:val="24"/>
          <w:szCs w:val="24"/>
          <w:lang w:val="en-GB"/>
        </w:rPr>
        <w:lastRenderedPageBreak/>
        <w:t>obscures which party (the holder's device, or the verifying contract's caller) actually bears which cost.</w:t>
      </w:r>
    </w:p>
    <w:p w14:paraId="6E477BC4" w14:textId="77777777" w:rsidR="00EE0075" w:rsidRPr="00F41211" w:rsidRDefault="00000000">
      <w:pPr>
        <w:spacing w:after="200" w:line="360" w:lineRule="auto"/>
        <w:ind w:left="720" w:hanging="360"/>
        <w:jc w:val="both"/>
        <w:rPr>
          <w:lang w:val="en-GB"/>
        </w:rPr>
      </w:pPr>
      <w:r w:rsidRPr="00F41211">
        <w:rPr>
          <w:sz w:val="24"/>
          <w:szCs w:val="24"/>
          <w:lang w:val="en-GB"/>
        </w:rPr>
        <w:t>4. Never assume two measurements of “proof size” refer to the same artefact. This study's own proof-size/calldata correction (Section 4.6) shows how easily an off-chain proving-target artefact and an on-chain verification-target artefact can be conflated under one label; teams building or benchmarking a similar pipeline should name each proving target explicitly in their data schema from the outset, and run the simple consistency check (calldata ≥ selector + proof bytes + public-input bytes) before reporting either figure.</w:t>
      </w:r>
    </w:p>
    <w:p w14:paraId="4763FB00" w14:textId="77777777" w:rsidR="00EE0075" w:rsidRPr="00F41211" w:rsidRDefault="00000000">
      <w:pPr>
        <w:spacing w:after="200" w:line="360" w:lineRule="auto"/>
        <w:ind w:left="720" w:hanging="360"/>
        <w:jc w:val="both"/>
        <w:rPr>
          <w:lang w:val="en-GB"/>
        </w:rPr>
      </w:pPr>
      <w:r w:rsidRPr="00F41211">
        <w:rPr>
          <w:sz w:val="24"/>
          <w:szCs w:val="24"/>
          <w:lang w:val="en-GB"/>
        </w:rPr>
        <w:t>5. Validate memory headroom directly rather than assuming it. Although memory pressure was not a binding constraint for the circuit sizes tested here (Section 4.3), this was an empirical finding specific to this study's circuits and hardware, not a general property of Noir/Barretenberg circuits; teams targeting substantially larger predicate sets or deeper Merkle trees should re-run an equivalent memory-budget check before deployment.</w:t>
      </w:r>
    </w:p>
    <w:p w14:paraId="61A0FEF2" w14:textId="77777777" w:rsidR="00EE0075" w:rsidRPr="00F41211" w:rsidRDefault="00000000">
      <w:pPr>
        <w:spacing w:after="200" w:line="360" w:lineRule="auto"/>
        <w:ind w:left="720" w:hanging="360"/>
        <w:jc w:val="both"/>
        <w:rPr>
          <w:lang w:val="en-GB"/>
        </w:rPr>
      </w:pPr>
      <w:r w:rsidRPr="00F41211">
        <w:rPr>
          <w:sz w:val="24"/>
          <w:szCs w:val="24"/>
          <w:lang w:val="en-GB"/>
        </w:rPr>
        <w:t>6. Where a live, client-facing proving experience is required, plan for the one-time reference string download. A companion browser demonstration built alongside this thesis confirmed that client-side, in-browser proving using NoirJS and bb.js is practically achievable and produces proofs verifiable by the same deployed Solidity contracts as the CLI pipeline; the only material UX cost is a one-time download of Barretenberg's structured reference string on a user's first proof of a session, which developers should account for in onboarding flows.</w:t>
      </w:r>
    </w:p>
    <w:p w14:paraId="786182D8" w14:textId="77777777" w:rsidR="00EE0075" w:rsidRPr="00F41211" w:rsidRDefault="00000000">
      <w:pPr>
        <w:spacing w:before="280" w:after="160"/>
        <w:rPr>
          <w:lang w:val="en-GB"/>
        </w:rPr>
      </w:pPr>
      <w:r w:rsidRPr="00F41211">
        <w:rPr>
          <w:b/>
          <w:bCs/>
          <w:sz w:val="24"/>
          <w:szCs w:val="24"/>
          <w:lang w:val="en-GB"/>
        </w:rPr>
        <w:t>5.4.2 Recommendations for Future Research</w:t>
      </w:r>
    </w:p>
    <w:p w14:paraId="4FE59F1D" w14:textId="77777777" w:rsidR="00EE0075" w:rsidRPr="00F41211" w:rsidRDefault="00000000">
      <w:pPr>
        <w:spacing w:after="200" w:line="360" w:lineRule="auto"/>
        <w:ind w:left="720" w:hanging="360"/>
        <w:jc w:val="both"/>
        <w:rPr>
          <w:lang w:val="en-GB"/>
        </w:rPr>
      </w:pPr>
      <w:r w:rsidRPr="00F41211">
        <w:rPr>
          <w:sz w:val="24"/>
          <w:szCs w:val="24"/>
          <w:lang w:val="en-GB"/>
        </w:rPr>
        <w:t>1. Extend the complexity gradient with intermediate attribute counts. As already anticipated in Section 3.11.3, adding intermediate points (for example one, two, four, eight, twelve and sixteen attributes) would support a proper inferential regression of proving cost against complexity, which the four coarse-grained scenario points used here could only support descriptively.</w:t>
      </w:r>
    </w:p>
    <w:p w14:paraId="3716051C" w14:textId="77777777" w:rsidR="00EE0075" w:rsidRPr="00F41211" w:rsidRDefault="00000000">
      <w:pPr>
        <w:spacing w:after="200" w:line="360" w:lineRule="auto"/>
        <w:ind w:left="720" w:hanging="360"/>
        <w:jc w:val="both"/>
        <w:rPr>
          <w:lang w:val="en-GB"/>
        </w:rPr>
      </w:pPr>
      <w:r w:rsidRPr="00F41211">
        <w:rPr>
          <w:sz w:val="24"/>
          <w:szCs w:val="24"/>
          <w:lang w:val="en-GB"/>
        </w:rPr>
        <w:t xml:space="preserve">2. Test on a wider range of hardware profiles, including GPU-accelerated and server-grade environments, to establish how the proving-time figures reported here shift outside the </w:t>
      </w:r>
      <w:r w:rsidRPr="00F41211">
        <w:rPr>
          <w:sz w:val="24"/>
          <w:szCs w:val="24"/>
          <w:lang w:val="en-GB"/>
        </w:rPr>
        <w:lastRenderedPageBreak/>
        <w:t>single consumer-laptop profile evaluated in this study (Section 3.4), consistent with the hardware-sensitivity effects Chapter Two's literature already documents (Base, 2025).</w:t>
      </w:r>
    </w:p>
    <w:p w14:paraId="62CEDA63" w14:textId="77777777" w:rsidR="00EE0075" w:rsidRPr="00F41211" w:rsidRDefault="00000000">
      <w:pPr>
        <w:spacing w:after="200" w:line="360" w:lineRule="auto"/>
        <w:ind w:left="720" w:hanging="360"/>
        <w:jc w:val="both"/>
        <w:rPr>
          <w:lang w:val="en-GB"/>
        </w:rPr>
      </w:pPr>
      <w:r w:rsidRPr="00F41211">
        <w:rPr>
          <w:sz w:val="24"/>
          <w:szCs w:val="24"/>
          <w:lang w:val="en-GB"/>
        </w:rPr>
        <w:t>3. Deliberately push circuit complexity into the resource-exhaustion regime. Because none of the four scenarios approached the 8 GB memory budget (Section 4.3), a useful follow-up would test substantially larger attribute sets or deeper Merkle trees specifically to characterize where and how this pipeline fails, rather than only where it succeeds.</w:t>
      </w:r>
    </w:p>
    <w:p w14:paraId="349CF24A" w14:textId="77777777" w:rsidR="00EE0075" w:rsidRPr="00F41211" w:rsidRDefault="00000000">
      <w:pPr>
        <w:spacing w:after="200" w:line="360" w:lineRule="auto"/>
        <w:ind w:left="720" w:hanging="360"/>
        <w:jc w:val="both"/>
        <w:rPr>
          <w:lang w:val="en-GB"/>
        </w:rPr>
      </w:pPr>
      <w:r w:rsidRPr="00F41211">
        <w:rPr>
          <w:sz w:val="24"/>
          <w:szCs w:val="24"/>
          <w:lang w:val="en-GB"/>
        </w:rPr>
        <w:t>4. Confirm the estimated intrinsic transaction overhead against a live mined transaction. Section 4.6 computes, but does not independently re-measure on a live chain, the additional base-fee and calldata gas (approximately 130,168 to 143,168 gas depending on scenario) a real end-user transaction would incur beyond the isolated verification-gas figure; closing that loop end to end on a public testnet is a natural next step.</w:t>
      </w:r>
    </w:p>
    <w:p w14:paraId="0407D10F" w14:textId="77777777" w:rsidR="00EE0075" w:rsidRPr="00F41211" w:rsidRDefault="00000000">
      <w:pPr>
        <w:spacing w:after="200" w:line="360" w:lineRule="auto"/>
        <w:ind w:left="720" w:hanging="360"/>
        <w:jc w:val="both"/>
        <w:rPr>
          <w:lang w:val="en-GB"/>
        </w:rPr>
      </w:pPr>
      <w:r w:rsidRPr="00F41211">
        <w:rPr>
          <w:sz w:val="24"/>
          <w:szCs w:val="24"/>
          <w:lang w:val="en-GB"/>
        </w:rPr>
        <w:t>5. Conduct an empirical, not only conceptual, comparison against Secure Multi-Party Computation. This study engaged SMPC as a conceptual comparator only (Section 4.8, per the scope set in Section 1.7); a genuine head-to-head benchmark implementing an equivalent credential predicate in an SMPC framework would allow the decoupling argument made here to be tested quantitatively rather than argued qualitatively.</w:t>
      </w:r>
    </w:p>
    <w:p w14:paraId="3AEBED90" w14:textId="77777777" w:rsidR="00EE0075" w:rsidRPr="00F41211" w:rsidRDefault="00000000">
      <w:pPr>
        <w:spacing w:after="200" w:line="360" w:lineRule="auto"/>
        <w:ind w:left="720" w:hanging="360"/>
        <w:jc w:val="both"/>
        <w:rPr>
          <w:lang w:val="en-GB"/>
        </w:rPr>
      </w:pPr>
      <w:r w:rsidRPr="00F41211">
        <w:rPr>
          <w:sz w:val="24"/>
          <w:szCs w:val="24"/>
          <w:lang w:val="en-GB"/>
        </w:rPr>
        <w:t>6. Evaluate the cost of credential revocation. Revocation was explicitly excluded from this study's scope (Section 2.3.3, Section 3.14); given that Xu et al. (2023) found revocation mechanisms add measurable overhead in a different credential architecture, a natural extension is to measure that overhead specifically for the Noir/Barretenberg/Ethereum circuits evaluated here.</w:t>
      </w:r>
    </w:p>
    <w:p w14:paraId="0805813C" w14:textId="77777777" w:rsidR="00EE0075" w:rsidRPr="00F41211" w:rsidRDefault="00000000">
      <w:pPr>
        <w:spacing w:after="200" w:line="360" w:lineRule="auto"/>
        <w:ind w:left="720" w:hanging="360"/>
        <w:jc w:val="both"/>
        <w:rPr>
          <w:lang w:val="en-GB"/>
        </w:rPr>
      </w:pPr>
      <w:r w:rsidRPr="00F41211">
        <w:rPr>
          <w:sz w:val="24"/>
          <w:szCs w:val="24"/>
          <w:lang w:val="en-GB"/>
        </w:rPr>
        <w:t>7. Extend gas measurement to public-network conditions. This study's Ethereum figures come exclusively from a local, deterministic EVM environment by design (Section 3.8.1); a supplementary study on Sepolia or mainnet, with base-fee and congestion effects reported separately, would extend the practical, cost-in-fiat picture this thesis deliberately left out of primary scope.</w:t>
      </w:r>
    </w:p>
    <w:p w14:paraId="563B9F0E" w14:textId="77777777" w:rsidR="00EE0075" w:rsidRPr="00F41211" w:rsidRDefault="00000000">
      <w:pPr>
        <w:spacing w:before="360" w:after="200"/>
        <w:rPr>
          <w:lang w:val="en-GB"/>
        </w:rPr>
      </w:pPr>
      <w:r w:rsidRPr="00F41211">
        <w:rPr>
          <w:b/>
          <w:bCs/>
          <w:sz w:val="24"/>
          <w:szCs w:val="24"/>
          <w:lang w:val="en-GB"/>
        </w:rPr>
        <w:t>5.5 Contribution to Knowledge</w:t>
      </w:r>
    </w:p>
    <w:p w14:paraId="4851C822" w14:textId="4A5F7AA1" w:rsidR="00EE0075" w:rsidRPr="00F41211" w:rsidRDefault="00000000">
      <w:pPr>
        <w:spacing w:after="200" w:line="360" w:lineRule="auto"/>
        <w:jc w:val="both"/>
        <w:rPr>
          <w:lang w:val="en-GB"/>
        </w:rPr>
      </w:pPr>
      <w:r w:rsidRPr="00F41211">
        <w:rPr>
          <w:sz w:val="24"/>
          <w:szCs w:val="24"/>
          <w:lang w:val="en-GB"/>
        </w:rPr>
        <w:t>This study closes the specific empirical gap identified in Section 2.9: the absence of a controlled, end-to-end benchmark connecting Noir/Barretenberg circuit complexity to both off-</w:t>
      </w:r>
      <w:r w:rsidRPr="00F41211">
        <w:rPr>
          <w:sz w:val="24"/>
          <w:szCs w:val="24"/>
          <w:lang w:val="en-GB"/>
        </w:rPr>
        <w:lastRenderedPageBreak/>
        <w:t>chain proving resources and on-chain Ethereum verification cost for an attribute-based credential circuit specifically, rather than for a generic cryptographic primitive or transaction-style application. It contributes, to the author's knowledge, the first published measurement confirming exact, zero-variance proof-size succinctness for an off-chain UltraHonk-proven credential circuit across a two-order-of-magnitude range of circuit complexity, together with a careful, explicitly-labelled separation of that off-chain artefact from the distinct on-chain (EVM-target) proof that actually determines blockchain calldata</w:t>
      </w:r>
      <w:r w:rsidR="00562C0E" w:rsidRPr="00F41211">
        <w:rPr>
          <w:sz w:val="24"/>
          <w:szCs w:val="24"/>
          <w:lang w:val="en-GB"/>
        </w:rPr>
        <w:t xml:space="preserve">, </w:t>
      </w:r>
      <w:r w:rsidRPr="00F41211">
        <w:rPr>
          <w:sz w:val="24"/>
          <w:szCs w:val="24"/>
          <w:lang w:val="en-GB"/>
        </w:rPr>
        <w:t>a distinction this study's own review process demonstrated is easy to lose track of, and one future benchmarks of this kind should name explicitly from the outset. It further contributes a quantitative reading of the ZK-SNARK/SMPC design trade-off grounded in real Noir/Ethereum measurements rather than in the two paradigms' cost models alone. The complete reproducibility package, circuit source, synthetic data generator, benchmarking harness, verifier contracts, and raw datasets (Section 3.12.3), including the corrective scripts and before/after data from the review process, is preserved alongside this thesis so that the specific numbers reported in Chapter Four can be independently re-derived or extended.</w:t>
      </w:r>
    </w:p>
    <w:p w14:paraId="04779759" w14:textId="77777777" w:rsidR="00EE0075" w:rsidRPr="00F41211" w:rsidRDefault="00000000">
      <w:pPr>
        <w:spacing w:before="360" w:after="200"/>
        <w:rPr>
          <w:lang w:val="en-GB"/>
        </w:rPr>
      </w:pPr>
      <w:r w:rsidRPr="00F41211">
        <w:rPr>
          <w:b/>
          <w:bCs/>
          <w:sz w:val="24"/>
          <w:szCs w:val="24"/>
          <w:lang w:val="en-GB"/>
        </w:rPr>
        <w:t>5.6 Chapter Summary</w:t>
      </w:r>
    </w:p>
    <w:p w14:paraId="1E5E6788" w14:textId="20EDBFF7" w:rsidR="00EE0075" w:rsidRPr="00F41211" w:rsidRDefault="00000000">
      <w:pPr>
        <w:spacing w:after="200" w:line="360" w:lineRule="auto"/>
        <w:jc w:val="both"/>
        <w:rPr>
          <w:sz w:val="24"/>
          <w:szCs w:val="24"/>
          <w:lang w:val="en-GB"/>
        </w:rPr>
      </w:pPr>
      <w:r w:rsidRPr="00F41211">
        <w:rPr>
          <w:sz w:val="24"/>
          <w:szCs w:val="24"/>
          <w:lang w:val="en-GB"/>
        </w:rPr>
        <w:t>This chapter summarized the study's empirical findings against each of its four research questions, drew four conclusions from that evidence, and translated them into six recommendations for developers and six directions for future research. The central conclusion is that the ZK-SNARK/Noir/Ethereum pipeline evaluated in this thesis decouples off-chain proving cost from on-chain verification cost in practice, not merely in theory, for the specific attribute-based credential circuits benchmarked, and that this decoupling is the structural property that makes the pipeline well suited to the single-prover, gas-constrained verification setting the study set out to evaluate. A measurement defect caught during review, conflating two distinct proof artefacts, was corrected at the data level rather than the prose level, and left this central conclusion unchanged.</w:t>
      </w:r>
      <w:r w:rsidR="008578A9" w:rsidRPr="00F41211">
        <w:rPr>
          <w:sz w:val="24"/>
          <w:szCs w:val="24"/>
          <w:lang w:val="en-GB"/>
        </w:rPr>
        <w:br w:type="page"/>
      </w:r>
    </w:p>
    <w:p w14:paraId="45AE1280" w14:textId="77777777" w:rsidR="00EE0075" w:rsidRPr="00F41211" w:rsidRDefault="00000000">
      <w:pPr>
        <w:spacing w:before="360" w:after="200"/>
        <w:rPr>
          <w:lang w:val="en-GB"/>
        </w:rPr>
      </w:pPr>
      <w:r w:rsidRPr="00F41211">
        <w:rPr>
          <w:b/>
          <w:bCs/>
          <w:sz w:val="24"/>
          <w:szCs w:val="24"/>
          <w:lang w:val="en-GB"/>
        </w:rPr>
        <w:lastRenderedPageBreak/>
        <w:t>REFERENCES</w:t>
      </w:r>
    </w:p>
    <w:p w14:paraId="42089EED" w14:textId="77777777" w:rsidR="00EE0075" w:rsidRPr="00F41211" w:rsidRDefault="00000000">
      <w:pPr>
        <w:spacing w:after="200" w:line="360" w:lineRule="auto"/>
        <w:ind w:left="720" w:hanging="720"/>
        <w:jc w:val="both"/>
        <w:rPr>
          <w:lang w:val="en-GB"/>
        </w:rPr>
      </w:pPr>
      <w:r w:rsidRPr="00F41211">
        <w:rPr>
          <w:sz w:val="24"/>
          <w:szCs w:val="24"/>
          <w:lang w:val="en-GB"/>
        </w:rPr>
        <w:t>Base. (2025, September 3). Benchmarking ZKP systems for passkey ECDSA verification. Base Blog. https://blog.base.dev/benchmarking-zkp-systems</w:t>
      </w:r>
    </w:p>
    <w:p w14:paraId="5FC5CF8D" w14:textId="77777777" w:rsidR="00EE0075" w:rsidRPr="00F41211" w:rsidRDefault="00000000">
      <w:pPr>
        <w:spacing w:after="200" w:line="360" w:lineRule="auto"/>
        <w:ind w:left="720" w:hanging="720"/>
        <w:jc w:val="both"/>
        <w:rPr>
          <w:lang w:val="en-GB"/>
        </w:rPr>
      </w:pPr>
      <w:r w:rsidRPr="00F41211">
        <w:rPr>
          <w:sz w:val="24"/>
          <w:szCs w:val="24"/>
          <w:lang w:val="en-GB"/>
        </w:rPr>
        <w:t>Xu, L., Li, T., &amp; Erkin, Z. (2023). Verifiable credentials with privacy-preserving tamper-evident revocation mechanism. In Proceedings of the IEEE International Conference on Blockchain and Cryptocurrency (ICBC 2023). IEEE. https://doi.org/10.1109/ICBC56567.2023.10174930</w:t>
      </w:r>
    </w:p>
    <w:sectPr w:rsidR="00EE0075" w:rsidRPr="00F4121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8714B"/>
    <w:multiLevelType w:val="hybridMultilevel"/>
    <w:tmpl w:val="1A14E60C"/>
    <w:lvl w:ilvl="0" w:tplc="1AA815DA">
      <w:start w:val="1"/>
      <w:numFmt w:val="bullet"/>
      <w:lvlText w:val="●"/>
      <w:lvlJc w:val="left"/>
      <w:pPr>
        <w:ind w:left="720" w:hanging="360"/>
      </w:pPr>
    </w:lvl>
    <w:lvl w:ilvl="1" w:tplc="B4440B84">
      <w:start w:val="1"/>
      <w:numFmt w:val="bullet"/>
      <w:lvlText w:val="○"/>
      <w:lvlJc w:val="left"/>
      <w:pPr>
        <w:ind w:left="1440" w:hanging="360"/>
      </w:pPr>
    </w:lvl>
    <w:lvl w:ilvl="2" w:tplc="3BA82190">
      <w:start w:val="1"/>
      <w:numFmt w:val="bullet"/>
      <w:lvlText w:val="■"/>
      <w:lvlJc w:val="left"/>
      <w:pPr>
        <w:ind w:left="2160" w:hanging="360"/>
      </w:pPr>
    </w:lvl>
    <w:lvl w:ilvl="3" w:tplc="DE781CBA">
      <w:start w:val="1"/>
      <w:numFmt w:val="bullet"/>
      <w:lvlText w:val="●"/>
      <w:lvlJc w:val="left"/>
      <w:pPr>
        <w:ind w:left="2880" w:hanging="360"/>
      </w:pPr>
    </w:lvl>
    <w:lvl w:ilvl="4" w:tplc="569887DE">
      <w:start w:val="1"/>
      <w:numFmt w:val="bullet"/>
      <w:lvlText w:val="○"/>
      <w:lvlJc w:val="left"/>
      <w:pPr>
        <w:ind w:left="3600" w:hanging="360"/>
      </w:pPr>
    </w:lvl>
    <w:lvl w:ilvl="5" w:tplc="CCBCF848">
      <w:start w:val="1"/>
      <w:numFmt w:val="bullet"/>
      <w:lvlText w:val="■"/>
      <w:lvlJc w:val="left"/>
      <w:pPr>
        <w:ind w:left="4320" w:hanging="360"/>
      </w:pPr>
    </w:lvl>
    <w:lvl w:ilvl="6" w:tplc="899A7D24">
      <w:start w:val="1"/>
      <w:numFmt w:val="bullet"/>
      <w:lvlText w:val="●"/>
      <w:lvlJc w:val="left"/>
      <w:pPr>
        <w:ind w:left="5040" w:hanging="360"/>
      </w:pPr>
    </w:lvl>
    <w:lvl w:ilvl="7" w:tplc="5C20C698">
      <w:start w:val="1"/>
      <w:numFmt w:val="bullet"/>
      <w:lvlText w:val="●"/>
      <w:lvlJc w:val="left"/>
      <w:pPr>
        <w:ind w:left="5760" w:hanging="360"/>
      </w:pPr>
    </w:lvl>
    <w:lvl w:ilvl="8" w:tplc="34ECB22A">
      <w:start w:val="1"/>
      <w:numFmt w:val="bullet"/>
      <w:lvlText w:val="●"/>
      <w:lvlJc w:val="left"/>
      <w:pPr>
        <w:ind w:left="6480" w:hanging="360"/>
      </w:pPr>
    </w:lvl>
  </w:abstractNum>
  <w:num w:numId="1" w16cid:durableId="17961756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075"/>
    <w:rsid w:val="002C628B"/>
    <w:rsid w:val="00562C0E"/>
    <w:rsid w:val="00570672"/>
    <w:rsid w:val="007D78D9"/>
    <w:rsid w:val="008578A9"/>
    <w:rsid w:val="00AC7733"/>
    <w:rsid w:val="00AE0597"/>
    <w:rsid w:val="00EE0075"/>
    <w:rsid w:val="00F412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C425D"/>
  <w15:docId w15:val="{C5048164-D9BA-4FA3-A35F-FF64ED793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Light">
    <w:name w:val="Grid Table Light"/>
    <w:basedOn w:val="TableNormal"/>
    <w:uiPriority w:val="40"/>
    <w:rsid w:val="0057067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2503</Words>
  <Characters>14272</Characters>
  <Application>Microsoft Office Word</Application>
  <DocSecurity>0</DocSecurity>
  <Lines>118</Lines>
  <Paragraphs>33</Paragraphs>
  <ScaleCrop>false</ScaleCrop>
  <Company/>
  <LinksUpToDate>false</LinksUpToDate>
  <CharactersWithSpaces>16742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DBANK</cp:lastModifiedBy>
  <cp:revision>9</cp:revision>
  <dcterms:created xsi:type="dcterms:W3CDTF">2026-09-16T23:25:00Z</dcterms:created>
  <dcterms:modified xsi:type="dcterms:W3CDTF">2026-09-17T15:01:00Z</dcterms:modified>
</cp:coreProperties>
</file>