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24"/>
          <w:szCs w:val="24"/>
        </w:rPr>
        <w:t xml:space="preserve">APPENDIX A</w:t>
      </w:r>
    </w:p>
    <w:p>
      <w:pPr>
        <w:spacing w:after="240" w:before="240"/>
        <w:jc w:val="center"/>
      </w:pPr>
      <w:r>
        <w:rPr>
          <w:rFonts w:ascii="Times New Roman" w:cs="Times New Roman" w:eastAsia="Times New Roman" w:hAnsi="Times New Roman"/>
          <w:b/>
          <w:bCs/>
          <w:sz w:val="24"/>
          <w:szCs w:val="24"/>
        </w:rPr>
        <w:t xml:space="preserve">REPOSITORY STRUCTURE AND ARTEFACT DESCRIPTION</w:t>
      </w:r>
    </w:p>
    <w:p>
      <w:pPr>
        <w:spacing w:after="200" w:line="360"/>
        <w:jc w:val="both"/>
      </w:pPr>
      <w:r>
        <w:rPr>
          <w:rFonts w:ascii="Times New Roman" w:cs="Times New Roman" w:eastAsia="Times New Roman" w:hAnsi="Times New Roman"/>
          <w:b w:val="false"/>
          <w:bCs w:val="false"/>
          <w:i w:val="false"/>
          <w:iCs w:val="false"/>
          <w:sz w:val="24"/>
          <w:szCs w:val="24"/>
        </w:rPr>
        <w:t xml:space="preserve">Section 3.12.3 states that every project artefact behind this thesis, circuit source, compiled ACIR, synthetic inputs, benchmark scripts, verifier contracts, and raw datasets, is preserved in a version-controlled repository (zkp-credential-benchmark/). This appendix makes that claim checkable: it lists every file and folder in that repository and states what each one does, organized by the same four-stage structure Chapter Three uses (system specification, circuit implementation, experimental benchmarking, Ethereum verification), plus the results the pipeline produced and a supplementary browser demonstration built alongside the thesis. Build artefacts that Nargo, Foundry and npm regenerate automatically (compiled bytecode caches, node_modules/, .git/) are omitted; only files with content a reader would need to inspect are listed.</w:t>
      </w:r>
    </w:p>
    <w:p>
      <w:pPr>
        <w:spacing w:after="200" w:before="360"/>
        <w:jc w:val="left"/>
      </w:pPr>
      <w:r>
        <w:rPr>
          <w:rFonts w:ascii="Times New Roman" w:cs="Times New Roman" w:eastAsia="Times New Roman" w:hAnsi="Times New Roman"/>
          <w:b/>
          <w:bCs/>
          <w:sz w:val="24"/>
          <w:szCs w:val="24"/>
        </w:rPr>
        <w:t xml:space="preserve">A.1 Circuit Packages (circuits/)</w:t>
      </w:r>
    </w:p>
    <w:p>
      <w:pPr>
        <w:spacing w:after="200" w:line="360"/>
        <w:jc w:val="both"/>
      </w:pPr>
      <w:r>
        <w:rPr>
          <w:rFonts w:ascii="Times New Roman" w:cs="Times New Roman" w:eastAsia="Times New Roman" w:hAnsi="Times New Roman"/>
          <w:b w:val="false"/>
          <w:bCs w:val="false"/>
          <w:i w:val="false"/>
          <w:iCs w:val="false"/>
          <w:sz w:val="24"/>
          <w:szCs w:val="24"/>
        </w:rPr>
        <w:t xml:space="preserve">Each of the four benchmark scenarios in Table 3.2 is its own Nargo package. All four follow the same internal layout, shown once in Table A.1 and applying to all of scenario1_minimal/, scenario2_multi_attr/, scenario3_full_integrity/ and scenario4_advanced_identity/.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File / folder</w:t>
            </w:r>
          </w:p>
        </w:tc>
        <w:tc>
          <w:tcPr>
            <w:tcW w:type="dxa" w:w="66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Purpose</w:t>
            </w:r>
          </w:p>
        </w:tc>
      </w:tr>
      <w:t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Nargo.toml</w:t>
            </w:r>
          </w:p>
        </w:tc>
        <w:tc>
          <w:tcPr>
            <w:tcW w:type="dxa" w:w="6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Package manifest: name, type, and the noir-lang/poseidon dependency (Scenarios 3-4 only).</w:t>
            </w:r>
          </w:p>
        </w:tc>
      </w:tr>
      <w:t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Prover.toml</w:t>
            </w:r>
          </w:p>
        </w:tc>
        <w:tc>
          <w:tcPr>
            <w:tcW w:type="dxa" w:w="6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active trial's private/public inputs, overwritten before every compile by run_benchmark.py (Section 3.9.1).</w:t>
            </w:r>
          </w:p>
        </w:tc>
      </w:tr>
      <w:t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src/main.nr</w:t>
            </w:r>
          </w:p>
        </w:tc>
        <w:tc>
          <w:tcPr>
            <w:tcW w:type="dxa" w:w="6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circuit source itself — the range checks, set-membership, Poseidon commitment or Merkle logic in Table 3.2, plus its #[test] unit tests.</w:t>
            </w:r>
          </w:p>
        </w:tc>
      </w:tr>
      <w:t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target/*.json</w:t>
            </w:r>
          </w:p>
        </w:tc>
        <w:tc>
          <w:tcPr>
            <w:tcW w:type="dxa" w:w="6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Compiled ACIR + ABI, the default (Poseidon2) proving target used for the off-chain benchmark in results/benchmark_results.csv.</w:t>
            </w:r>
          </w:p>
        </w:tc>
      </w:tr>
      <w:t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target_evm/</w:t>
            </w:r>
          </w:p>
        </w:tc>
        <w:tc>
          <w:tcPr>
            <w:tcW w:type="dxa" w:w="6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 second, EVM-targeted (Keccak) vk/proof pair for this same circuit, built by generate_evm_artifacts.py specifically for on-chain verification (Section 3.8).</w:t>
            </w:r>
          </w:p>
        </w:tc>
      </w:tr>
    </w:tbl>
    <w:p>
      <w:pPr>
        <w:spacing w:after="300" w:before="120"/>
        <w:jc w:val="center"/>
      </w:pPr>
      <w:r>
        <w:rPr>
          <w:rFonts w:ascii="Times New Roman" w:cs="Times New Roman" w:eastAsia="Times New Roman" w:hAnsi="Times New Roman"/>
          <w:b/>
          <w:bCs/>
          <w:sz w:val="24"/>
          <w:szCs w:val="24"/>
        </w:rPr>
        <w:t xml:space="preserve">Table A.1: Layout Common to Every circuits/scenario&lt;N&gt;_*/ Package</w:t>
      </w:r>
    </w:p>
    <w:p>
      <w:pPr>
        <w:spacing w:after="200" w:before="360"/>
        <w:jc w:val="left"/>
      </w:pPr>
      <w:r>
        <w:rPr>
          <w:rFonts w:ascii="Times New Roman" w:cs="Times New Roman" w:eastAsia="Times New Roman" w:hAnsi="Times New Roman"/>
          <w:b/>
          <w:bCs/>
          <w:sz w:val="24"/>
          <w:szCs w:val="24"/>
        </w:rPr>
        <w:t xml:space="preserve">A.2 Poseidon Helper Tools (tools/)</w:t>
      </w:r>
    </w:p>
    <w:p>
      <w:pPr>
        <w:spacing w:after="200" w:line="360"/>
        <w:jc w:val="both"/>
      </w:pPr>
      <w:r>
        <w:rPr>
          <w:rFonts w:ascii="Times New Roman" w:cs="Times New Roman" w:eastAsia="Times New Roman" w:hAnsi="Times New Roman"/>
          <w:b w:val="false"/>
          <w:bCs w:val="false"/>
          <w:i w:val="false"/>
          <w:iCs w:val="false"/>
          <w:sz w:val="24"/>
          <w:szCs w:val="24"/>
        </w:rPr>
        <w:t xml:space="preserve">Three minimal Noir programs, hash2_helper/, hash8_helper/ and hash16_helper/, each print the Poseidon hash of two, eight or sixteen Field inputs using the same noir-lang/poseidon v0.3.0 library the real circuits depend on. generate_synthetic_data.py shells out to these via `nargo execute` so that every synthetic Scenario 3 commitment and Scenario 4 Merkle root is a genuine Poseidon hash of the attributes generated alongside it, not a fabricated placeholder.</w:t>
      </w:r>
    </w:p>
    <w:p>
      <w:pPr>
        <w:spacing w:after="200" w:before="360"/>
        <w:jc w:val="left"/>
      </w:pPr>
      <w:r>
        <w:rPr>
          <w:rFonts w:ascii="Times New Roman" w:cs="Times New Roman" w:eastAsia="Times New Roman" w:hAnsi="Times New Roman"/>
          <w:b/>
          <w:bCs/>
          <w:sz w:val="24"/>
          <w:szCs w:val="24"/>
        </w:rPr>
        <w:t xml:space="preserve">A.3 Synthetic Data (data/prover_inputs/)</w:t>
      </w:r>
    </w:p>
    <w:p>
      <w:pPr>
        <w:spacing w:after="200" w:line="360"/>
        <w:jc w:val="both"/>
      </w:pPr>
      <w:r>
        <w:rPr>
          <w:rFonts w:ascii="Times New Roman" w:cs="Times New Roman" w:eastAsia="Times New Roman" w:hAnsi="Times New Roman"/>
          <w:b w:val="false"/>
          <w:bCs w:val="false"/>
          <w:i w:val="false"/>
          <w:iCs w:val="false"/>
          <w:sz w:val="24"/>
          <w:szCs w:val="24"/>
        </w:rPr>
        <w:t xml:space="preserve">One subfolder per scenario, each holding thirty generated run_001.toml .. run_030.toml files (120 in total), the exact synthetic inputs the 120 off-chain trials behind Chapter 4 were run against. Regenerating this folder (scripts/generate_synthetic_data.py) uses a fixed random seed, so the same 120 trials can be reproduced exactly.</w:t>
      </w:r>
    </w:p>
    <w:p>
      <w:pPr>
        <w:spacing w:after="200" w:before="360"/>
        <w:jc w:val="left"/>
      </w:pPr>
      <w:r>
        <w:rPr>
          <w:rFonts w:ascii="Times New Roman" w:cs="Times New Roman" w:eastAsia="Times New Roman" w:hAnsi="Times New Roman"/>
          <w:b/>
          <w:bCs/>
          <w:sz w:val="24"/>
          <w:szCs w:val="24"/>
        </w:rPr>
        <w:t xml:space="preserve">A.4 Automation Scripts (scripts/)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File</w:t>
            </w:r>
          </w:p>
        </w:tc>
        <w:tc>
          <w:tcPr>
            <w:tcW w:type="dxa" w:w="58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Purpose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generate_synthetic_data.py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Builds the 120 Prover.toml files in data/prover_inputs/, computing real Poseidon commitments/roots via the tools/ helpers (Section 3.7).</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run_benchmark.py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automated off-chain logging framework (Section 3.9.1): compiles, executes and proves every trial, writing results/benchmark_results.csv to the full Section 3.9.2 schema, with failures classified rather than dropped (Section 3.10).</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generate_evm_artifacts.py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Builds the EVM-targeted (Keccak) vk/proof pair per scenario, generates the real Scenario&lt;N&gt;Verifier.sol contracts, and writes the JSON fixtures contracts/test/fixtures/ needs (Section 3.8).</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run_gas_benchmark.py / parse_forge_gas_output.py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Run the real Foundry gas test and parse its console output straight into results/gas_results.csv, so gas figures never have to be copied out by hand.</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merge_gas_results.py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Merges results/gas_results.csv into results/benchmark_results.csv on (scenario_id, run_id), filling in the ethereum_gas and calldata_size columns for the trials that were also gas-benchmarked.</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analyze_results.py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Produces results/descriptive_stats.csv, results/correlations.csv, the off-chain-vs-on-chain scaling verdict, and all eight figures (Section 3.11).</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export_proof_for_solidity.py</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Standalone convenience utility: re-encodes a raw bb-generated proof/public-inputs pair into the 0x-prefixed hex Solidity expects, for manual/ad-hoc use outside the main pipeline.</w:t>
            </w:r>
          </w:p>
        </w:tc>
      </w:tr>
    </w:tbl>
    <w:p>
      <w:pPr>
        <w:spacing w:after="300" w:before="120"/>
        <w:jc w:val="center"/>
      </w:pPr>
      <w:r>
        <w:rPr>
          <w:rFonts w:ascii="Times New Roman" w:cs="Times New Roman" w:eastAsia="Times New Roman" w:hAnsi="Times New Roman"/>
          <w:b/>
          <w:bCs/>
          <w:sz w:val="24"/>
          <w:szCs w:val="24"/>
        </w:rPr>
        <w:t xml:space="preserve">Table A.2: scripts/ — One Row per File</w:t>
      </w:r>
    </w:p>
    <w:p>
      <w:pPr>
        <w:spacing w:after="200" w:before="360"/>
        <w:jc w:val="left"/>
      </w:pPr>
      <w:r>
        <w:rPr>
          <w:rFonts w:ascii="Times New Roman" w:cs="Times New Roman" w:eastAsia="Times New Roman" w:hAnsi="Times New Roman"/>
          <w:b/>
          <w:bCs/>
          <w:sz w:val="24"/>
          <w:szCs w:val="24"/>
        </w:rPr>
        <w:t xml:space="preserve">A.5 Smart Contracts (contracts/)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File / folder</w:t>
            </w:r>
          </w:p>
        </w:tc>
        <w:tc>
          <w:tcPr>
            <w:tcW w:type="dxa" w:w="58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Purpose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foundry.toml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Foundry project configuration (solc version, remappings).</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lib/forge-std/</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Foundry's standard testing library (external dependency, vendored).</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src/CredentialVerifier.sol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minimal, view-only wrapper Section 3.8.2 specifies. This is the contract Chapter 4's gas figures actually measure — nothing else in this repository changes those numbers.</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src/Scenario1-4Verifier.sol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real, bb-generated Solidity verifiers (`bb write_solidity_verifier`), one per scenario, produced by generate_evm_artifacts.py.</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src/MockHonkVerifierForPlumbingTest.sol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 stand-in verifier that always returns true, used only to exercise the deployment/testing plumbing before the real generated verifiers existed. Not used for any reported figure.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test/CredentialVerifier.gas.t.sol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An early gas test against the mock verifier above — superseded by RealVerifierGas.t.sol once real verifiers were available.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test/RealVerifierGas.t.sol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real gas-measurement test (Section 3.8.3) that produced every ethereum_gas figure in Chapter 4, including the flat-gas-across-trials check for Scenario 1 (Section 3.11.4).</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test/fixtures/</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Real proof + public-input JSON fixtures per trial, consumed by RealVerifierGas.t.sol.</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src/CredentialVerifierDemo.sol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 separate, state-changing wrapper used only by webapp/ (Appendix A.7) so a wallet can sign a real transaction. Deliberately never touched by, or used to produce, any Chapter 4 figure.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script/DeployDemo.s.sol</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Deploys the four verifiers plus their CredentialVerifierDemo wrappers to a chosen network (local Anvil or Sepolia) for the webapp/ demonstration.</w:t>
            </w:r>
          </w:p>
        </w:tc>
      </w:tr>
    </w:tbl>
    <w:p>
      <w:pPr>
        <w:spacing w:after="300" w:before="120"/>
        <w:jc w:val="center"/>
      </w:pPr>
      <w:r>
        <w:rPr>
          <w:rFonts w:ascii="Times New Roman" w:cs="Times New Roman" w:eastAsia="Times New Roman" w:hAnsi="Times New Roman"/>
          <w:b/>
          <w:bCs/>
          <w:sz w:val="24"/>
          <w:szCs w:val="24"/>
        </w:rPr>
        <w:t xml:space="preserve">Table A.3: contracts/ — One Row per File</w:t>
      </w:r>
    </w:p>
    <w:p>
      <w:pPr>
        <w:spacing w:after="200" w:before="360"/>
        <w:jc w:val="left"/>
      </w:pPr>
      <w:r>
        <w:rPr>
          <w:rFonts w:ascii="Times New Roman" w:cs="Times New Roman" w:eastAsia="Times New Roman" w:hAnsi="Times New Roman"/>
          <w:b/>
          <w:bCs/>
          <w:sz w:val="24"/>
          <w:szCs w:val="24"/>
        </w:rPr>
        <w:t xml:space="preserve">A.6 Results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File / folder</w:t>
            </w:r>
          </w:p>
        </w:tc>
        <w:tc>
          <w:tcPr>
            <w:tcW w:type="dxa" w:w="58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Purpose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benchmark_results.csv</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primary dataset: all 120 off-chain trials (Section 3.9.2 schema), with ethereum_gas/calldata_size merged in for the six trials also gas-benchmarked. Source of every figure in Chapter 4.</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gas_results.csv</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six raw on-chain gas measurements before merging.</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descriptive_stats.csv / correlations.csv</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Section 3.11.1 / 3.11.3 outputs — Tables 4.4-4.8 are transcribed directly from these.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figures/figure_3_1.png .. figure_3_8.png</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eight figures Section 3.11.6 specifies, renumbered Figure 4.1-4.8 in Chapter Four.</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pilot_results.csv</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four-trial feasibility check (Section 3.6.1) run before the full 120-trial protocol.</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RUN_MANIFEST.md</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Provenance record for the reported run: exact hardware, OS and toolchain versions, and the order every pipeline stage was executed in.</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_pre_experiment_backup/</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original placeholder CSVs from before the real experiment was run, preserved rather than deleted (Section 3.10's principle of retaining rather than discarding evidence).</w:t>
            </w:r>
          </w:p>
        </w:tc>
      </w:tr>
    </w:tbl>
    <w:p>
      <w:pPr>
        <w:spacing w:after="300" w:before="120"/>
        <w:jc w:val="center"/>
      </w:pPr>
      <w:r>
        <w:rPr>
          <w:rFonts w:ascii="Times New Roman" w:cs="Times New Roman" w:eastAsia="Times New Roman" w:hAnsi="Times New Roman"/>
          <w:b/>
          <w:bCs/>
          <w:sz w:val="24"/>
          <w:szCs w:val="24"/>
        </w:rPr>
        <w:t xml:space="preserve">Table A.4: results/ — One Row per File</w:t>
      </w:r>
    </w:p>
    <w:p>
      <w:pPr>
        <w:spacing w:after="200" w:before="360"/>
        <w:jc w:val="left"/>
      </w:pPr>
      <w:r>
        <w:rPr>
          <w:rFonts w:ascii="Times New Roman" w:cs="Times New Roman" w:eastAsia="Times New Roman" w:hAnsi="Times New Roman"/>
          <w:b/>
          <w:bCs/>
          <w:sz w:val="24"/>
          <w:szCs w:val="24"/>
        </w:rPr>
        <w:t xml:space="preserve">A.7 Browser Demonstration (webapp/) — Supplementary</w:t>
      </w:r>
    </w:p>
    <w:p>
      <w:pPr>
        <w:spacing w:after="200" w:line="360"/>
        <w:jc w:val="both"/>
      </w:pPr>
      <w:r>
        <w:rPr>
          <w:rFonts w:ascii="Times New Roman" w:cs="Times New Roman" w:eastAsia="Times New Roman" w:hAnsi="Times New Roman"/>
          <w:b w:val="false"/>
          <w:bCs w:val="false"/>
          <w:i w:val="false"/>
          <w:iCs w:val="false"/>
          <w:sz w:val="24"/>
          <w:szCs w:val="24"/>
        </w:rPr>
        <w:t xml:space="preserve">webapp/ is a plain HTML/CSS/JavaScript application, built alongside this thesis to demonstrate that the same four circuits can be proven entirely client-side (NoirJS + bb.js) and verified on-chain (ethers.js), on a local Anvil node or on Sepolia. It is explicitly supplementary: no figure in Chapter 4 is drawn from it, and its own README.md documents its setup and use in full. Table A.5 summarizes its structure at a glance; see webapp/README.md for the complete step-by-step procedure.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File / folder</w:t>
            </w:r>
          </w:p>
        </w:tc>
        <w:tc>
          <w:tcPr>
            <w:tcW w:type="dxa" w:w="580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Purpose</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package.json / build.mjs</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Pins the exact same noir_js/bb.js versions as the CLI toolchain (Section 3.4) and bundles the app with esbuild — the only build step; the page itself is plain JS.</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src/scenarios.js</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Per-scenario form definitions, mirroring Table 3.2 and generate_synthetic_data.py exactly.</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src/prover.js / src/derive.js</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In-browser NoirJS + bb.js proving, and the Poseidon commitment/Merkle-path derivation for Scenarios 3-4.</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src/chain.js / src/network-config.js</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ethers.js wallet connection, contract calls, and per-network contract addresses.</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circuits/ and circuits_src/</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Compiled circuit JSON for the browser, plus source for three return-value Poseidon helper circuits (twins of tools/hash*_helper that return a Field instead of printing it, since a browser prover cannot read CLI stdout).</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Courier New" w:cs="Courier New" w:eastAsia="Courier New" w:hAnsi="Courier New"/>
                <w:b w:val="false"/>
                <w:bCs w:val="false"/>
                <w:sz w:val="19"/>
                <w:szCs w:val="19"/>
              </w:rPr>
              <w:t xml:space="preserve">public/, serve.mjs, dist/</w:t>
            </w:r>
          </w:p>
        </w:tc>
        <w:tc>
          <w:tcPr>
            <w:tcW w:type="dxa" w:w="5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static page and a minimal dev server with the response headers bb.js's multi-threaded WASM requires; dist/ is build output.</w:t>
            </w:r>
          </w:p>
        </w:tc>
      </w:tr>
    </w:tbl>
    <w:p>
      <w:pPr>
        <w:spacing w:after="300" w:before="120"/>
        <w:jc w:val="center"/>
      </w:pPr>
      <w:r>
        <w:rPr>
          <w:rFonts w:ascii="Times New Roman" w:cs="Times New Roman" w:eastAsia="Times New Roman" w:hAnsi="Times New Roman"/>
          <w:b/>
          <w:bCs/>
          <w:sz w:val="24"/>
          <w:szCs w:val="24"/>
        </w:rPr>
        <w:t xml:space="preserve">Table A.5: webapp/ — Summary (see webapp/README.md for full detail)</w:t>
      </w:r>
    </w:p>
    <w:p>
      <w:pPr>
        <w:spacing w:after="200" w:before="360"/>
        <w:jc w:val="left"/>
      </w:pPr>
      <w:r>
        <w:rPr>
          <w:rFonts w:ascii="Times New Roman" w:cs="Times New Roman" w:eastAsia="Times New Roman" w:hAnsi="Times New Roman"/>
          <w:b/>
          <w:bCs/>
          <w:sz w:val="24"/>
          <w:szCs w:val="24"/>
        </w:rPr>
        <w:t xml:space="preserve">A.8 Top-Level Files</w:t>
      </w:r>
    </w:p>
    <w:p>
      <w:pPr>
        <w:spacing w:after="200" w:line="360"/>
        <w:jc w:val="both"/>
      </w:pPr>
      <w:r>
        <w:rPr>
          <w:rFonts w:ascii="Times New Roman" w:cs="Times New Roman" w:eastAsia="Times New Roman" w:hAnsi="Times New Roman"/>
          <w:b w:val="false"/>
          <w:bCs w:val="false"/>
          <w:i w:val="false"/>
          <w:iCs w:val="false"/>
          <w:sz w:val="24"/>
          <w:szCs w:val="24"/>
        </w:rPr>
        <w:t xml:space="preserve">README.md at the repository root is the step-by-step procedure for running the entire pipeline from a clean checkout: toolchain installation, the four-stage experimental workflow of Section 3.6.1, and where each output lands. Its closing section maps every output file directly onto the Chapter Four section it feeds (descriptive statistics, figures, correlations, and so on). A reader wanting to reproduce this thesis's results end to end should start there.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2026-09-16T17:33:48.584Z</dcterms:created>
  <dcterms:modified xsi:type="dcterms:W3CDTF">2026-09-16T17:33:48.587Z</dcterms:modified>
</cp:coreProperties>
</file>

<file path=docProps/custom.xml><?xml version="1.0" encoding="utf-8"?>
<Properties xmlns="http://schemas.openxmlformats.org/officeDocument/2006/custom-properties" xmlns:vt="http://schemas.openxmlformats.org/officeDocument/2006/docPropsVTypes"/>
</file>