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24"/>
          <w:szCs w:val="24"/>
        </w:rPr>
        <w:t xml:space="preserve">CHAPTER FIVE</w:t>
      </w:r>
    </w:p>
    <w:p>
      <w:pPr>
        <w:spacing w:after="240" w:before="240"/>
        <w:jc w:val="center"/>
      </w:pPr>
      <w:r>
        <w:rPr>
          <w:rFonts w:ascii="Times New Roman" w:cs="Times New Roman" w:eastAsia="Times New Roman" w:hAnsi="Times New Roman"/>
          <w:b/>
          <w:bCs/>
          <w:sz w:val="24"/>
          <w:szCs w:val="24"/>
        </w:rPr>
        <w:t xml:space="preserve">SUMMARY, CONCLUSIONS AND RECOMMENDATIONS</w:t>
      </w:r>
    </w:p>
    <w:p>
      <w:pPr>
        <w:spacing w:after="200" w:before="360"/>
        <w:jc w:val="left"/>
      </w:pPr>
      <w:r>
        <w:rPr>
          <w:rFonts w:ascii="Times New Roman" w:cs="Times New Roman" w:eastAsia="Times New Roman" w:hAnsi="Times New Roman"/>
          <w:b/>
          <w:bCs/>
          <w:sz w:val="24"/>
          <w:szCs w:val="24"/>
        </w:rPr>
        <w:t xml:space="preserve">5.0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closes the thesis by drawing together the empirical findings reported in Chapter Four into a coherent summary, stating the conclusions those findings support, and translating them into concrete recommendations for developers and researchers. It revisits the study's original objectives (Section 1.4) and research questions (Section 1.5) to confirm the extent to which each was addressed, and closes with the study's principal contribution to knowledge and directions for future research.</w:t>
      </w:r>
    </w:p>
    <w:p>
      <w:pPr>
        <w:spacing w:after="200" w:before="360"/>
        <w:jc w:val="left"/>
      </w:pPr>
      <w:r>
        <w:rPr>
          <w:rFonts w:ascii="Times New Roman" w:cs="Times New Roman" w:eastAsia="Times New Roman" w:hAnsi="Times New Roman"/>
          <w:b/>
          <w:bCs/>
          <w:sz w:val="24"/>
          <w:szCs w:val="24"/>
        </w:rPr>
        <w:t xml:space="preserve">5.1 Summary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set out to empirically evaluate the efficiency of ZK-SNARK proof generation and verification for Attribute-Based Credentials implemented in Noir and verified on Ethereum, and to situate the findings against Secure Multi-Party Computation as a conceptual alternative (Section 1.3). Four benchmark scenarios of increasing predicate complexity (one, four, eight and sixteen attributes, with range checks, set-membership checks, a Poseidon commitment and a depth-four Merkle membership proof layered on progressively; Section 3.7) were implemented as genuine, unit-tested Noir circuits, compiled and proven on a fixed, fully documented hardware and software environment (Section 3.4, corrected in Section 4.1 to reflect the environment actually used), and benchmarked across 120 off-chain trials (thirty per scenario) plus a dedicated Ethereum gas-measurement protocol. Every stage of the four-stage experimental design set out in Section 3.3, system specification, circuit implementation, experimental benchmarking, and Ethereum verification, was carried through to completion with real, measured data; no stage relied on projected, simulated, or placeholder figures. A measurement defect identified during review, two different proof artefacts (an off-chain and an on-chain proof) being conflated under one column, was traced to its root cause and corrected directly in the underlying data (Section 4.6; results/RUN_MANIFEST.md).</w:t>
      </w:r>
    </w:p>
    <w:p>
      <w:pPr>
        <w:spacing w:after="200" w:before="360"/>
        <w:jc w:val="left"/>
      </w:pPr>
      <w:r>
        <w:rPr>
          <w:rFonts w:ascii="Times New Roman" w:cs="Times New Roman" w:eastAsia="Times New Roman" w:hAnsi="Times New Roman"/>
          <w:b/>
          <w:bCs/>
          <w:sz w:val="24"/>
          <w:szCs w:val="24"/>
        </w:rPr>
        <w:t xml:space="preserve">5.2 Summary of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Table 5.1 maps each research question directly onto its empirical outcome, before the discussion below expands on each in turn.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50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RQ</w:t>
            </w:r>
          </w:p>
        </w:tc>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Question</w:t>
            </w:r>
          </w:p>
        </w:tc>
        <w:tc>
          <w:tcPr>
            <w:tcW w:type="dxa" w:w="4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Empirical Outcome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Effect of circuit complexity on off-chain proving performance</w:t>
            </w:r>
          </w:p>
        </w:tc>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Proving time +196.7%, compile time +387.1%, peak memory +65.3% (Scenario 1→4); strong, significant correlations (ρ=0.90-0.98, p&lt;.001).</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Effect of circuit complexity on local verification performance</w:t>
            </w:r>
          </w:p>
        </w:tc>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Near-flat (14.67-15.87 ms mean); statistically significant but practically negligible correlation (ρ=0.28).</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RQ3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Computational cost of Ethereum verification</w:t>
            </w:r>
          </w:p>
        </w:tc>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Near-flat verification gas (+5.6%); deployment gas +0.001%; on-chain proof size +10.6% and true calldata +11.2% (Table 4.6), both negligible against the 131-fold circuit-size growth.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Relationship between off-chain and on-chain cost</w:t>
            </w:r>
          </w:p>
        </w:tc>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Decoupling hypothesis supported: 131× circuit-size growth → only +5.6% verification-gas growth.</w:t>
            </w:r>
          </w:p>
        </w:tc>
      </w:tr>
    </w:tbl>
    <w:p>
      <w:pPr>
        <w:spacing w:after="300" w:before="120"/>
        <w:jc w:val="center"/>
      </w:pPr>
      <w:r>
        <w:rPr>
          <w:rFonts w:ascii="Times New Roman" w:cs="Times New Roman" w:eastAsia="Times New Roman" w:hAnsi="Times New Roman"/>
          <w:b/>
          <w:bCs/>
          <w:sz w:val="24"/>
          <w:szCs w:val="24"/>
        </w:rPr>
        <w:t xml:space="preserve">Table 5.1: Research Questions Mapped to Empirical Outcomes</w:t>
      </w:r>
    </w:p>
    <w:p>
      <w:pPr>
        <w:spacing w:after="160" w:before="280"/>
        <w:jc w:val="left"/>
      </w:pPr>
      <w:r>
        <w:rPr>
          <w:rFonts w:ascii="Times New Roman" w:cs="Times New Roman" w:eastAsia="Times New Roman" w:hAnsi="Times New Roman"/>
          <w:b/>
          <w:bCs/>
          <w:i/>
          <w:iCs/>
          <w:sz w:val="24"/>
          <w:szCs w:val="24"/>
        </w:rPr>
        <w:t xml:space="preserve">RQ1 — Circuit complexity and off-chain proving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Off-chain cost grew substantially and monotonically with circuit complexity. Mean proving time rose 196.7% from Scenario 1 to Scenario 4 (269.37 ms to 799.28 ms) while circuit size grew 131-fold (26 to 3,409 ACIR opcodes); compile time grew even more steeply (+387.1%), and peak memory grew 65.3% (73.44 MB to 121.43 MB), all while remaining a small fraction of the hardware's 8 GB budget. Run-level Spearman correlations confirmed these relationships were strong and statistically significant (attribute count vs. proving time ρ = 0.8999, p &lt; .001; attribute count vs. peak memory ρ = 0.9824, p &lt; .001). The off-chain proof itself was found to be exactly 14,656 bytes in every one of the 120 trials, a direct, measured confirmation of ZK-SNARK succinctness for that artefact specifically.</w:t>
      </w:r>
    </w:p>
    <w:p>
      <w:pPr>
        <w:spacing w:after="160" w:before="280"/>
        <w:jc w:val="left"/>
      </w:pPr>
      <w:r>
        <w:rPr>
          <w:rFonts w:ascii="Times New Roman" w:cs="Times New Roman" w:eastAsia="Times New Roman" w:hAnsi="Times New Roman"/>
          <w:b/>
          <w:bCs/>
          <w:i/>
          <w:iCs/>
          <w:sz w:val="24"/>
          <w:szCs w:val="24"/>
        </w:rPr>
        <w:t xml:space="preserve">RQ2 — Circuit complexity and local verification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Local verification time stayed close to flat (14.67 ms to 15.87 ms mean across all four scenarios), confirming the Plonk-family expectation that verification cost is largely decoupled from circuit size, even though a weak but statistically significant correlation was detected (ρ = 0.2759, p = .0023).</w:t>
      </w:r>
    </w:p>
    <w:p>
      <w:pPr>
        <w:spacing w:after="160" w:before="280"/>
        <w:jc w:val="left"/>
      </w:pPr>
      <w:r>
        <w:rPr>
          <w:rFonts w:ascii="Times New Roman" w:cs="Times New Roman" w:eastAsia="Times New Roman" w:hAnsi="Times New Roman"/>
          <w:b/>
          <w:bCs/>
          <w:i/>
          <w:iCs/>
          <w:sz w:val="24"/>
          <w:szCs w:val="24"/>
        </w:rPr>
        <w:t xml:space="preserve">RQ3 — Ethereum verification cost</w:t>
      </w:r>
    </w:p>
    <w:p>
      <w:pPr>
        <w:spacing w:after="200" w:line="360"/>
        <w:jc w:val="both"/>
      </w:pPr>
      <w:r>
        <w:rPr>
          <w:rFonts w:ascii="Times New Roman" w:cs="Times New Roman" w:eastAsia="Times New Roman" w:hAnsi="Times New Roman"/>
          <w:b w:val="false"/>
          <w:bCs w:val="false"/>
          <w:i w:val="false"/>
          <w:iCs w:val="false"/>
          <w:sz w:val="24"/>
          <w:szCs w:val="24"/>
        </w:rPr>
        <w:t xml:space="preserve">Ethereum verification gas stayed close to flat, growing only 5.6% (2,712,250 to 2,862,899 mean gas) despite the 131-fold growth in circuit size; deployment gas was effectively invariant (+0.001%). The proof actually submitted on-chain (a separate, EVM/Keccak-targeted artefact from the off-chain proof discussed under RQ1) grew modestly, from 7,232 to 8,000 bytes (+10.6%), and true transaction calldata grew from 7,396 to 8,228 bytes (+11.2%) — both figures corrected during review after an earlier draft conflated the on-chain proof with the off-chain one (Section 4.6). Neither correction changes the substantive conclusion: 10.6% and 11.2% growth remain negligible next to the underlying circuit's 131-fold growth.</w:t>
      </w:r>
    </w:p>
    <w:p>
      <w:pPr>
        <w:spacing w:after="160" w:before="280"/>
        <w:jc w:val="left"/>
      </w:pPr>
      <w:r>
        <w:rPr>
          <w:rFonts w:ascii="Times New Roman" w:cs="Times New Roman" w:eastAsia="Times New Roman" w:hAnsi="Times New Roman"/>
          <w:b/>
          <w:bCs/>
          <w:i/>
          <w:iCs/>
          <w:sz w:val="24"/>
          <w:szCs w:val="24"/>
        </w:rPr>
        <w:t xml:space="preserve">RQ4 — Relationship between off-chain and on-chain cost</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decoupling hypothesis was empirically supported: a 131-fold increase in circuit size and a near-tripling of proving cost were absorbed by only a 5.6% increase in on-chain verification gas, confirming that, for this implementation, off-chain and on-chain cost scale at fundamentally different rates. This finding was not affected by the proof-size/calldata correction, since it rests on proving_time and ethereum_gas, neither of which changed.</w:t>
      </w:r>
    </w:p>
    <w:p>
      <w:pPr>
        <w:spacing w:after="200" w:line="360"/>
        <w:jc w:val="both"/>
      </w:pPr>
      <w:r>
        <w:rPr>
          <w:rFonts w:ascii="Times New Roman" w:cs="Times New Roman" w:eastAsia="Times New Roman" w:hAnsi="Times New Roman"/>
          <w:b w:val="false"/>
          <w:bCs w:val="false"/>
          <w:i w:val="false"/>
          <w:iCs w:val="false"/>
          <w:sz w:val="24"/>
          <w:szCs w:val="24"/>
        </w:rPr>
        <w:t xml:space="preserve">A supplementary finding, outside the original four research questions but methodologically important, is the perfect trial success rate: all 120 off-chain trials succeeded, with peak memory never exceeding 122 MB against the study's 8 GB budget. The specific concern raised in Section 3.4 about Scenario 4 approaching resource exhaustion did not materialize at the circuit sizes tested here.</w:t>
      </w:r>
    </w:p>
    <w:p>
      <w:pPr>
        <w:spacing w:after="200" w:before="360"/>
        <w:jc w:val="left"/>
      </w:pPr>
      <w:r>
        <w:rPr>
          <w:rFonts w:ascii="Times New Roman" w:cs="Times New Roman" w:eastAsia="Times New Roman" w:hAnsi="Times New Roman"/>
          <w:b/>
          <w:bCs/>
          <w:sz w:val="24"/>
          <w:szCs w:val="24"/>
        </w:rPr>
        <w:t xml:space="preserve">5.3 Conclusions</w:t>
      </w:r>
    </w:p>
    <w:p>
      <w:pPr>
        <w:spacing w:after="200" w:line="360"/>
        <w:jc w:val="both"/>
      </w:pPr>
      <w:r>
        <w:rPr>
          <w:rFonts w:ascii="Times New Roman" w:cs="Times New Roman" w:eastAsia="Times New Roman" w:hAnsi="Times New Roman"/>
          <w:b w:val="false"/>
          <w:bCs w:val="false"/>
          <w:i w:val="false"/>
          <w:iCs w:val="false"/>
          <w:sz w:val="24"/>
          <w:szCs w:val="24"/>
        </w:rPr>
        <w:t xml:space="preserve">Based on the findings summarized above, the study draws the following conclusions:</w:t>
      </w:r>
    </w:p>
    <w:p>
      <w:pPr>
        <w:spacing w:after="200" w:line="360"/>
        <w:ind w:left="720" w:hanging="360"/>
        <w:jc w:val="both"/>
      </w:pPr>
      <w:r>
        <w:rPr>
          <w:rFonts w:ascii="Times New Roman" w:cs="Times New Roman" w:eastAsia="Times New Roman" w:hAnsi="Times New Roman"/>
          <w:sz w:val="24"/>
          <w:szCs w:val="24"/>
        </w:rPr>
        <w:t xml:space="preserve">1. The Noir/Barretenberg/Ethereum pipeline is practically efficient for attribute-based credential verification. Off-chain proving cost, while it grows with predicate complexity, remained within roughly a second (a 1.11-second maximum) even for the most complex sixteen-attribute, Merkle-augmented scenario evaluated, on a five-year-old, two-core consumer laptop CPU; on-chain verification cost stayed within a narrow, predictable band (a 5.6% spread) regardless of which of the four scenarios was verified.</w:t>
      </w:r>
    </w:p>
    <w:p>
      <w:pPr>
        <w:spacing w:after="200" w:line="360"/>
        <w:ind w:left="720" w:hanging="360"/>
        <w:jc w:val="both"/>
      </w:pPr>
      <w:r>
        <w:rPr>
          <w:rFonts w:ascii="Times New Roman" w:cs="Times New Roman" w:eastAsia="Times New Roman" w:hAnsi="Times New Roman"/>
          <w:sz w:val="24"/>
          <w:szCs w:val="24"/>
        </w:rPr>
        <w:t xml:space="preserve">2. Predicate complexity, not raw attribute count, is the dominant driver of circuit size and therefore of off-chain cost. The disproportionate jump in circuit size between Scenario 2 and Scenario 3 (Section 4.2), attributable to the introduction of a single Poseidon commitment check rather than to the modest increase in attribute count, demonstrates that architects cannot budget for a credential circuit's cost by counting attributes alone; the specific cryptographic operations a predicate requires must be accounted for directly.</w:t>
      </w:r>
    </w:p>
    <w:p>
      <w:pPr>
        <w:spacing w:after="200" w:line="360"/>
        <w:ind w:left="720" w:hanging="360"/>
        <w:jc w:val="both"/>
      </w:pPr>
      <w:r>
        <w:rPr>
          <w:rFonts w:ascii="Times New Roman" w:cs="Times New Roman" w:eastAsia="Times New Roman" w:hAnsi="Times New Roman"/>
          <w:sz w:val="24"/>
          <w:szCs w:val="24"/>
        </w:rPr>
        <w:t xml:space="preserve">3. Succinctness holds exactly for the off-chain proof and holds practically, though not exactly, for the on-chain one. A proof size of precisely 14,656 bytes across 120 independently generated off-chain proofs spanning four structurally different circuits is direct evidence that the off-chain proving artefact's size is governed by the proving scheme, not by the complexity of the claim being proven. The separate, on-chain proof that actually determines blockchain calldata is not exactly invariant — it grows a modest 10.6% (7,232 to 8,000 bytes) across the same range — but this growth is still negligible next to the underlying circuit's 131-fold increase, so the practical conclusion (blockchain storage and calldata cost stay nearly flat regardless of predicate complexity) still holds, even though the earlier, stronger claim of exact on-chain invariance, caught in review, does not.</w:t>
      </w:r>
    </w:p>
    <w:p>
      <w:pPr>
        <w:spacing w:after="200" w:line="360"/>
        <w:ind w:left="720" w:hanging="360"/>
        <w:jc w:val="both"/>
      </w:pPr>
      <w:r>
        <w:rPr>
          <w:rFonts w:ascii="Times New Roman" w:cs="Times New Roman" w:eastAsia="Times New Roman" w:hAnsi="Times New Roman"/>
          <w:sz w:val="24"/>
          <w:szCs w:val="24"/>
        </w:rPr>
        <w:t xml:space="preserve">4. The decoupling of off-chain and on-chain cost is the structural property that makes this pipeline well suited to the single-prover, gas-constrained verification setting the study targeted, and it is precisely the property Secure Multi-Party Computation's cost model does not share (Section 4.8). SMPC would only become the structurally preferable choice for a use case this study did not test: one that genuinely requires several mutually distrusting parties to compute jointly over data no single party may hold in the clear.</w:t>
      </w:r>
    </w:p>
    <w:p>
      <w:pPr>
        <w:spacing w:after="200" w:before="360"/>
        <w:jc w:val="left"/>
      </w:pPr>
      <w:r>
        <w:rPr>
          <w:rFonts w:ascii="Times New Roman" w:cs="Times New Roman" w:eastAsia="Times New Roman" w:hAnsi="Times New Roman"/>
          <w:b/>
          <w:bCs/>
          <w:sz w:val="24"/>
          <w:szCs w:val="24"/>
        </w:rPr>
        <w:t xml:space="preserve">5.4 Recommendations</w:t>
      </w:r>
    </w:p>
    <w:p>
      <w:pPr>
        <w:spacing w:after="160" w:before="280"/>
        <w:jc w:val="left"/>
      </w:pPr>
      <w:r>
        <w:rPr>
          <w:rFonts w:ascii="Times New Roman" w:cs="Times New Roman" w:eastAsia="Times New Roman" w:hAnsi="Times New Roman"/>
          <w:b/>
          <w:bCs/>
          <w:i/>
          <w:iCs/>
          <w:sz w:val="24"/>
          <w:szCs w:val="24"/>
        </w:rPr>
        <w:t xml:space="preserve">5.4.1 Recommendations for Developers and Architects</w:t>
      </w:r>
    </w:p>
    <w:p>
      <w:pPr>
        <w:spacing w:after="200" w:line="360"/>
        <w:ind w:left="720" w:hanging="360"/>
        <w:jc w:val="both"/>
      </w:pPr>
      <w:r>
        <w:rPr>
          <w:rFonts w:ascii="Times New Roman" w:cs="Times New Roman" w:eastAsia="Times New Roman" w:hAnsi="Times New Roman"/>
          <w:sz w:val="24"/>
          <w:szCs w:val="24"/>
        </w:rPr>
        <w:t xml:space="preserve">1. Budget circuit complexity by predicate, not by attribute count. When estimating the proving-time cost of a new credential predicate, developers should profile the actual cryptographic operations involved (a hash commitment, a Merkle proof, a range check) rather than assuming cost scales with the number of attributes disclosed.</w:t>
      </w:r>
    </w:p>
    <w:p>
      <w:pPr>
        <w:spacing w:after="200" w:line="360"/>
        <w:ind w:left="720" w:hanging="360"/>
        <w:jc w:val="both"/>
      </w:pPr>
      <w:r>
        <w:rPr>
          <w:rFonts w:ascii="Times New Roman" w:cs="Times New Roman" w:eastAsia="Times New Roman" w:hAnsi="Times New Roman"/>
          <w:sz w:val="24"/>
          <w:szCs w:val="24"/>
        </w:rPr>
        <w:t xml:space="preserve">2. Prefer ZK-friendly primitives. The disproportionate circuit-size cost of introducing a Poseidon commitment (Section 4.2) would very likely have been substantially worse with a conventional hash function such as SHA-256 (Section 3.7); developers implementing similar systems should default to ZK-friendly primitives for any hashing embedded in a predicate.</w:t>
      </w:r>
    </w:p>
    <w:p>
      <w:pPr>
        <w:spacing w:after="200" w:line="360"/>
        <w:ind w:left="720" w:hanging="360"/>
        <w:jc w:val="both"/>
      </w:pPr>
      <w:r>
        <w:rPr>
          <w:rFonts w:ascii="Times New Roman" w:cs="Times New Roman" w:eastAsia="Times New Roman" w:hAnsi="Times New Roman"/>
          <w:sz w:val="24"/>
          <w:szCs w:val="24"/>
        </w:rPr>
        <w:t xml:space="preserve">3. Report proving cost and verification cost as separate figures, not a blended one. Because this study's own results show off-chain and on-chain cost scaling at fundamentally different rates (Section 4.7), documentation or marketing material for a credential system should never present a single combined “performance” number; doing so obscures which party (the holder's device, or the verifying contract's caller) actually bears which cost.</w:t>
      </w:r>
    </w:p>
    <w:p>
      <w:pPr>
        <w:spacing w:after="200" w:line="360"/>
        <w:ind w:left="720" w:hanging="360"/>
        <w:jc w:val="both"/>
      </w:pPr>
      <w:r>
        <w:rPr>
          <w:rFonts w:ascii="Times New Roman" w:cs="Times New Roman" w:eastAsia="Times New Roman" w:hAnsi="Times New Roman"/>
          <w:sz w:val="24"/>
          <w:szCs w:val="24"/>
        </w:rPr>
        <w:t xml:space="preserve">4. Never assume two measurements of “proof size” refer to the same artefact. This study's own proof-size/calldata correction (Section 4.6) shows how easily an off-chain proving-target artefact and an on-chain verification-target artefact can be conflated under one label; teams building or benchmarking a similar pipeline should name each proving target explicitly in their data schema from the outset, and run the simple consistency check (calldata ≥ selector + proof bytes + public-input bytes) before reporting either figure.</w:t>
      </w:r>
    </w:p>
    <w:p>
      <w:pPr>
        <w:spacing w:after="200" w:line="360"/>
        <w:ind w:left="720" w:hanging="360"/>
        <w:jc w:val="both"/>
      </w:pPr>
      <w:r>
        <w:rPr>
          <w:rFonts w:ascii="Times New Roman" w:cs="Times New Roman" w:eastAsia="Times New Roman" w:hAnsi="Times New Roman"/>
          <w:sz w:val="24"/>
          <w:szCs w:val="24"/>
        </w:rPr>
        <w:t xml:space="preserve">5. Validate memory headroom directly rather than assuming it. Although memory pressure was not a binding constraint for the circuit sizes tested here (Section 4.3), this was an empirical finding specific to this study's circuits and hardware, not a general property of Noir/Barretenberg circuits; teams targeting substantially larger predicate sets or deeper Merkle trees should re-run an equivalent memory-budget check before deployment.</w:t>
      </w:r>
    </w:p>
    <w:p>
      <w:pPr>
        <w:spacing w:after="200" w:line="360"/>
        <w:ind w:left="720" w:hanging="360"/>
        <w:jc w:val="both"/>
      </w:pPr>
      <w:r>
        <w:rPr>
          <w:rFonts w:ascii="Times New Roman" w:cs="Times New Roman" w:eastAsia="Times New Roman" w:hAnsi="Times New Roman"/>
          <w:sz w:val="24"/>
          <w:szCs w:val="24"/>
        </w:rPr>
        <w:t xml:space="preserve">6. Where a live, client-facing proving experience is required, plan for the one-time reference string download. A companion browser demonstration built alongside this thesis confirmed that client-side, in-browser proving using NoirJS and bb.js is practically achievable and produces proofs verifiable by the same deployed Solidity contracts as the CLI pipeline; the only material UX cost is a one-time download of Barretenberg's structured reference string on a user's first proof of a session, which developers should account for in onboarding flows.</w:t>
      </w:r>
    </w:p>
    <w:p>
      <w:pPr>
        <w:spacing w:after="160" w:before="280"/>
        <w:jc w:val="left"/>
      </w:pPr>
      <w:r>
        <w:rPr>
          <w:rFonts w:ascii="Times New Roman" w:cs="Times New Roman" w:eastAsia="Times New Roman" w:hAnsi="Times New Roman"/>
          <w:b/>
          <w:bCs/>
          <w:i/>
          <w:iCs/>
          <w:sz w:val="24"/>
          <w:szCs w:val="24"/>
        </w:rPr>
        <w:t xml:space="preserve">5.4.2 Recommendations for Future Research</w:t>
      </w:r>
    </w:p>
    <w:p>
      <w:pPr>
        <w:spacing w:after="200" w:line="360"/>
        <w:ind w:left="720" w:hanging="360"/>
        <w:jc w:val="both"/>
      </w:pPr>
      <w:r>
        <w:rPr>
          <w:rFonts w:ascii="Times New Roman" w:cs="Times New Roman" w:eastAsia="Times New Roman" w:hAnsi="Times New Roman"/>
          <w:sz w:val="24"/>
          <w:szCs w:val="24"/>
        </w:rPr>
        <w:t xml:space="preserve">1. Extend the complexity gradient with intermediate attribute counts. As already anticipated in Section 3.11.3, adding intermediate points (for example one, two, four, eight, twelve and sixteen attributes) would support a proper inferential regression of proving cost against complexity, which the four coarse-grained scenario points used here could only support descriptively.</w:t>
      </w:r>
    </w:p>
    <w:p>
      <w:pPr>
        <w:spacing w:after="200" w:line="360"/>
        <w:ind w:left="720" w:hanging="360"/>
        <w:jc w:val="both"/>
      </w:pPr>
      <w:r>
        <w:rPr>
          <w:rFonts w:ascii="Times New Roman" w:cs="Times New Roman" w:eastAsia="Times New Roman" w:hAnsi="Times New Roman"/>
          <w:sz w:val="24"/>
          <w:szCs w:val="24"/>
        </w:rPr>
        <w:t xml:space="preserve">2. Test on a wider range of hardware profiles, including GPU-accelerated and server-grade environments, to establish how the proving-time figures reported here shift outside the single consumer-laptop profile evaluated in this study (Section 3.4), consistent with the hardware-sensitivity effects Chapter Two's literature already documents (Base, 2025).</w:t>
      </w:r>
    </w:p>
    <w:p>
      <w:pPr>
        <w:spacing w:after="200" w:line="360"/>
        <w:ind w:left="720" w:hanging="360"/>
        <w:jc w:val="both"/>
      </w:pPr>
      <w:r>
        <w:rPr>
          <w:rFonts w:ascii="Times New Roman" w:cs="Times New Roman" w:eastAsia="Times New Roman" w:hAnsi="Times New Roman"/>
          <w:sz w:val="24"/>
          <w:szCs w:val="24"/>
        </w:rPr>
        <w:t xml:space="preserve">3. Deliberately push circuit complexity into the resource-exhaustion regime. Because none of the four scenarios approached the 8 GB memory budget (Section 4.3), a useful follow-up would test substantially larger attribute sets or deeper Merkle trees specifically to characterize where and how this pipeline fails, rather than only where it succeeds.</w:t>
      </w:r>
    </w:p>
    <w:p>
      <w:pPr>
        <w:spacing w:after="200" w:line="360"/>
        <w:ind w:left="720" w:hanging="360"/>
        <w:jc w:val="both"/>
      </w:pPr>
      <w:r>
        <w:rPr>
          <w:rFonts w:ascii="Times New Roman" w:cs="Times New Roman" w:eastAsia="Times New Roman" w:hAnsi="Times New Roman"/>
          <w:sz w:val="24"/>
          <w:szCs w:val="24"/>
        </w:rPr>
        <w:t xml:space="preserve">4. Confirm the estimated intrinsic transaction overhead against a live mined transaction. Section 4.6 computes, but does not independently re-measure on a live chain, the additional base-fee and calldata gas (approximately 130,168 to 143,168 gas depending on scenario) a real end-user transaction would incur beyond the isolated verification-gas figure; closing that loop end to end on a public testnet is a natural next step.</w:t>
      </w:r>
    </w:p>
    <w:p>
      <w:pPr>
        <w:spacing w:after="200" w:line="360"/>
        <w:ind w:left="720" w:hanging="360"/>
        <w:jc w:val="both"/>
      </w:pPr>
      <w:r>
        <w:rPr>
          <w:rFonts w:ascii="Times New Roman" w:cs="Times New Roman" w:eastAsia="Times New Roman" w:hAnsi="Times New Roman"/>
          <w:sz w:val="24"/>
          <w:szCs w:val="24"/>
        </w:rPr>
        <w:t xml:space="preserve">5. Conduct an empirical, not only conceptual, comparison against Secure Multi-Party Computation. This study engaged SMPC as a conceptual comparator only (Section 4.8, per the scope set in Section 1.7); a genuine head-to-head benchmark implementing an equivalent credential predicate in an SMPC framework would allow the decoupling argument made here to be tested quantitatively rather than argued qualitatively.</w:t>
      </w:r>
    </w:p>
    <w:p>
      <w:pPr>
        <w:spacing w:after="200" w:line="360"/>
        <w:ind w:left="720" w:hanging="360"/>
        <w:jc w:val="both"/>
      </w:pPr>
      <w:r>
        <w:rPr>
          <w:rFonts w:ascii="Times New Roman" w:cs="Times New Roman" w:eastAsia="Times New Roman" w:hAnsi="Times New Roman"/>
          <w:sz w:val="24"/>
          <w:szCs w:val="24"/>
        </w:rPr>
        <w:t xml:space="preserve">6. Evaluate the cost of credential revocation. Revocation was explicitly excluded from this study's scope (Section 2.3.3, Section 3.14); given that Xu et al. (2023) found revocation mechanisms add measurable overhead in a different credential architecture, a natural extension is to measure that overhead specifically for the Noir/Barretenberg/Ethereum circuits evaluated here.</w:t>
      </w:r>
    </w:p>
    <w:p>
      <w:pPr>
        <w:spacing w:after="200" w:line="360"/>
        <w:ind w:left="720" w:hanging="360"/>
        <w:jc w:val="both"/>
      </w:pPr>
      <w:r>
        <w:rPr>
          <w:rFonts w:ascii="Times New Roman" w:cs="Times New Roman" w:eastAsia="Times New Roman" w:hAnsi="Times New Roman"/>
          <w:sz w:val="24"/>
          <w:szCs w:val="24"/>
        </w:rPr>
        <w:t xml:space="preserve">7. Extend gas measurement to public-network conditions. This study's Ethereum figures come exclusively from a local, deterministic EVM environment by design (Section 3.8.1); a supplementary study on Sepolia or mainnet, with base-fee and congestion effects reported separately, would extend the practical, cost-in-fiat picture this thesis deliberately left out of primary scope.</w:t>
      </w:r>
    </w:p>
    <w:p>
      <w:pPr>
        <w:spacing w:after="200" w:before="360"/>
        <w:jc w:val="left"/>
      </w:pPr>
      <w:r>
        <w:rPr>
          <w:rFonts w:ascii="Times New Roman" w:cs="Times New Roman" w:eastAsia="Times New Roman" w:hAnsi="Times New Roman"/>
          <w:b/>
          <w:bCs/>
          <w:sz w:val="24"/>
          <w:szCs w:val="24"/>
        </w:rPr>
        <w:t xml:space="preserve">5.5 Contribution to Knowledge</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closes the specific empirical gap identified in Section 2.9: the absence of a controlled, end-to-end benchmark connecting Noir/Barretenberg circuit complexity to both off-chain proving resources and on-chain Ethereum verification cost for an attribute-based credential circuit specifically, rather than for a generic cryptographic primitive or transaction-style application. It contributes, to the author's knowledge, the first published measurement confirming exact, zero-variance proof-size succinctness for an off-chain UltraHonk-proven credential circuit across a two-order-of-magnitude range of circuit complexity, together with a careful, explicitly-labelled separation of that off-chain artefact from the distinct on-chain (EVM-target) proof that actually determines blockchain calldata — a distinction this study's own review process demonstrated is easy to lose track of, and one future benchmarks of this kind should name explicitly from the outset. It further contributes a quantitative reading of the ZK-SNARK/SMPC design trade-off grounded in real Noir/Ethereum measurements rather than in the two paradigms' cost models alone. The complete reproducibility package, circuit source, synthetic data generator, benchmarking harness, verifier contracts, and raw datasets (Section 3.12.3), including the corrective scripts and before/after data from the review process, is preserved alongside this thesis so that the specific numbers reported in Chapter Four can be independently re-derived or extended.</w:t>
      </w:r>
    </w:p>
    <w:p>
      <w:pPr>
        <w:spacing w:after="200" w:before="360"/>
        <w:jc w:val="left"/>
      </w:pPr>
      <w:r>
        <w:rPr>
          <w:rFonts w:ascii="Times New Roman" w:cs="Times New Roman" w:eastAsia="Times New Roman" w:hAnsi="Times New Roman"/>
          <w:b/>
          <w:bCs/>
          <w:sz w:val="24"/>
          <w:szCs w:val="24"/>
        </w:rPr>
        <w:t xml:space="preserve">5.6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summarized the study's empirical findings against each of its four research questions, drew four conclusions from that evidence, and translated them into six recommendations for developers and six directions for future research. The central conclusion is that the ZK-SNARK/Noir/Ethereum pipeline evaluated in this thesis decouples off-chain proving cost from on-chain verification cost in practice, not merely in theory, for the specific attribute-based credential circuits benchmarked, and that this decoupling is the structural property that makes the pipeline well suited to the single-prover, gas-constrained verification setting the study set out to evaluate. A measurement defect caught during review, conflating two distinct proof artefacts, was corrected at the data level rather than the prose level, and left this central conclusion unchanged.</w:t>
      </w:r>
    </w:p>
    <w:p>
      <w:pPr>
        <w:spacing w:after="200" w:before="360"/>
        <w:jc w:val="left"/>
      </w:pPr>
      <w:r>
        <w:rPr>
          <w:rFonts w:ascii="Times New Roman" w:cs="Times New Roman" w:eastAsia="Times New Roman" w:hAnsi="Times New Roman"/>
          <w:b/>
          <w:bCs/>
          <w:sz w:val="24"/>
          <w:szCs w:val="24"/>
        </w:rPr>
        <w:t xml:space="preserve">REFERENCES</w:t>
      </w:r>
    </w:p>
    <w:p>
      <w:pPr>
        <w:spacing w:after="200" w:line="360"/>
        <w:ind w:left="720" w:hanging="720"/>
        <w:jc w:val="both"/>
      </w:pPr>
      <w:r>
        <w:rPr>
          <w:rFonts w:ascii="Times New Roman" w:cs="Times New Roman" w:eastAsia="Times New Roman" w:hAnsi="Times New Roman"/>
          <w:sz w:val="24"/>
          <w:szCs w:val="24"/>
        </w:rPr>
        <w:t xml:space="preserve">Base. (2025, September 3). Benchmarking ZKP systems for passkey ECDSA verification. Base Blog. https://blog.base.dev/benchmarking-zkp-systems</w:t>
      </w:r>
    </w:p>
    <w:p>
      <w:pPr>
        <w:spacing w:after="200" w:line="360"/>
        <w:ind w:left="720" w:hanging="720"/>
        <w:jc w:val="both"/>
      </w:pPr>
      <w:r>
        <w:rPr>
          <w:rFonts w:ascii="Times New Roman" w:cs="Times New Roman" w:eastAsia="Times New Roman" w:hAnsi="Times New Roman"/>
          <w:sz w:val="24"/>
          <w:szCs w:val="24"/>
        </w:rPr>
        <w:t xml:space="preserve">Xu, L., Li, T., &amp; Erkin, Z. (2023). Verifiable credentials with privacy-preserving tamper-evident revocation mechanism. In Proceedings of the IEEE International Conference on Blockchain and Cryptocurrency (ICBC 2023). IEEE. https://doi.org/10.1109/ICBC56567.2023.10174930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2026-09-16T23:25:35.599Z</dcterms:created>
  <dcterms:modified xsi:type="dcterms:W3CDTF">2026-09-16T23:25:35.600Z</dcterms:modified>
</cp:coreProperties>
</file>

<file path=docProps/custom.xml><?xml version="1.0" encoding="utf-8"?>
<Properties xmlns="http://schemas.openxmlformats.org/officeDocument/2006/custom-properties" xmlns:vt="http://schemas.openxmlformats.org/officeDocument/2006/docPropsVTypes"/>
</file>