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png"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cesmag.png"/>
                    <pic:cNvPicPr/>
                  </pic:nvPicPr>
                  <pic:blipFill>
                    <a:blip r:embed="rId9"/>
                    <a:stretch>
                      <a:fillRect/>
                    </a:stretch>
                  </pic:blipFill>
                  <pic:spPr>
                    <a:xfrm>
                      <a:off x="0" y="0"/>
                      <a:ext cx="1828800" cy="1828800"/>
                    </a:xfrm>
                    <a:prstGeom prst="rect"/>
                  </pic:spPr>
                </pic:pic>
              </a:graphicData>
            </a:graphic>
          </wp:inline>
        </w:drawing>
      </w:r>
    </w:p>
    <w:p>
      <w:r>
        <w:br/>
      </w:r>
    </w:p>
    <w:p>
      <w:pPr>
        <w:pStyle w:val="Heading1"/>
        <w:jc w:val="center"/>
      </w:pPr>
      <w:r>
        <w:t>Informe de Actividad</w:t>
      </w:r>
    </w:p>
    <w:p>
      <w:pPr>
        <w:pStyle w:val="Heading2"/>
        <w:jc w:val="center"/>
      </w:pPr>
      <w:r>
        <w:t>Taller de Introducción a la Inteligencia Artificial</w:t>
      </w:r>
    </w:p>
    <w:p>
      <w:r>
        <w:br/>
        <w:br/>
        <w:br/>
      </w:r>
    </w:p>
    <w:p>
      <w:pPr>
        <w:pStyle w:val="Heading2"/>
        <w:jc w:val="center"/>
      </w:pPr>
      <w:r>
        <w:t>Nombre del Profesor:</w:t>
      </w:r>
    </w:p>
    <w:p>
      <w:pPr>
        <w:jc w:val="center"/>
      </w:pPr>
      <w:r>
        <w:t>Carlos Gonzales</w:t>
      </w:r>
    </w:p>
    <w:p>
      <w:r>
        <w:br/>
      </w:r>
    </w:p>
    <w:p>
      <w:pPr>
        <w:pStyle w:val="Heading2"/>
        <w:jc w:val="center"/>
      </w:pPr>
      <w:r>
        <w:t>Programa Académico:</w:t>
      </w:r>
    </w:p>
    <w:p>
      <w:pPr>
        <w:jc w:val="center"/>
      </w:pPr>
      <w:r>
        <w:t>INGENIERÍA DE SISTEMAS</w:t>
      </w:r>
    </w:p>
    <w:p>
      <w:r>
        <w:br/>
        <w:br/>
        <w:br/>
        <w:br/>
        <w:br/>
        <w:br/>
        <w:br/>
        <w:br/>
        <w:br/>
        <w:br/>
      </w:r>
    </w:p>
    <w:p>
      <w:pPr>
        <w:pStyle w:val="Heading2"/>
        <w:spacing w:before="0" w:after="0" w:line="240" w:lineRule="exact"/>
        <w:jc w:val="center"/>
      </w:pPr>
      <w:r>
        <w:t>Fecha: 2024-11-28</w:t>
      </w:r>
    </w:p>
    <w:p>
      <w:r>
        <w:br w:type="page"/>
      </w:r>
    </w:p>
    <w:p>
      <w:pPr>
        <w:pStyle w:val="Heading2"/>
      </w:pPr>
      <w:r>
        <w:t>Informes</w:t>
      </w:r>
    </w:p>
    <w:tbl>
      <w:tblPr>
        <w:tblStyle w:val="TableGrid"/>
        <w:tblW w:type="auto" w:w="0"/>
        <w:tblLook w:firstColumn="1" w:firstRow="1" w:lastColumn="0" w:lastRow="0" w:noHBand="0" w:noVBand="1" w:val="04A0"/>
      </w:tblPr>
      <w:tblGrid>
        <w:gridCol w:w="2491"/>
        <w:gridCol w:w="2491"/>
        <w:gridCol w:w="2491"/>
        <w:gridCol w:w="2491"/>
      </w:tblGrid>
      <w:tr>
        <w:tc>
          <w:tcPr>
            <w:tcW w:type="dxa" w:w="9964"/>
            <w:gridSpan w:val="4"/>
          </w:tcPr>
          <w:p>
            <w:r>
              <w:t>Fundamentos de la IA</w:t>
            </w:r>
          </w:p>
        </w:tc>
      </w:tr>
      <w:tr>
        <w:tc>
          <w:tcPr>
            <w:tcW w:type="dxa" w:w="2491"/>
          </w:tcPr>
          <w:p>
            <w:r>
              <w:t>Fecha de Inicio</w:t>
            </w:r>
          </w:p>
        </w:tc>
        <w:tc>
          <w:tcPr>
            <w:tcW w:type="dxa" w:w="2491"/>
          </w:tcPr>
          <w:p>
            <w:r>
              <w:t>27/11/2024</w:t>
            </w:r>
          </w:p>
        </w:tc>
        <w:tc>
          <w:tcPr>
            <w:tcW w:type="dxa" w:w="2491"/>
          </w:tcPr>
          <w:p>
            <w:r>
              <w:t>Fecha de Fin</w:t>
            </w:r>
          </w:p>
        </w:tc>
        <w:tc>
          <w:tcPr>
            <w:tcW w:type="dxa" w:w="2491"/>
          </w:tcPr>
          <w:p>
            <w:r>
              <w:t>27/11/2024</w:t>
            </w:r>
          </w:p>
        </w:tc>
      </w:tr>
      <w:tr>
        <w:tc>
          <w:tcPr>
            <w:tcW w:type="dxa" w:w="9964"/>
            <w:gridSpan w:val="4"/>
          </w:tcPr>
          <w:p>
            <w:r>
              <w:t>Descripcion</w:t>
            </w:r>
          </w:p>
        </w:tc>
      </w:tr>
      <w:tr>
        <w:tc>
          <w:tcPr>
            <w:tcW w:type="dxa" w:w="9964"/>
            <w:gridSpan w:val="4"/>
          </w:tcPr>
          <w:p>
            <w:r>
              <w:t>Durante este taller introductorio, los participantes exploraron el impacto de la inteligencia artificial en diversas industrias, como la salud y la educación. Se explicó el funcionamiento del aprendizaje supervisado y no supervisado, presentando ejemplos reales para facilitar la comprensión. Los estudiantes tuvieron la oportunidad de interactuar con herramientas básicas como TensorFlow, experimentando con conjuntos de datos pequeños para desarrollar modelos iniciales.</w:t>
            </w:r>
          </w:p>
        </w:tc>
      </w:tr>
      <w:tr>
        <w:tc>
          <w:tcPr>
            <w:tcW w:type="dxa" w:w="9964"/>
            <w:gridSpan w:val="4"/>
          </w:tcPr>
          <w:p>
            <w:r>
              <w:t>Evidencias</w:t>
            </w:r>
          </w:p>
        </w:tc>
      </w:tr>
      <w:tr>
        <w:tc>
          <w:tcPr>
            <w:tcW w:type="dxa" w:w="9964"/>
            <w:gridSpan w:val="4"/>
          </w:tcPr>
          <w:p/>
          <w:p>
            <w:r>
              <w:t>No hay evidencias disponibles.</w:t>
            </w:r>
          </w:p>
        </w:tc>
      </w:tr>
    </w:tbl>
    <w:p/>
    <w:tbl>
      <w:tblPr>
        <w:tblStyle w:val="TableGrid"/>
        <w:tblW w:type="auto" w:w="0"/>
        <w:tblLook w:firstColumn="1" w:firstRow="1" w:lastColumn="0" w:lastRow="0" w:noHBand="0" w:noVBand="1" w:val="04A0"/>
      </w:tblPr>
      <w:tblGrid>
        <w:gridCol w:w="2491"/>
        <w:gridCol w:w="2491"/>
        <w:gridCol w:w="2491"/>
        <w:gridCol w:w="2491"/>
      </w:tblGrid>
      <w:tr>
        <w:tc>
          <w:tcPr>
            <w:tcW w:type="dxa" w:w="9964"/>
            <w:gridSpan w:val="4"/>
          </w:tcPr>
          <w:p>
            <w:r>
              <w:t>Aplicaciones prácticas de la IA</w:t>
            </w:r>
          </w:p>
        </w:tc>
      </w:tr>
      <w:tr>
        <w:tc>
          <w:tcPr>
            <w:tcW w:type="dxa" w:w="2491"/>
          </w:tcPr>
          <w:p>
            <w:r>
              <w:t>Fecha de Inicio</w:t>
            </w:r>
          </w:p>
        </w:tc>
        <w:tc>
          <w:tcPr>
            <w:tcW w:type="dxa" w:w="2491"/>
          </w:tcPr>
          <w:p>
            <w:r>
              <w:t>28/11/2024</w:t>
            </w:r>
          </w:p>
        </w:tc>
        <w:tc>
          <w:tcPr>
            <w:tcW w:type="dxa" w:w="2491"/>
          </w:tcPr>
          <w:p>
            <w:r>
              <w:t>Fecha de Fin</w:t>
            </w:r>
          </w:p>
        </w:tc>
        <w:tc>
          <w:tcPr>
            <w:tcW w:type="dxa" w:w="2491"/>
          </w:tcPr>
          <w:p>
            <w:r>
              <w:t>28/11/2024</w:t>
            </w:r>
          </w:p>
        </w:tc>
      </w:tr>
      <w:tr>
        <w:tc>
          <w:tcPr>
            <w:tcW w:type="dxa" w:w="9964"/>
            <w:gridSpan w:val="4"/>
          </w:tcPr>
          <w:p>
            <w:r>
              <w:t>Descripcion</w:t>
            </w:r>
          </w:p>
        </w:tc>
      </w:tr>
      <w:tr>
        <w:tc>
          <w:tcPr>
            <w:tcW w:type="dxa" w:w="9964"/>
            <w:gridSpan w:val="4"/>
          </w:tcPr>
          <w:p>
            <w:r>
              <w:t>En la segunda parte del taller, se mostraron casos reales donde la inteligencia artificial ha resuelto problemas complejos. Por ejemplo, se discutieron diagnósticos médicos automatizados y sistemas de recomendación en plataformas de comercio electrónico. Los participantes realizaron ejercicios prácticos en los que aplicaron algoritmos sencillos y visualizaron los resultados en tiempo real, fomentando un aprendizaje activo.</w:t>
            </w:r>
          </w:p>
        </w:tc>
      </w:tr>
      <w:tr>
        <w:tc>
          <w:tcPr>
            <w:tcW w:type="dxa" w:w="9964"/>
            <w:gridSpan w:val="4"/>
          </w:tcPr>
          <w:p>
            <w:r>
              <w:t>Evidencias</w:t>
            </w:r>
          </w:p>
        </w:tc>
      </w:tr>
      <w:tr>
        <w:tc>
          <w:tcPr>
            <w:tcW w:type="dxa" w:w="9964"/>
            <w:gridSpan w:val="4"/>
          </w:tcPr>
          <w:p/>
          <w:p>
            <w:r>
              <w:t>No hay evidencias disponibles.</w:t>
            </w:r>
          </w:p>
        </w:tc>
      </w:tr>
    </w:tbl>
    <w:p/>
    <w:tbl>
      <w:tblPr>
        <w:tblStyle w:val="TableGrid"/>
        <w:tblW w:type="auto" w:w="0"/>
        <w:tblLook w:firstColumn="1" w:firstRow="1" w:lastColumn="0" w:lastRow="0" w:noHBand="0" w:noVBand="1" w:val="04A0"/>
      </w:tblPr>
      <w:tblGrid>
        <w:gridCol w:w="1134"/>
        <w:gridCol w:w="1134"/>
        <w:gridCol w:w="1134"/>
        <w:gridCol w:w="1134"/>
      </w:tblGrid>
      <w:tr>
        <w:tc>
          <w:tcPr>
            <w:tcW w:type="dxa" w:w="9964"/>
            <w:gridSpan w:val="4"/>
          </w:tcPr>
          <w:p>
            <w:r>
              <w:t>Ética en la IA</w:t>
            </w:r>
          </w:p>
        </w:tc>
      </w:tr>
      <w:tr>
        <w:tc>
          <w:tcPr>
            <w:tcW w:type="dxa" w:w="2491"/>
          </w:tcPr>
          <w:p>
            <w:r>
              <w:t>Fecha de Inicio</w:t>
            </w:r>
          </w:p>
        </w:tc>
        <w:tc>
          <w:tcPr>
            <w:tcW w:type="dxa" w:w="2491"/>
          </w:tcPr>
          <w:p>
            <w:r>
              <w:t>29/11/2024</w:t>
            </w:r>
          </w:p>
        </w:tc>
        <w:tc>
          <w:tcPr>
            <w:tcW w:type="dxa" w:w="2491"/>
          </w:tcPr>
          <w:p>
            <w:r>
              <w:t>Fecha de Fin</w:t>
            </w:r>
          </w:p>
        </w:tc>
        <w:tc>
          <w:tcPr>
            <w:tcW w:type="dxa" w:w="2491"/>
          </w:tcPr>
          <w:p>
            <w:r>
              <w:t>29/11/2024</w:t>
            </w:r>
          </w:p>
        </w:tc>
      </w:tr>
      <w:tr>
        <w:tc>
          <w:tcPr>
            <w:tcW w:type="dxa" w:w="9964"/>
            <w:gridSpan w:val="4"/>
          </w:tcPr>
          <w:p>
            <w:r>
              <w:t>Descripcion</w:t>
            </w:r>
          </w:p>
        </w:tc>
      </w:tr>
      <w:tr>
        <w:tc>
          <w:tcPr>
            <w:tcW w:type="dxa" w:w="9964"/>
            <w:gridSpan w:val="4"/>
          </w:tcPr>
          <w:p>
            <w:r>
              <w:t>El cierre del taller se centró en los desafíos éticos asociados con la inteligencia artificial. Se debatieron temas como el sesgo algorítmico y la privacidad de los datos, analizando casos de estudio que generaron reflexiones profundas entre los asistentes. Finalmente, se discutieron estrategias para garantizar el desarrollo responsable de la tecnología, destacando la importancia de la regulación y la transparencia.</w:t>
            </w:r>
          </w:p>
        </w:tc>
      </w:tr>
      <w:tr>
        <w:tc>
          <w:tcPr>
            <w:tcW w:type="dxa" w:w="9964"/>
            <w:gridSpan w:val="4"/>
          </w:tcPr>
          <w:p>
            <w:r>
              <w:t>Evidencias</w:t>
            </w:r>
          </w:p>
        </w:tc>
      </w:tr>
      <w:tr>
        <w:tc>
          <w:tcPr>
            <w:tcW w:type="dxa" w:w="9964"/>
            <w:gridSpan w:val="4"/>
          </w:tcPr>
          <w:p/>
          <w:p>
            <w:r>
              <w:t>No hay evidencias disponibles.</w:t>
            </w:r>
          </w:p>
        </w:tc>
      </w:tr>
    </w:tbl>
    <w:p/>
    <w:tbl>
      <w:tblPr>
        <w:tblW w:type="auto" w:w="0"/>
        <w:tblLayout w:type="autofit"/>
        <w:tblLook w:firstColumn="1" w:firstRow="1" w:lastColumn="0" w:lastRow="0" w:noHBand="0" w:noVBand="1" w:val="04A0"/>
      </w:tblPr>
      <w:tblGrid>
        <w:gridCol w:w="3321"/>
        <w:gridCol w:w="3321"/>
        <w:gridCol w:w="3321"/>
      </w:tblGrid>
      <w:tr>
        <w:tc>
          <w:tcPr>
            <w:tcW w:type="dxa" w:w="3321"/>
          </w:tcPr>
          <w:p>
            <w:r>
              <w:drawing>
                <wp:inline xmlns:a="http://schemas.openxmlformats.org/drawingml/2006/main" xmlns:pic="http://schemas.openxmlformats.org/drawingml/2006/picture">
                  <wp:extent cx="1371600" cy="685800"/>
                  <wp:docPr id="2" name="Picture 2"/>
                  <wp:cNvGraphicFramePr>
                    <a:graphicFrameLocks noChangeAspect="1"/>
                  </wp:cNvGraphicFramePr>
                  <a:graphic>
                    <a:graphicData uri="http://schemas.openxmlformats.org/drawingml/2006/picture">
                      <pic:pic>
                        <pic:nvPicPr>
                          <pic:cNvPr id="0" name="123456788_firma.png"/>
                          <pic:cNvPicPr/>
                        </pic:nvPicPr>
                        <pic:blipFill>
                          <a:blip r:embed="rId10"/>
                          <a:stretch>
                            <a:fillRect/>
                          </a:stretch>
                        </pic:blipFill>
                        <pic:spPr>
                          <a:xfrm>
                            <a:off x="0" y="0"/>
                            <a:ext cx="1371600" cy="685800"/>
                          </a:xfrm>
                          <a:prstGeom prst="rect"/>
                        </pic:spPr>
                      </pic:pic>
                    </a:graphicData>
                  </a:graphic>
                </wp:inline>
              </w:drawing>
            </w:r>
          </w:p>
          <w:p>
            <w:r>
              <w:t>Carlos Gonzales</w:t>
            </w:r>
          </w:p>
        </w:tc>
        <w:tc>
          <w:tcPr>
            <w:tcW w:type="dxa" w:w="3321"/>
          </w:tcPr>
          <w:p/>
        </w:tc>
        <w:tc>
          <w:tcPr>
            <w:tcW w:type="dxa" w:w="3321"/>
          </w:tcPr>
          <w:p/>
        </w:tc>
      </w:tr>
    </w:tbl>
    <w:sectPr w:rsidR="00FC693F" w:rsidRPr="0006063C" w:rsidSect="00034616">
      <w:type w:val="continuous"/>
      <w:pgSz w:w="12240" w:h="15840"/>
      <w:pgMar w:top="1138" w:right="1138" w:bottom="1138" w:left="1138"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