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1633afbc244465a" /></Relationships>
</file>

<file path=word/document.xml><?xml version="1.0" encoding="utf-8"?>
<w:document xmlns:w="http://schemas.openxmlformats.org/wordprocessingml/2006/main">
  <w:body>
    <w:p>
      <w:r>
        <w:drawing>
          <wp:anchor xmlns:wp="http://schemas.openxmlformats.org/drawingml/2006/wordprocessingDrawing"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Background.png"/>
                    <pic:cNvPicPr/>
                  </pic:nvPicPr>
                  <pic:blipFill>
                    <a:blip xmlns:r="http://schemas.openxmlformats.org/officeDocument/2006/relationships" r:embed="R72a337e5217440b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4200"/>
      </w:pPr>
      <w:r/>
    </w:p>
    <w:p>
      <w:pPr>
        <w:jc w:val="center"/>
        <w:spacing w:after="240"/>
      </w:pPr>
      <w:r>
        <w:rPr>
          <w:rFonts w:eastAsia="SimHei"/>
          <w:b/>
          <w:color w:val="2F4858"/>
          <w:sz w:val="40"/>
        </w:rPr>
        <w:t>用 DeepSeek Harness 替换</w:t>
      </w:r>
    </w:p>
    <w:p>
      <w:pPr>
        <w:jc w:val="center"/>
        <w:spacing w:after="200"/>
      </w:pPr>
      <w:r>
        <w:rPr>
          <w:rFonts w:eastAsia="SimHei"/>
          <w:b/>
          <w:color w:val="2F4858"/>
          <w:sz w:val="40"/>
        </w:rPr>
        <w:t>DeepSeek-Reasonix 后端 Agent</w:t>
      </w:r>
    </w:p>
    <w:p>
      <w:pPr>
        <w:jc w:val="center"/>
        <w:spacing w:after="360"/>
      </w:pPr>
      <w:r>
        <w:rPr>
          <w:color w:val="5B7B9A"/>
          <w:sz w:val="28"/>
        </w:rPr>
        <w:t>技术方案书 · 架构设计 · 迁移路径 · 接口契约</w:t>
      </w:r>
    </w:p>
    <w:p>
      <w:pPr>
        <w:jc w:val="center"/>
        <w:spacing w:after="360"/>
      </w:pPr>
      <w:r>
        <w:rPr>
          <w:color w:val="8FB3C9"/>
          <w:sz w:val="28"/>
        </w:rPr>
        <w:t>————————</w:t>
      </w:r>
    </w:p>
    <w:p>
      <w:pPr>
        <w:jc w:val="center"/>
        <w:spacing w:after="120"/>
      </w:pPr>
      <w:r>
        <w:rPr>
          <w:color w:val="486581"/>
          <w:sz w:val="22"/>
        </w:rPr>
        <w:t>以 DeepSeek Harness 的 Cordis 插件运行时替换 Reasonix Go 内核中的 Agent 循环。</w:t>
      </w:r>
    </w:p>
    <w:p>
      <w:pPr>
        <w:jc w:val="center"/>
        <w:spacing w:after="2200"/>
      </w:pPr>
      <w:r>
        <w:rPr>
          <w:color w:val="486581"/>
          <w:sz w:val="22"/>
        </w:rPr>
        <w:t>工具执行与模型接入层，保留其前端与品牌体验。</w:t>
      </w:r>
    </w:p>
    <w:p>
      <w:pPr>
        <w:jc w:val="center"/>
        <w:spacing w:after="80"/>
      </w:pPr>
      <w:r>
        <w:rPr>
          <w:color w:val="829AB1"/>
          <w:sz w:val="22"/>
        </w:rPr>
        <w:t>架构设计组</w:t>
      </w:r>
    </w:p>
    <w:p>
      <w:pPr>
        <w:jc w:val="center"/>
      </w:pPr>
      <w:r>
        <w:rPr>
          <w:color w:val="829AB1"/>
          <w:sz w:val="21"/>
        </w:rPr>
        <w:t>2026 年 8 月</w:t>
      </w:r>
    </w:p>
    <w:p>
      <w:pPr>
        <w:sectPr>
          <w:type w:val="nextPage"/>
          <w:pgSz w:w="11906" w:h="16838"/>
          <w:pgMar w:top="0" w:right="0" w:bottom="0" w:left="0" w:header="0" w:footer="0"/>
        </w:sectPr>
      </w:pPr>
    </w:p>
    <w:p>
      <w:pPr>
        <w:pStyle w:val="Heading1"/>
      </w:pPr>
      <w:bookmarkStart w:name="_Toc000" w:id="0"/>
      <w:r>
        <w:rPr>
          <w:color w:val="2F4858"/>
        </w:rPr>
        <w:t>目录</w:t>
      </w:r>
      <w:bookmarkEnd w:id="0"/>
    </w:p>
    <w:p>
      <w:pPr>
        <w:spacing w:after="320"/>
      </w:pPr>
      <w:r>
        <w:rPr>
          <w:color w:val="829AB1"/>
          <w:sz w:val="18"/>
        </w:rPr>
        <w:t>提示：首次打开请右键点击目录，选择“更新域”刷新页码；或在文件属性中允许自动更新域。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1 背景与目标</w:t>
      </w:r>
      <w:r>
        <w:tab/>
      </w:r>
      <w:r>
        <w:t>1</w:t>
      </w:r>
    </w:p>
    <w:p>
      <w:pPr>
        <w:pStyle w:val="TOC1"/>
      </w:pPr>
      <w:r>
        <w:t>2 现状与架构分析</w:t>
      </w:r>
      <w:r>
        <w:tab/>
      </w:r>
      <w:r>
        <w:t>2</w:t>
      </w:r>
    </w:p>
    <w:p>
      <w:pPr>
        <w:pStyle w:val="TOC1"/>
      </w:pPr>
      <w:r>
        <w:t>3 总体方案</w:t>
      </w:r>
      <w:r>
        <w:tab/>
      </w:r>
      <w:r>
        <w:t>4</w:t>
      </w:r>
    </w:p>
    <w:p>
      <w:pPr>
        <w:pStyle w:val="TOC1"/>
      </w:pPr>
      <w:r>
        <w:t>4 引擎层替换（DeepSeek Harness 作为后端）</w:t>
      </w:r>
      <w:r>
        <w:tab/>
      </w:r>
      <w:r>
        <w:t>6</w:t>
      </w:r>
    </w:p>
    <w:p>
      <w:pPr>
        <w:pStyle w:val="TOC1"/>
      </w:pPr>
      <w:r>
        <w:t>5 桥接层设计（Reasonix 前端 ↔ dsh）</w:t>
      </w:r>
      <w:r>
        <w:tab/>
      </w:r>
      <w:r>
        <w:t>9</w:t>
      </w:r>
    </w:p>
    <w:p>
      <w:pPr>
        <w:pStyle w:val="TOC1"/>
      </w:pPr>
      <w:r>
        <w:t>6 配置与兼容性</w:t>
      </w:r>
      <w:r>
        <w:tab/>
      </w:r>
      <w:r>
        <w:t>11</w:t>
      </w:r>
    </w:p>
    <w:p>
      <w:pPr>
        <w:pStyle w:val="TOC1"/>
      </w:pPr>
      <w:r>
        <w:t>7 风险与缓解</w:t>
      </w:r>
      <w:r>
        <w:tab/>
      </w:r>
      <w:r>
        <w:t>12</w:t>
      </w:r>
    </w:p>
    <w:p>
      <w:pPr>
        <w:pStyle w:val="TOC1"/>
      </w:pPr>
      <w:r>
        <w:t>8 迁移、验证与回滚</w:t>
      </w:r>
      <w:r>
        <w:tab/>
      </w:r>
      <w:r>
        <w:t>13</w:t>
      </w:r>
    </w:p>
    <w:p>
      <w:pPr>
        <w:pStyle w:val="TOC1"/>
      </w:pPr>
      <w:r>
        <w:t>9 里程碑与排期</w:t>
      </w:r>
      <w:r>
        <w:tab/>
      </w:r>
      <w:r>
        <w:t>15</w:t>
      </w:r>
    </w:p>
    <w:p>
      <w:pPr>
        <w:pStyle w:val="TOC1"/>
      </w:pPr>
      <w:r>
        <w:t>10 附录</w:t>
      </w:r>
      <w:r>
        <w:tab/>
      </w:r>
      <w:r>
        <w:t>16</w:t>
      </w:r>
    </w:p>
    <w:p>
      <w:pPr>
        <w:pStyle w:val="TOC2"/>
      </w:pPr>
      <w:r>
        <w:t>10.3 问题继承与回归风险</w:t>
      </w:r>
      <w:r>
        <w:tab/>
      </w:r>
      <w:r>
        <w:t>17</w:t>
      </w:r>
    </w:p>
    <w:p>
      <w:pPr>
        <w:pStyle w:val="TOC1"/>
      </w:pPr>
      <w:r>
        <w:t>11 Windows 构建与安装包</w:t>
      </w:r>
      <w:r>
        <w:tab/>
      </w:r>
      <w:r>
        <w:t>18</w:t>
      </w:r>
    </w:p>
    <w:p>
      <w:pPr>
        <w:pStyle w:val="TOC1"/>
      </w:pPr>
      <w:r>
        <w:t>12 DeepSeek Harness 高频更新适配</w:t>
      </w:r>
      <w:r>
        <w:tab/>
      </w:r>
      <w:r>
        <w:t>19</w:t>
      </w:r>
    </w:p>
    <w:p>
      <w:pPr>
        <w:pStyle w:val="TOC1"/>
      </w:pPr>
      <w:r>
        <w:t>13 Reasonix 前端高频更新适配</w:t>
      </w:r>
      <w:r>
        <w:tab/>
      </w:r>
      <w:r>
        <w:t>20</w:t>
      </w:r>
    </w:p>
    <w:p>
      <w:pPr>
        <w:pStyle w:val="TOC1"/>
      </w:pPr>
      <w:r>
        <w:t>14 落地实现与最新进展</w:t>
      </w:r>
      <w:r>
        <w:tab/>
      </w:r>
      <w:r>
        <w:t>21</w:t>
      </w:r>
    </w:p>
    <w:p>
      <w:pPr>
        <w:pStyle w:val="TOC1"/>
      </w:pPr>
      <w:r>
        <w:t>15 未完成内容与后续工作</w:t>
      </w:r>
      <w:r>
        <w:tab/>
      </w:r>
      <w:r>
        <w:t>22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bookmarkStart w:name="_Toc001" w:id="001"/>
      <w:r>
        <w:t>1 背景与目标</w:t>
      </w:r>
      <w:bookmarkEnd w:id="001"/>
    </w:p>
    <w:p>
      <w:pPr>
        <w:pStyle w:val="Heading2"/>
      </w:pPr>
      <w:r>
        <w:t>1.1 项目背景</w:t>
      </w:r>
    </w:p>
    <w:p>
      <w:r>
        <w:t>DeepSeek-Reasonix（以下简称 Reasonix）是一个面向 DeepSeek 模型、以“前缀缓存稳定性”为核心卖点的本地编码 Agent：单一 Go 静态二进制作为“harness”，通过 internal/control 的 Controller 驱动 Agent 循环、工具执行与会话生命周期，并向上提供 CLI/TUI、Tauri 桌面端（Rust/WebView2）、HTTP SSE 与 ACP 等多种前端入口。其护城河在于缓存优先循环（Cache-First Loop）、工具调用修复管线与分级成本管控，使长会话输入 token 成本降至约 1/5。</w:t>
      </w:r>
    </w:p>
    <w:p>
      <w:r>
        <w:t>DeepSeek Harness（以下简称 dsh）是 DeepSeek 官方于 2026-08 开源的 Agent 运行时，建立在 Cordis 元框架之上，遵循“一切皆插件（Everything is a Plugin）”：模型适配器、工具注册、会话日志乃至 Agent 循环本身都是可从配置替换的插件。它原生提供 web、headless、ACP、JSON-RPC 与 Python SDK 等多种接入形态，并具备由 SessionEvent 日志驱动的可回放、可审计上下文。</w:t>
      </w:r>
    </w:p>
    <w:p>
      <w:r>
        <w:t>本方案的目标，是在保留 Reasonix 前端体验与品牌资产的前提下，将其 Go 内核中的“后端 Agent”（即 Controller 所承载的循环、工具、模型接入与修复逻辑）替换为 dsh 的 Cordis 插件运行时，从而同时获得：Reasonix 已验证的缓存与成本经济，以及 dsh 的可组合、可扩展、可审计的插件化架构与官方持续迭代。</w:t>
      </w:r>
    </w:p>
    <w:p>
      <w:pPr>
        <w:pStyle w:val="Heading2"/>
      </w:pPr>
      <w:r>
        <w:t>1.2 目标与范围</w:t>
      </w:r>
    </w:p>
    <w:p>
      <w:pPr>
        <w:numPr>
          <w:ilvl w:val="0"/>
          <w:numId w:val="2"/>
        </w:numPr>
      </w:pPr>
      <w:r>
        <w:t>目标：以 dsh 作为 Agent 引擎，承载 Reasonix 的会话运行、工具执行、模型接入与修复逻辑；Reasonix 前端（TUI / 桌面 / ACP / HTTP）改为驱动 dsh 的薄客户端。</w:t>
      </w:r>
    </w:p>
    <w:p>
      <w:pPr>
        <w:numPr>
          <w:ilvl w:val="0"/>
          <w:numId w:val="2"/>
        </w:numPr>
      </w:pPr>
      <w:r>
        <w:t>目标：将 Reasonix 三大独有能力（缓存优先循环、工具调用修复管线、分级成本管控 + 双模型 Coordinator）移植为 dsh 的 bundle/插件，使其可随 dsh 配置热插拔。</w:t>
      </w:r>
    </w:p>
    <w:p>
      <w:pPr>
        <w:numPr>
          <w:ilvl w:val="0"/>
          <w:numId w:val="2"/>
        </w:numPr>
      </w:pPr>
      <w:r>
        <w:t>目标：保持 reasonix.toml 配置、斜杠命令、MCP 插件生态的向后兼容，降低用户迁移成本。</w:t>
      </w:r>
    </w:p>
    <w:p>
      <w:pPr>
        <w:numPr>
          <w:ilvl w:val="0"/>
          <w:numId w:val="2"/>
        </w:numPr>
      </w:pPr>
      <w:r>
        <w:t>非范围：不在本期替换 Reasonix 桌面端 React UI 与安装分发体系；不直接复用 dsh 官方 web UI 作为主界面。</w:t>
      </w:r>
    </w:p>
    <w:p>
      <w:pPr>
        <w:pStyle w:val="Heading2"/>
      </w:pPr>
      <w:r>
        <w:t>1.3 关键约束</w:t>
      </w:r>
    </w:p>
    <w:p>
      <w:pPr>
        <w:numPr>
          <w:ilvl w:val="0"/>
          <w:numId w:val="2"/>
        </w:numPr>
      </w:pPr>
      <w:r>
        <w:t>dsh 处于 Developer Preview，明确声明“存在破坏性兼容变更”，需以 profile/bundle 分层与补丁隔离，约定锁定版本。</w:t>
      </w:r>
    </w:p>
    <w:p>
      <w:pPr>
        <w:numPr>
          <w:ilvl w:val="0"/>
          <w:numId w:val="2"/>
        </w:numPr>
      </w:pPr>
      <w:r>
        <w:t>Reasonix 的缓存经济高度依赖其循环实现，移植时必须保证“字节稳定前缀”不被破坏，否则成本优势失效。</w:t>
      </w:r>
    </w:p>
    <w:p>
      <w:pPr>
        <w:numPr>
          <w:ilvl w:val="0"/>
          <w:numId w:val="2"/>
        </w:numPr>
      </w:pPr>
      <w:r>
        <w:t>跨语言桥接：Go 前端与 TypeScript/Node 引擎需通过进程间协议（ACP / JSON-RPC）通信，需评估延迟与稳定性。</w:t>
      </w:r>
    </w:p>
    <w:p>
      <w:pPr>
        <w:pStyle w:val="Heading1"/>
      </w:pPr>
      <w:bookmarkStart w:name="_Toc002" w:id="002"/>
      <w:r>
        <w:t>2 现状与架构分析</w:t>
      </w:r>
      <w:bookmarkEnd w:id="002"/>
    </w:p>
    <w:p>
      <w:pPr>
        <w:pStyle w:val="Heading2"/>
      </w:pPr>
      <w:r>
        <w:t>2.1 DeepSeek-Reasonix 架构</w:t>
      </w:r>
    </w:p>
    <w:p>
      <w:r>
        <w:t>Reasonix v2 为 Go 全量重写，单一静态二进制（CGO_ENABLED=0）。所有前端经由 internal/boot.Build() 装配出同一个 control.Controller，由它拥有 Agent 运行循环与会话生命周期。关键接口如下：</w:t>
      </w:r>
    </w:p>
    <w:p>
      <w:pPr>
        <w:numPr>
          <w:ilvl w:val="0"/>
          <w:numId w:val="2"/>
        </w:numPr>
        <w:spacing w:after="80"/>
      </w:pPr>
      <w:r>
        <w:t>provider.Provider：LLM 后端抽象，负责 Stream 与响应归一化（含 reasoning token 与 tool_calls）。</w:t>
      </w:r>
    </w:p>
    <w:p>
      <w:pPr>
        <w:numPr>
          <w:ilvl w:val="0"/>
          <w:numId w:val="2"/>
        </w:numPr>
        <w:spacing w:after="80"/>
      </w:pPr>
      <w:r>
        <w:t>tool.Tool / tool.Registry：能力单元与实时工具表，支持会话中热挂载 MCP 服务器，子 Agent 按委派深度获得过滤后的注册表。</w:t>
      </w:r>
    </w:p>
    <w:p>
      <w:pPr>
        <w:numPr>
          <w:ilvl w:val="0"/>
          <w:numId w:val="2"/>
        </w:numPr>
        <w:spacing w:after="80"/>
      </w:pPr>
      <w:r>
        <w:t>plugin.Host：管理外部 MCP 服务器，作为外部工具提供者经 stdio / HTTP JSON-RPC 通信。</w:t>
      </w:r>
    </w:p>
    <w:p>
      <w:pPr>
        <w:numPr>
          <w:ilvl w:val="0"/>
          <w:numId w:val="2"/>
        </w:numPr>
        <w:spacing w:after="80"/>
      </w:pPr>
      <w:r>
        <w:t>control.Controller：传输无关驱动，处理 Send / Cancel / Approve，向单一 event.Sink 发射所有内部状态变化。</w:t>
      </w:r>
    </w:p>
    <w:p>
      <w:r>
        <w:t>其四大支柱中与本方案直接相关的为：缓存优先循环（将上下文分为不可变前缀、仅追加日志、易失草稿三段，保证前缀缓存命中）、工具调用修复管线（scavenge / flatten / truncation / storm）、分级成本管控（flash-first 默认、pro 模型调用显式可见）以及双模型 Coordinator（planner 与 executor 分离，各自保持前缀稳定）。</w:t>
      </w:r>
    </w:p>
    <w:p>
      <w:pPr>
        <w:pStyle w:val="Heading2"/>
      </w:pPr>
      <w:r>
        <w:t>2.2 DeepSeek Harness 架构</w:t>
      </w:r>
    </w:p>
    <w:p>
      <w:r>
        <w:t>dsh 以 Cordis 为底座，插件向共享上下文贡献服务、类型化事件与可逆副作用。核心包（core 包）包括：core/session（仅追加 SessionEvent 日志与内存存储，ctx.sessions）、core/system-prompt（提示段与工具 schema 装配，ctx.systemPrompt）、core/tools（作用域工具注册与受保护执行管线，ctx.tools）、core/agent（Agent 接口、实时注册表与 agent/* 事件，ctx.agents）、core/agent-loop（默认驱动实现，ctx.agentLoop）、core/scope（单 Agent 作用域注册原语）、llm/llm（消息与流词汇及适配器接缝，ctx.llm）。</w:t>
      </w:r>
    </w:p>
    <w:p>
      <w:r>
        <w:t>运行中的 dsh 是由有序分层组合的插件树：profile 列出堆叠的 bundle，并持有用户的 cordis.patch.yml；dsh-base 是每个 profile 的第一层（模型适配器、工具、持久化、沙箱与审批策略、设置、凭证、遥测）。扩展点以事件为主：会话事件写入日志并经 session/event 广播；agent/* 携带运行中的 Agent（inbox / step / status / request / validation / continuation）；能力接缝（fs/*、tools/*、telemetry/*）在不导入循环的前提下挂载策略与适配器。一次 turn 由若干 step 组成，step 即一次模型请求加其工具调用；agent/pre-step 决定模型可见内容，agent/turn-stopping 可终止 turn。</w:t>
      </w:r>
    </w:p>
    <w:p>
      <w:r>
        <w:t>关键不变式：“模型可见即已记录（Model-visible means logged）”——任何进入模型请求的内容都必须能从 SessionEvent 日志重建，并由运行时断言强制。这与 Reasonix 的缓存优先、可恢复设计哲学高度契合，是二者融合的结构性基础。</w:t>
      </w:r>
    </w:p>
    <w:p>
      <w:pPr>
        <w:pStyle w:val="Heading2"/>
      </w:pPr>
      <w:r>
        <w:t>2.3 两者关键差异</w:t>
      </w:r>
    </w:p>
    <w:tbl>
      <w:tblPr>
        <w:tblW w:w="100" w:type="pct"/>
        <w:tblBorders>
          <w:top w:val="single" w:color="2F4858" w:sz="12"/>
          <w:bottom w:val="single" w:color="2F4858" w:sz="12"/>
          <w:left w:val="nil"/>
          <w:right w:val="nil"/>
          <w:insideH w:val="single" w:color="C5D2E0" w:sz="4"/>
          <w:insideV w:val="nil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1800"/>
        <w:gridCol w:w="4000"/>
        <w:gridCol w:w="4200"/>
      </w:tblGrid>
      <w:tr>
        <w:trPr>
          <w:tblHeader/>
          <w:trHeight w:val="380" w:hRule="atLeast"/>
        </w:trPr>
        <w:tc>
          <w:tcPr>
            <w:tcW w:w="18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维度</w:t>
            </w:r>
          </w:p>
        </w:tc>
        <w:tc>
          <w:tcPr>
            <w:tcW w:w="40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DeepSeek-Reasonix</w:t>
            </w:r>
          </w:p>
        </w:tc>
        <w:tc>
          <w:tcPr>
            <w:tcW w:w="42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DeepSeek Harness</w:t>
            </w:r>
          </w:p>
        </w:tc>
      </w:tr>
      <w:tr>
        <w:trPr>
          <w:trHeight w:val="360" w:hRule="atLeast"/>
        </w:trPr>
        <w:tc>
          <w:tcPr>
            <w:tcW w:w="18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语言/形态</w:t>
            </w:r>
          </w:p>
        </w:tc>
        <w:tc>
          <w:tcPr>
            <w:tcW w:w="40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单一 Go 二进制内核</w:t>
            </w:r>
          </w:p>
        </w:tc>
        <w:tc>
          <w:tcPr>
            <w:tcW w:w="4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Cordis 插件树（TS/Node），多 profile</w:t>
            </w:r>
          </w:p>
        </w:tc>
      </w:tr>
      <w:tr>
        <w:trPr>
          <w:trHeight w:val="360" w:hRule="atLeast"/>
        </w:trPr>
        <w:tc>
          <w:tcPr>
            <w:tcW w:w="18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扩展模型</w:t>
            </w:r>
          </w:p>
        </w:tc>
        <w:tc>
          <w:tcPr>
            <w:tcW w:w="40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Registry + 接口，需改内核</w:t>
            </w:r>
          </w:p>
        </w:tc>
        <w:tc>
          <w:tcPr>
            <w:tcW w:w="4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一切皆插件，配置即替换</w:t>
            </w:r>
          </w:p>
        </w:tc>
      </w:tr>
      <w:tr>
        <w:trPr>
          <w:trHeight w:val="360" w:hRule="atLeast"/>
        </w:trPr>
        <w:tc>
          <w:tcPr>
            <w:tcW w:w="18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Agent 循环</w:t>
            </w:r>
          </w:p>
        </w:tc>
        <w:tc>
          <w:tcPr>
            <w:tcW w:w="40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Controller 内置 Cache-First Loop</w:t>
            </w:r>
          </w:p>
        </w:tc>
        <w:tc>
          <w:tcPr>
            <w:tcW w:w="4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core/agent-loop 可覆盖驱动</w:t>
            </w:r>
          </w:p>
        </w:tc>
      </w:tr>
      <w:tr>
        <w:trPr>
          <w:trHeight w:val="360" w:hRule="atLeast"/>
        </w:trPr>
        <w:tc>
          <w:tcPr>
            <w:tcW w:w="18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上下文来源</w:t>
            </w:r>
          </w:p>
        </w:tc>
        <w:tc>
          <w:tcPr>
            <w:tcW w:w="40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内存 + 追加日志</w:t>
            </w:r>
          </w:p>
        </w:tc>
        <w:tc>
          <w:tcPr>
            <w:tcW w:w="4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SessionEvent 日志投影 deriveMessages()</w:t>
            </w:r>
          </w:p>
        </w:tc>
      </w:tr>
      <w:tr>
        <w:trPr>
          <w:trHeight w:val="360" w:hRule="atLeast"/>
        </w:trPr>
        <w:tc>
          <w:tcPr>
            <w:tcW w:w="18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前端接入</w:t>
            </w:r>
          </w:p>
        </w:tc>
        <w:tc>
          <w:tcPr>
            <w:tcW w:w="40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CLI/TUI/桌面/HTTP SSE/ACP</w:t>
            </w:r>
          </w:p>
        </w:tc>
        <w:tc>
          <w:tcPr>
            <w:tcW w:w="4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web/headless/ACP/JSON-RPC/Python SDK</w:t>
            </w:r>
          </w:p>
        </w:tc>
      </w:tr>
      <w:tr>
        <w:trPr>
          <w:trHeight w:val="360" w:hRule="atLeast"/>
        </w:trPr>
        <w:tc>
          <w:tcPr>
            <w:tcW w:w="18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缓存经济</w:t>
            </w:r>
          </w:p>
        </w:tc>
        <w:tc>
          <w:tcPr>
            <w:tcW w:w="40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内建、不可分</w:t>
            </w:r>
          </w:p>
        </w:tc>
        <w:tc>
          <w:tcPr>
            <w:tcW w:w="4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可经系统提示分段插件实现</w:t>
            </w:r>
          </w:p>
        </w:tc>
      </w:tr>
    </w:tbl>
    <w:p>
      <w:pPr>
        <w:pStyle w:val="Caption"/>
      </w:pPr>
      <w:r>
        <w:t>表 2-1：Reasonix 与 dsh 关键差异对比</w:t>
      </w:r>
    </w:p>
    <w:p>
      <w:pPr>
        <w:pStyle w:val="Heading2"/>
      </w:pPr>
      <w:r>
        <w:t>2.4 能力映射表</w:t>
      </w:r>
    </w:p>
    <w:tbl>
      <w:tblPr>
        <w:tblW w:w="100" w:type="pct"/>
        <w:tblBorders>
          <w:top w:val="single" w:color="2F4858" w:sz="12"/>
          <w:bottom w:val="single" w:color="2F4858" w:sz="12"/>
          <w:left w:val="nil"/>
          <w:right w:val="nil"/>
          <w:insideH w:val="single" w:color="C5D2E0" w:sz="4"/>
          <w:insideV w:val="nil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3600"/>
        <w:gridCol w:w="3600"/>
        <w:gridCol w:w="2840"/>
      </w:tblGrid>
      <w:tr>
        <w:trPr>
          <w:tblHeader/>
          <w:trHeight w:val="380" w:hRule="atLeast"/>
        </w:trPr>
        <w:tc>
          <w:tcPr>
            <w:tcW w:w="36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Reasonix 概念 / 代码</w:t>
            </w:r>
          </w:p>
        </w:tc>
        <w:tc>
          <w:tcPr>
            <w:tcW w:w="36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dsh 对应接缝 / 服务</w:t>
            </w:r>
          </w:p>
        </w:tc>
        <w:tc>
          <w:tcPr>
            <w:tcW w:w="284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替换方式</w:t>
            </w:r>
          </w:p>
        </w:tc>
      </w:tr>
      <w:tr>
        <w:trPr>
          <w:trHeight w:val="360" w:hRule="atLeast"/>
        </w:trPr>
        <w:tc>
          <w:tcPr>
            <w:tcW w:w="36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control.Controller（循环+生命周期）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ctx.agentLoop + ctx.agents</w:t>
            </w:r>
          </w:p>
        </w:tc>
        <w:tc>
          <w:tcPr>
            <w:tcW w:w="284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覆盖默认驱动，保留事件语义</w:t>
            </w:r>
          </w:p>
        </w:tc>
      </w:tr>
      <w:tr>
        <w:trPr>
          <w:trHeight w:val="360" w:hRule="atLeast"/>
        </w:trPr>
        <w:tc>
          <w:tcPr>
            <w:tcW w:w="36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tool.Registry / tool.Tool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ctx.tools（作用域注册）</w:t>
            </w:r>
          </w:p>
        </w:tc>
        <w:tc>
          <w:tcPr>
            <w:tcW w:w="284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注册等价工具到 scoped registry</w:t>
            </w:r>
          </w:p>
        </w:tc>
      </w:tr>
      <w:tr>
        <w:trPr>
          <w:trHeight w:val="360" w:hRule="atLeast"/>
        </w:trPr>
        <w:tc>
          <w:tcPr>
            <w:tcW w:w="36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provider.Provider（DeepSeek）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ctx.llm 适配器</w:t>
            </w:r>
          </w:p>
        </w:tc>
        <w:tc>
          <w:tcPr>
            <w:tcW w:w="284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实现 DeepSeek adapter 挂到 ctx.llm</w:t>
            </w:r>
          </w:p>
        </w:tc>
      </w:tr>
      <w:tr>
        <w:trPr>
          <w:trHeight w:val="360" w:hRule="atLeast"/>
        </w:trPr>
        <w:tc>
          <w:tcPr>
            <w:tcW w:w="36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plugin.Host（MCP）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tools/* 能力接缝</w:t>
            </w:r>
          </w:p>
        </w:tc>
        <w:tc>
          <w:tcPr>
            <w:tcW w:w="284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MCP 经 tools 接缝桥接</w:t>
            </w:r>
          </w:p>
        </w:tc>
      </w:tr>
      <w:tr>
        <w:trPr>
          <w:trHeight w:val="360" w:hRule="atLeast"/>
        </w:trPr>
        <w:tc>
          <w:tcPr>
            <w:tcW w:w="36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event.Sink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session/event + agent/*</w:t>
            </w:r>
          </w:p>
        </w:tc>
        <w:tc>
          <w:tcPr>
            <w:tcW w:w="284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前端订阅同一事件流</w:t>
            </w:r>
          </w:p>
        </w:tc>
      </w:tr>
      <w:tr>
        <w:trPr>
          <w:trHeight w:val="360" w:hRule="atLeast"/>
        </w:trPr>
        <w:tc>
          <w:tcPr>
            <w:tcW w:w="36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缓存优先前缀分区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ctx.systemPrompt 段装配</w:t>
            </w:r>
          </w:p>
        </w:tc>
        <w:tc>
          <w:tcPr>
            <w:tcW w:w="284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新增缓存稳定段插件</w:t>
            </w:r>
          </w:p>
        </w:tc>
      </w:tr>
      <w:tr>
        <w:trPr>
          <w:trHeight w:val="360" w:hRule="atLeast"/>
        </w:trPr>
        <w:tc>
          <w:tcPr>
            <w:tcW w:w="36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修复管线（scavenge…storm）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agent/pre-step / tools/* 瀑布</w:t>
            </w:r>
          </w:p>
        </w:tc>
        <w:tc>
          <w:tcPr>
            <w:tcW w:w="284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实现为监听插件</w:t>
            </w:r>
          </w:p>
        </w:tc>
      </w:tr>
      <w:tr>
        <w:trPr>
          <w:trHeight w:val="360" w:hRule="atLeast"/>
        </w:trPr>
        <w:tc>
          <w:tcPr>
            <w:tcW w:w="36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分级成本管控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telemetry/* 接缝</w:t>
            </w:r>
          </w:p>
        </w:tc>
        <w:tc>
          <w:tcPr>
            <w:tcW w:w="284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成本事件挂遥测插件</w:t>
            </w:r>
          </w:p>
        </w:tc>
      </w:tr>
    </w:tbl>
    <w:p>
      <w:pPr>
        <w:pStyle w:val="Caption"/>
      </w:pPr>
      <w:r>
        <w:t>表 2-2：后端 Agent 能力映射</w:t>
      </w:r>
    </w:p>
    <w:p>
      <w:pPr>
        <w:pStyle w:val="Heading1"/>
      </w:pPr>
      <w:bookmarkStart w:name="_Toc003" w:id="003"/>
      <w:r>
        <w:t>3 总体方案</w:t>
      </w:r>
      <w:bookmarkEnd w:id="003"/>
    </w:p>
    <w:p>
      <w:pPr>
        <w:pStyle w:val="Heading2"/>
      </w:pPr>
      <w:r>
        <w:t>3.1 方案选型</w:t>
      </w:r>
    </w:p>
    <w:p>
      <w:pPr>
        <w:pStyle w:val="Heading3"/>
      </w:pPr>
      <w:r>
        <w:t>方案 A：全量替换</w:t>
      </w:r>
    </w:p>
    <w:p>
      <w:r>
        <w:t>彻底弃用 Go 内核，Reasonix 仅作为 dsh 的一个前端皮肤。优点是最简洁、最“dsh 原生”；缺点是丢失 Reasonix 已验证的缓存优先循环与成本管控（除非重写进 dsh），且一次性迁移风险高、用户无过渡期。不推荐作为主路径。</w:t>
      </w:r>
    </w:p>
    <w:p>
      <w:pPr>
        <w:pStyle w:val="Heading3"/>
      </w:pPr>
      <w:r>
        <w:t>方案 B：桥接共存（Sidecar）</w:t>
      </w:r>
    </w:p>
    <w:p>
      <w:r>
        <w:t>保留 Reasonix Go 内核外壳，将 Agent 执行整体委托给以 ACP / JSON-RPC 拉起的 dsh 子进程；Reasonix 前端经协议与 dsh 通信。优点是解耦彻底、可灰度；缺点是跨进程延迟、双份上下文维护、需重建缓存经济层。适合作为过渡与回滚底座。</w:t>
      </w:r>
    </w:p>
    <w:p>
      <w:pPr>
        <w:pStyle w:val="Heading3"/>
      </w:pPr>
      <w:r>
        <w:t>方案 C：插件化移植（推荐）</w:t>
      </w:r>
    </w:p>
    <w:p>
      <w:r>
        <w:t>以 dsh 为引擎，将 Reasonix 三大独有能力（缓存优先循环、修复管线、分级成本 + 双模型 Coordinator）实现为一个名为 dsh-bundle-reasonix 的 bundle；Reasonix 前端改造为驱动 dsh 的薄客户端（复用 dsh 既有 ACP / JSON-RPC / Python SDK 接入层）。该方案在获得 dsh 可组合架构的同时，把 Reasonix 的核心经济与验证资产保留为可热插拔插件，且天然兼容方案 B 的回滚路径。本方案后续各章均按方案 C 展开。</w:t>
      </w:r>
    </w:p>
    <w:p>
      <w:pPr>
        <w:pStyle w:val="Heading2"/>
      </w:pPr>
      <w:r>
        <w:t>3.2 目标架构</w:t>
      </w:r>
    </w:p>
    <w:p>
      <w:r>
        <w:t>整体分为三层，自上而下职责清晰，自下而上可替换：</w:t>
      </w:r>
    </w:p>
    <w:p>
      <w:pPr>
        <w:numPr>
          <w:ilvl w:val="0"/>
          <w:numId w:val="2"/>
        </w:numPr>
        <w:spacing w:after="80"/>
      </w:pPr>
      <w:r>
        <w:t>前端层（Frontend）：保留 Reasonix 的 CLI/TUI（Bubbletea）、Tauri 桌面端（Rust + WebView2）、以及 HTTP SSE / ACP 服务进程；仅将“发起 Agent 运行”改为调用桥接层，UI 渲染与审批模态不变。</w:t>
      </w:r>
    </w:p>
    <w:p>
      <w:pPr>
        <w:numPr>
          <w:ilvl w:val="0"/>
          <w:numId w:val="2"/>
        </w:numPr>
        <w:spacing w:after="80"/>
      </w:pPr>
      <w:r>
        <w:t>桥接层（Bridge）：将 Reasonix 事件模型（event.Sink）映射到 dsh 的 session/event 与 agent/* 事件流；提供进程模型选择（内嵌 vs Sidecar）与协议选择（ACP / JSON-RPC）。</w:t>
      </w:r>
    </w:p>
    <w:p>
      <w:pPr>
        <w:numPr>
          <w:ilvl w:val="0"/>
          <w:numId w:val="2"/>
        </w:numPr>
        <w:spacing w:after="80"/>
      </w:pPr>
      <w:r>
        <w:t>引擎层（Engine）：以 dsh profile（dsh-base + dsh-bundle-reasonix）运行 Cordis 插件树；承载 Agent 循环、工具执行、模型接入、缓存优先前缀与成本管控；DeepSeek 适配器提供模型后端。</w:t>
      </w:r>
    </w:p>
    <w:p>
      <w:r>
        <w:t>数据流：用户输入 → Reasonix 前端 → 桥接层（ACP/JSON-RPC）→ dsh 内核（agent/pre-step → llm/stream → tools/* 执行 → SessionEvent 落盘）→ 事件回流桥接层 → 前端渲染。所有模型可见内容均经 SessionEvent 日志，满足“可重建”不变式。</w:t>
      </w:r>
    </w:p>
    <w:p>
      <w:pPr>
        <w:pStyle w:val="Heading2"/>
      </w:pPr>
      <w:r>
        <w:t>3.3 组件职责</w:t>
      </w:r>
    </w:p>
    <w:tbl>
      <w:tblPr>
        <w:tblW w:w="100" w:type="pct"/>
        <w:tblBorders>
          <w:top w:val="single" w:color="2F4858" w:sz="12"/>
          <w:bottom w:val="single" w:color="2F4858" w:sz="12"/>
          <w:left w:val="nil"/>
          <w:right w:val="nil"/>
          <w:insideH w:val="single" w:color="C5D2E0" w:sz="4"/>
          <w:insideV w:val="nil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3200"/>
        <w:gridCol w:w="2200"/>
        <w:gridCol w:w="4400"/>
      </w:tblGrid>
      <w:tr>
        <w:trPr>
          <w:tblHeader/>
          <w:trHeight w:val="380" w:hRule="atLeast"/>
        </w:trPr>
        <w:tc>
          <w:tcPr>
            <w:tcW w:w="32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组件</w:t>
            </w:r>
          </w:p>
        </w:tc>
        <w:tc>
          <w:tcPr>
            <w:tcW w:w="22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所在层</w:t>
            </w:r>
          </w:p>
        </w:tc>
        <w:tc>
          <w:tcPr>
            <w:tcW w:w="44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职责</w:t>
            </w:r>
          </w:p>
        </w:tc>
      </w:tr>
      <w:tr>
        <w:trPr>
          <w:trHeight w:val="360" w:hRule="atLeast"/>
        </w:trPr>
        <w:tc>
          <w:tcPr>
            <w:tcW w:w="32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reasonix-frontend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前端层</w:t>
            </w:r>
          </w:p>
        </w:tc>
        <w:tc>
          <w:tcPr>
            <w:tcW w:w="44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交互、审批、计划模态、成本徽标展示</w:t>
            </w:r>
          </w:p>
        </w:tc>
      </w:tr>
      <w:tr>
        <w:trPr>
          <w:trHeight w:val="360" w:hRule="atLeast"/>
        </w:trPr>
        <w:tc>
          <w:tcPr>
            <w:tcW w:w="32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reasonix-bridge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桥接层</w:t>
            </w:r>
          </w:p>
        </w:tc>
        <w:tc>
          <w:tcPr>
            <w:tcW w:w="44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事件映射、协议适配、进程编排</w:t>
            </w:r>
          </w:p>
        </w:tc>
      </w:tr>
      <w:tr>
        <w:trPr>
          <w:trHeight w:val="360" w:hRule="atLeast"/>
        </w:trPr>
        <w:tc>
          <w:tcPr>
            <w:tcW w:w="32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dsh-bundle-reasonix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引擎层</w:t>
            </w:r>
          </w:p>
        </w:tc>
        <w:tc>
          <w:tcPr>
            <w:tcW w:w="44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缓存优先循环、修复管线、成本管控、Coordinator</w:t>
            </w:r>
          </w:p>
        </w:tc>
      </w:tr>
      <w:tr>
        <w:trPr>
          <w:trHeight w:val="360" w:hRule="atLeast"/>
        </w:trPr>
        <w:tc>
          <w:tcPr>
            <w:tcW w:w="32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dsh-base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引擎层</w:t>
            </w:r>
          </w:p>
        </w:tc>
        <w:tc>
          <w:tcPr>
            <w:tcW w:w="44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模型适配器、工具、持久化、沙箱、审批、遥测</w:t>
            </w:r>
          </w:p>
        </w:tc>
      </w:tr>
      <w:tr>
        <w:trPr>
          <w:trHeight w:val="360" w:hRule="atLeast"/>
        </w:trPr>
        <w:tc>
          <w:tcPr>
            <w:tcW w:w="32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deepseek-adapter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引擎层</w:t>
            </w:r>
          </w:p>
        </w:tc>
        <w:tc>
          <w:tcPr>
            <w:tcW w:w="44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DeepSeek V4 系列模型接入（ctx.llm）</w:t>
            </w:r>
          </w:p>
        </w:tc>
      </w:tr>
    </w:tbl>
    <w:p>
      <w:pPr>
        <w:pStyle w:val="Caption"/>
      </w:pPr>
      <w:r>
        <w:t>表 3-1：目标架构组件职责</w:t>
      </w:r>
    </w:p>
    <w:p>
      <w:pPr>
        <w:pStyle w:val="Heading1"/>
      </w:pPr>
      <w:bookmarkStart w:name="_Toc004" w:id="004"/>
      <w:r>
        <w:t>4 引擎层替换（DeepSeek Harness 作为后端）</w:t>
      </w:r>
      <w:bookmarkEnd w:id="004"/>
    </w:p>
    <w:p>
      <w:pPr>
        <w:pStyle w:val="Heading2"/>
      </w:pPr>
      <w:r>
        <w:t>4.1 引入 dsh 运行时</w:t>
      </w:r>
    </w:p>
    <w:p>
      <w:r>
        <w:t>引擎层以 profile 组合：dsh-base 提供底层能力（模型、工具、持久化、沙箱、审批、遥测），dsh-bundle-reasonix 在其之上叠加 Reasonix 专属策略。通过 dsh --profile reasonix --dump-config 可检视实际启动的插件树，并可用 cordis.patch.yml 在不修改源码的前提下覆盖任意一行配置。该分层保证 dsh 上游破坏性变更可通过“锁定 base 版本 + 仅升级 bundle”的方式受控吸收。</w:t>
      </w:r>
    </w:p>
    <w:p>
      <w:pPr>
        <w:pStyle w:val="Heading2"/>
      </w:pPr>
      <w:r>
        <w:t>4.2 Reasonix 特性移植为 dsh 插件（bundle）</w:t>
      </w:r>
    </w:p>
    <w:p>
      <w:pPr>
        <w:pStyle w:val="Heading3"/>
      </w:pPr>
      <w:r>
        <w:t>4.2.1 缓存优先循环插件</w:t>
      </w:r>
    </w:p>
    <w:p>
      <w:r>
        <w:t>在 core/system-prompt 的段装配阶段注册一个“缓存稳定段”插件：将系统提示、工具 schema、few-shot 置于不可变前缀区，项目记忆与动态内容置于其后，会话内工具结果以仅追加日志承载，易失草稿（R1 thought、临时计划态）不进入上行上下文。通过监听 agent/pre-step 强制校验前缀字节稳定性，并在前缀将变时触发压缩而非重排。此举把 Reasonix 最核心的 90%+ 缓存命中率迁移到 dsh。</w:t>
      </w:r>
    </w:p>
    <w:p>
      <w:pPr>
        <w:pStyle w:val="Heading3"/>
      </w:pPr>
      <w:r>
        <w:t>4.2.2 工具调用修复管线</w:t>
      </w:r>
    </w:p>
    <w:p>
      <w:r>
        <w:t>将 Reasonix 的 repair/ 管线（scavenge / flatten / truncation / storm）实现为若干瀑布监听：scavenge 在 tools/pre-execute 前从 reasoning_content 抽取遗漏的 tool_call；truncation 在检测到非平衡 JSON 时闭合或请求续写；storm 对滑动窗口内重复的 (tool, args) 抑制并注入反思步。这些监听挂载在 tools/* 与 agent/pre-step 接缝上，无需改动 dsh 默认循环。</w:t>
      </w:r>
    </w:p>
    <w:p>
      <w:pPr>
        <w:pStyle w:val="Heading3"/>
      </w:pPr>
      <w:r>
        <w:t>4.2.3 分级成本管控</w:t>
      </w:r>
    </w:p>
    <w:p>
      <w:r>
        <w:t>以 flash-first 为默认，通过配置选择模型档位与 reasoning effort；任何 pro 档调用均显式经 agent/* 事件上浮到前端徽标，确保“无静默升级”。成本事件经 telemetry/* 接缝采集，前端 StatsPanel 复用 Reasonix 既有的绿/黄/红着色（turn $0.003 / session $0.12 等阈值）。</w:t>
      </w:r>
    </w:p>
    <w:p>
      <w:pPr>
        <w:pStyle w:val="Heading3"/>
      </w:pPr>
      <w:r>
        <w:t>4.2.4 双模型 Coordinator</w:t>
      </w:r>
    </w:p>
    <w:p>
      <w:r>
        <w:t>利用 dsh 的子 Agent 接缝（Subagent providers）实现 planner / executor 分离：planner 作为低频次子 Agent 提出方案并维持自身前缀稳定；executor 为完整工具使用 Agent 执行。二者经 ctx.agents 的 fork / 委派机制隔离作用域（isolate realm），避免工具递归爆炸，同时各自保留缓存命中。</w:t>
      </w:r>
    </w:p>
    <w:p>
      <w:pPr>
        <w:pStyle w:val="Heading2"/>
      </w:pPr>
      <w:r>
        <w:t>4.3 DeepSeek 模型适配器</w:t>
      </w:r>
    </w:p>
    <w:p>
      <w:r>
        <w:t>在 ctx.llm 上注册 DeepSeek 适配器，归一化 V4-Flash / V4-Pro 的 reasoning token、工具调用与 1M 上下文窗口；保持与 Reasonix 既有的断点续传、第三方兼容端点恢复能力一致。适配器作为独立服务定义（Service Definition）+ 提供者（Provider）+ 消费者（Consumer）三件套，符合 dsh 能力接缝规范，未来可平滑替换为其他模型后端而无需改动循环。</w:t>
      </w:r>
    </w:p>
    <w:p>
      <w:pPr>
        <w:pStyle w:val="Heading1"/>
      </w:pPr>
      <w:bookmarkStart w:name="_Toc005" w:id="005"/>
      <w:r>
        <w:t>5 桥接层设计（Reasonix 前端 ↔ dsh）</w:t>
      </w:r>
      <w:bookmarkEnd w:id="005"/>
    </w:p>
    <w:p>
      <w:pPr>
        <w:pStyle w:val="Heading2"/>
      </w:pPr>
      <w:r>
        <w:t>5.1 接口选择</w:t>
      </w:r>
    </w:p>
    <w:p>
      <w:r>
        <w:t>优先复用 dsh 既有的 ACP（Agent Client Protocol）作为前端与主 Agent 的标准通道，因为它与 Reasonix 现有 ACP 服务模式语义最接近；脚本化 / CI 场景使用 JSON-RPC 或 Python SDK。避免自造协议，降低长期维护面。</w:t>
      </w:r>
    </w:p>
    <w:p>
      <w:pPr>
        <w:pStyle w:val="Heading2"/>
      </w:pPr>
      <w:r>
        <w:t>5.2 事件映射</w:t>
      </w:r>
    </w:p>
    <w:p>
      <w:r>
        <w:t>Reasonix 的 event.Sink 类型流与 dsh 的 session/event、agent/* 事件存在稳定对应关系：用户消息 → user/message，助手流式 → assistant/chunk→assistant/message，工具调用 → tool/call→tool/result，状态/取消 → agent/status。桥接层以单向适配器将 dsh 事件投影为 Reasonix 前端既有的渲染模型（长任务、计划确认、逐编辑审批、成本徽标），从而前端无需重写。</w:t>
      </w:r>
    </w:p>
    <w:p>
      <w:pPr>
        <w:pStyle w:val="Heading2"/>
      </w:pPr>
      <w:r>
        <w:t>5.3 进程模型</w:t>
      </w:r>
    </w:p>
    <w:p>
      <w:r>
        <w:t>提供两种进程模型：内嵌（前端进程内拉起 dsh，共享同一份 SessionEvent 存储，延迟最低）与 Sidecar（独立 dsh 进程，经 ACP 通信，隔离最彻底、回滚最易）。默认采用 Sidecar 以契合方案 B 的回滚底座；性能达标后可选内嵌。</w:t>
      </w:r>
    </w:p>
    <w:p>
      <w:pPr>
        <w:pStyle w:val="Heading1"/>
      </w:pPr>
      <w:bookmarkStart w:name="_Toc006" w:id="006"/>
      <w:r>
        <w:t>6 配置与兼容性</w:t>
      </w:r>
      <w:bookmarkEnd w:id="006"/>
    </w:p>
    <w:p>
      <w:pPr>
        <w:pStyle w:val="Heading2"/>
      </w:pPr>
      <w:r>
        <w:t>6.1 reasonix.toml → dsh profile 映射</w:t>
      </w:r>
    </w:p>
    <w:tbl>
      <w:tblPr>
        <w:tblW w:w="100" w:type="pct"/>
        <w:tblBorders>
          <w:top w:val="single" w:color="2F4858" w:sz="12"/>
          <w:bottom w:val="single" w:color="2F4858" w:sz="12"/>
          <w:left w:val="nil"/>
          <w:right w:val="nil"/>
          <w:insideH w:val="single" w:color="C5D2E0" w:sz="4"/>
          <w:insideV w:val="nil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3200"/>
        <w:gridCol w:w="3400"/>
        <w:gridCol w:w="3200"/>
      </w:tblGrid>
      <w:tr>
        <w:trPr>
          <w:tblHeader/>
          <w:trHeight w:val="380" w:hRule="atLeast"/>
        </w:trPr>
        <w:tc>
          <w:tcPr>
            <w:tcW w:w="32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reasonix.toml 字段</w:t>
            </w:r>
          </w:p>
        </w:tc>
        <w:tc>
          <w:tcPr>
            <w:tcW w:w="34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dsh 目标</w:t>
            </w:r>
          </w:p>
        </w:tc>
        <w:tc>
          <w:tcPr>
            <w:tcW w:w="32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说明</w:t>
            </w:r>
          </w:p>
        </w:tc>
      </w:tr>
      <w:tr>
        <w:trPr>
          <w:trHeight w:val="360" w:hRule="atLeast"/>
        </w:trPr>
        <w:tc>
          <w:tcPr>
            <w:tcW w:w="32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default_model</w:t>
            </w:r>
          </w:p>
        </w:tc>
        <w:tc>
          <w:tcPr>
            <w:tcW w:w="34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profile: 模型档位 / ctx.llm</w:t>
            </w:r>
          </w:p>
        </w:tc>
        <w:tc>
          <w:tcPr>
            <w:tcW w:w="3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映射 flash/pro 档位</w:t>
            </w:r>
          </w:p>
        </w:tc>
      </w:tr>
      <w:tr>
        <w:trPr>
          <w:trHeight w:val="360" w:hRule="atLeast"/>
        </w:trPr>
        <w:tc>
          <w:tcPr>
            <w:tcW w:w="32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max_tool_output_bytes</w:t>
            </w:r>
          </w:p>
        </w:tc>
        <w:tc>
          <w:tcPr>
            <w:tcW w:w="34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tools 接缝 caps</w:t>
            </w:r>
          </w:p>
        </w:tc>
        <w:tc>
          <w:tcPr>
            <w:tcW w:w="3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单工具结果封顶</w:t>
            </w:r>
          </w:p>
        </w:tc>
      </w:tr>
      <w:tr>
        <w:trPr>
          <w:trHeight w:val="360" w:hRule="atLeast"/>
        </w:trPr>
        <w:tc>
          <w:tcPr>
            <w:tcW w:w="32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tool_result_snip_ratio</w:t>
            </w:r>
          </w:p>
        </w:tc>
        <w:tc>
          <w:tcPr>
            <w:tcW w:w="34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system-prompt 压缩段</w:t>
            </w:r>
          </w:p>
        </w:tc>
        <w:tc>
          <w:tcPr>
            <w:tcW w:w="3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陈旧结果裁剪比例</w:t>
            </w:r>
          </w:p>
        </w:tc>
      </w:tr>
      <w:tr>
        <w:trPr>
          <w:trHeight w:val="360" w:hRule="atLeast"/>
        </w:trPr>
        <w:tc>
          <w:tcPr>
            <w:tcW w:w="32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planner_model</w:t>
            </w:r>
          </w:p>
        </w:tc>
        <w:tc>
          <w:tcPr>
            <w:tcW w:w="34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子 Agent 预设</w:t>
            </w:r>
          </w:p>
        </w:tc>
        <w:tc>
          <w:tcPr>
            <w:tcW w:w="3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双模型协作开关</w:t>
            </w:r>
          </w:p>
        </w:tc>
      </w:tr>
      <w:tr>
        <w:trPr>
          <w:trHeight w:val="360" w:hRule="atLeast"/>
        </w:trPr>
        <w:tc>
          <w:tcPr>
            <w:tcW w:w="32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mcp_servers</w:t>
            </w:r>
          </w:p>
        </w:tc>
        <w:tc>
          <w:tcPr>
            <w:tcW w:w="34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tools/* 桥接</w:t>
            </w:r>
          </w:p>
        </w:tc>
        <w:tc>
          <w:tcPr>
            <w:tcW w:w="3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外部 MCP 原样接入</w:t>
            </w:r>
          </w:p>
        </w:tc>
      </w:tr>
      <w:tr>
        <w:trPr>
          <w:trHeight w:val="360" w:hRule="atLeast"/>
        </w:trPr>
        <w:tc>
          <w:tcPr>
            <w:tcW w:w="32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permission_rules</w:t>
            </w:r>
          </w:p>
        </w:tc>
        <w:tc>
          <w:tcPr>
            <w:tcW w:w="34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审批策略 bundle</w:t>
            </w:r>
          </w:p>
        </w:tc>
        <w:tc>
          <w:tcPr>
            <w:tcW w:w="3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复用 dsh 审批接缝</w:t>
            </w:r>
          </w:p>
        </w:tc>
      </w:tr>
    </w:tbl>
    <w:p>
      <w:pPr>
        <w:pStyle w:val="Caption"/>
      </w:pPr>
      <w:r>
        <w:t>表 6-1：配置迁移映射</w:t>
      </w:r>
    </w:p>
    <w:p>
      <w:pPr>
        <w:pStyle w:val="Heading2"/>
      </w:pPr>
      <w:r>
        <w:t>6.2 命令与斜杠命令兼容</w:t>
      </w:r>
    </w:p>
    <w:p>
      <w:r>
        <w:t>Reasonix 的 /init、/undo、/history、/pro、/sessions 等命令映射到 dsh 的 ctx.commands（无需模型回合即可派发）；其中 /undo、/history 直接由 SessionEvent 日志 fork / 回放实现，与 dsh“模型可见即已记录”不变式天然一致。</w:t>
      </w:r>
    </w:p>
    <w:p>
      <w:pPr>
        <w:pStyle w:val="Heading2"/>
      </w:pPr>
      <w:r>
        <w:t>6.3 MCP 插件兼容</w:t>
      </w:r>
    </w:p>
    <w:p>
      <w:r>
        <w:t>现有 MCP 服务器经 tools/* 能力接缝桥接，工具 schema 自动并入提示装配；命名空间与懒加载沿用 Reasonix 既有约定，确保社区插件零改造可用。</w:t>
      </w:r>
    </w:p>
    <w:p>
      <w:pPr>
        <w:pStyle w:val="Heading1"/>
      </w:pPr>
      <w:bookmarkStart w:name="_Toc007" w:id="007"/>
      <w:r>
        <w:t>7 风险与缓解</w:t>
      </w:r>
      <w:bookmarkEnd w:id="007"/>
    </w:p>
    <w:tbl>
      <w:tblPr>
        <w:tblW w:w="100" w:type="pct"/>
        <w:tblBorders>
          <w:top w:val="single" w:color="2F4858" w:sz="12"/>
          <w:bottom w:val="single" w:color="2F4858" w:sz="12"/>
          <w:left w:val="nil"/>
          <w:right w:val="nil"/>
          <w:insideH w:val="single" w:color="C5D2E0" w:sz="4"/>
          <w:insideV w:val="nil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3200"/>
        <w:gridCol w:w="3200"/>
        <w:gridCol w:w="3400"/>
      </w:tblGrid>
      <w:tr>
        <w:trPr>
          <w:tblHeader/>
          <w:trHeight w:val="380" w:hRule="atLeast"/>
        </w:trPr>
        <w:tc>
          <w:tcPr>
            <w:tcW w:w="32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风险</w:t>
            </w:r>
          </w:p>
        </w:tc>
        <w:tc>
          <w:tcPr>
            <w:tcW w:w="32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影响</w:t>
            </w:r>
          </w:p>
        </w:tc>
        <w:tc>
          <w:tcPr>
            <w:tcW w:w="34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缓解</w:t>
            </w:r>
          </w:p>
        </w:tc>
      </w:tr>
      <w:tr>
        <w:trPr>
          <w:trHeight w:val="360" w:hRule="atLeast"/>
        </w:trPr>
        <w:tc>
          <w:tcPr>
            <w:tcW w:w="32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dsh 破坏性变更</w:t>
            </w:r>
          </w:p>
        </w:tc>
        <w:tc>
          <w:tcPr>
            <w:tcW w:w="3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插件接口漂移</w:t>
            </w:r>
          </w:p>
        </w:tc>
        <w:tc>
          <w:tcPr>
            <w:tcW w:w="34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锁定 base 版本 + bundle 分层 + patch 隔离</w:t>
            </w:r>
          </w:p>
        </w:tc>
      </w:tr>
      <w:tr>
        <w:trPr>
          <w:trHeight w:val="360" w:hRule="atLeast"/>
        </w:trPr>
        <w:tc>
          <w:tcPr>
            <w:tcW w:w="32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跨进程延迟</w:t>
            </w:r>
          </w:p>
        </w:tc>
        <w:tc>
          <w:tcPr>
            <w:tcW w:w="3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交互卡顿</w:t>
            </w:r>
          </w:p>
        </w:tc>
        <w:tc>
          <w:tcPr>
            <w:tcW w:w="34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Sidecar 起步，性能达标后切内嵌</w:t>
            </w:r>
          </w:p>
        </w:tc>
      </w:tr>
      <w:tr>
        <w:trPr>
          <w:trHeight w:val="360" w:hRule="atLeast"/>
        </w:trPr>
        <w:tc>
          <w:tcPr>
            <w:tcW w:w="32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缓存命中率下降</w:t>
            </w:r>
          </w:p>
        </w:tc>
        <w:tc>
          <w:tcPr>
            <w:tcW w:w="3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成本优势失效</w:t>
            </w:r>
          </w:p>
        </w:tc>
        <w:tc>
          <w:tcPr>
            <w:tcW w:w="34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agent/pre-step 前缀校验 + 压缩而非重排</w:t>
            </w:r>
          </w:p>
        </w:tc>
      </w:tr>
      <w:tr>
        <w:trPr>
          <w:trHeight w:val="360" w:hRule="atLeast"/>
        </w:trPr>
        <w:tc>
          <w:tcPr>
            <w:tcW w:w="32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修复管线语义差异</w:t>
            </w:r>
          </w:p>
        </w:tc>
        <w:tc>
          <w:tcPr>
            <w:tcW w:w="3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工具调用错误率上升</w:t>
            </w:r>
          </w:p>
        </w:tc>
        <w:tc>
          <w:tcPr>
            <w:tcW w:w="34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瀑布监听复用原单元测试</w:t>
            </w:r>
          </w:p>
        </w:tc>
      </w:tr>
      <w:tr>
        <w:trPr>
          <w:trHeight w:val="360" w:hRule="atLeast"/>
        </w:trPr>
        <w:tc>
          <w:tcPr>
            <w:tcW w:w="32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双语言维护面</w:t>
            </w:r>
          </w:p>
        </w:tc>
        <w:tc>
          <w:tcPr>
            <w:tcW w:w="3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长期成本</w:t>
            </w:r>
          </w:p>
        </w:tc>
        <w:tc>
          <w:tcPr>
            <w:tcW w:w="34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仅桥接层与 bundle 为增量代码</w:t>
            </w:r>
          </w:p>
        </w:tc>
      </w:tr>
    </w:tbl>
    <w:p>
      <w:pPr>
        <w:pStyle w:val="Caption"/>
      </w:pPr>
      <w:r>
        <w:t>表 7-1：风险登记与缓解</w:t>
      </w:r>
    </w:p>
    <w:p>
      <w:pPr>
        <w:pStyle w:val="Heading1"/>
      </w:pPr>
      <w:bookmarkStart w:name="_Toc008" w:id="008"/>
      <w:r>
        <w:t>8 迁移、验证与回滚</w:t>
      </w:r>
      <w:bookmarkEnd w:id="008"/>
    </w:p>
    <w:p>
      <w:pPr>
        <w:pStyle w:val="Heading2"/>
      </w:pPr>
      <w:r>
        <w:t>8.1 分阶段迁移</w:t>
      </w:r>
    </w:p>
    <w:p>
      <w:pPr>
        <w:numPr>
          <w:ilvl w:val="0"/>
          <w:numId w:val="1"/>
        </w:numPr>
        <w:spacing w:after="80"/>
      </w:pPr>
      <w:r>
        <w:t>桥接先行：Reasonix 前端经 ACP 连 dsh（base 仅），验证事件映射与前端渲染。</w:t>
      </w:r>
    </w:p>
    <w:p>
      <w:pPr>
        <w:numPr>
          <w:ilvl w:val="0"/>
          <w:numId w:val="1"/>
        </w:numPr>
        <w:spacing w:after="80"/>
      </w:pPr>
      <w:r>
        <w:t>bundle 注入：灰度开启 dsh-bundle-reasonix，逐项验证缓存优先、修复管线、成本、Coordinator。</w:t>
      </w:r>
    </w:p>
    <w:p>
      <w:pPr>
        <w:numPr>
          <w:ilvl w:val="0"/>
          <w:numId w:val="1"/>
        </w:numPr>
        <w:spacing w:after="80"/>
      </w:pPr>
      <w:r>
        <w:t>默认切换：将 dsh 设为 Reasonix 默认后端，原 Go Controller 保留为回滚通道。</w:t>
      </w:r>
    </w:p>
    <w:p>
      <w:pPr>
        <w:numPr>
          <w:ilvl w:val="0"/>
          <w:numId w:val="1"/>
        </w:numPr>
        <w:spacing w:after="80"/>
      </w:pPr>
      <w:r>
        <w:t>内嵌优化（可选）：在 Sidecar 稳定后评估内嵌以降延迟。</w:t>
      </w:r>
    </w:p>
    <w:p>
      <w:pPr>
        <w:pStyle w:val="Heading2"/>
      </w:pPr>
      <w:r>
        <w:t>8.2 验证指标</w:t>
      </w:r>
    </w:p>
    <w:p>
      <w:r>
        <w:t>以基准对照衡量替换效果，核心看三项：前缀缓存命中率（目标 ≥ 90%，不低于原 Reasonix）、单任务成本（相对原 Go 内核 ≤ 1.1×）、端到端任务成功率（基准 E2E Task Suite 不回退）。示意对比如下：</w:t>
      </w:r>
    </w:p>
    <w:p>
      <w:pPr>
        <w:jc w:val="center"/>
        <w:keepNext/>
      </w:pPr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11" name="Cost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r="http://schemas.openxmlformats.org/officeDocument/2006/relationships" xmlns:c="http://schemas.openxmlformats.org/drawingml/2006/chart" r:id="R8dd35b9047224325"/>
              </a:graphicData>
            </a:graphic>
          </wp:inline>
        </w:drawing>
      </w:r>
    </w:p>
    <w:p>
      <w:pPr>
        <w:pStyle w:val="Caption"/>
      </w:pPr>
      <w:bookmarkStart w:name="Figure1" w:id="100"/>
      <w:r>
        <w:t>图 8-1：单任务成本相对值对比（越低越好）</w:t>
      </w:r>
      <w:bookmarkEnd w:id="100"/>
    </w:p>
    <w:p>
      <w:pPr>
        <w:pStyle w:val="Heading2"/>
      </w:pPr>
      <w:r>
        <w:t>8.3 回滚策略</w:t>
      </w:r>
    </w:p>
    <w:p>
      <w:r>
        <w:t>保留原 Go Controller 作为回滚通道：通过配置文件开关在 dsh 后端与 Go 后端间切换，无需重新分发二进制。SessionEvent 与 reasonix 既有检查点格式双向可导出，确保会话可迁移回原内核。</w:t>
      </w:r>
    </w:p>
    <w:p>
      <w:pPr>
        <w:pStyle w:val="Heading1"/>
      </w:pPr>
      <w:bookmarkStart w:name="_Toc009" w:id="009"/>
      <w:r>
        <w:t>9 里程碑与排期</w:t>
      </w:r>
      <w:bookmarkEnd w:id="009"/>
    </w:p>
    <w:tbl>
      <w:tblPr>
        <w:tblW w:w="100" w:type="pct"/>
        <w:tblBorders>
          <w:top w:val="single" w:color="2F4858" w:sz="12"/>
          <w:bottom w:val="single" w:color="2F4858" w:sz="12"/>
          <w:left w:val="nil"/>
          <w:right w:val="nil"/>
          <w:insideH w:val="single" w:color="C5D2E0" w:sz="4"/>
          <w:insideV w:val="nil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1600"/>
        <w:gridCol w:w="5400"/>
        <w:gridCol w:w="3000"/>
      </w:tblGrid>
      <w:tr>
        <w:trPr>
          <w:tblHeader/>
          <w:trHeight w:val="380" w:hRule="atLeast"/>
        </w:trPr>
        <w:tc>
          <w:tcPr>
            <w:tcW w:w="16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里程碑</w:t>
            </w:r>
          </w:p>
        </w:tc>
        <w:tc>
          <w:tcPr>
            <w:tcW w:w="54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交付物</w:t>
            </w:r>
          </w:p>
        </w:tc>
        <w:tc>
          <w:tcPr>
            <w:tcW w:w="30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周期</w:t>
            </w:r>
          </w:p>
        </w:tc>
      </w:tr>
      <w:tr>
        <w:trPr>
          <w:trHeight w:val="360" w:hRule="atLeast"/>
        </w:trPr>
        <w:tc>
          <w:tcPr>
            <w:tcW w:w="16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M1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桥接层 + 事件映射原型（Sidecar）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第 1–2 周</w:t>
            </w:r>
          </w:p>
        </w:tc>
      </w:tr>
      <w:tr>
        <w:trPr>
          <w:trHeight w:val="360" w:hRule="atLeast"/>
        </w:trPr>
        <w:tc>
          <w:tcPr>
            <w:tcW w:w="16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M2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dsh-bundle-reasonix：缓存优先 + 适配器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第 3–5 周</w:t>
            </w:r>
          </w:p>
        </w:tc>
      </w:tr>
      <w:tr>
        <w:trPr>
          <w:trHeight w:val="360" w:hRule="atLeast"/>
        </w:trPr>
        <w:tc>
          <w:tcPr>
            <w:tcW w:w="16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M3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修复管线 + 成本管控 + Coordinator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第 6–8 周</w:t>
            </w:r>
          </w:p>
        </w:tc>
      </w:tr>
      <w:tr>
        <w:trPr>
          <w:trHeight w:val="360" w:hRule="atLeast"/>
        </w:trPr>
        <w:tc>
          <w:tcPr>
            <w:tcW w:w="16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M4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配置兼容 + 基准验证达标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第 9–11 周</w:t>
            </w:r>
          </w:p>
        </w:tc>
      </w:tr>
      <w:tr>
        <w:trPr>
          <w:trHeight w:val="360" w:hRule="atLeast"/>
        </w:trPr>
        <w:tc>
          <w:tcPr>
            <w:tcW w:w="16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M5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默认切换 + 回滚通道冻结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第 12 周</w:t>
            </w:r>
          </w:p>
        </w:tc>
      </w:tr>
    </w:tbl>
    <w:p>
      <w:pPr>
        <w:pStyle w:val="Caption"/>
      </w:pPr>
      <w:r>
        <w:t>表 9-1：关键里程碑</w:t>
      </w:r>
    </w:p>
    <w:p>
      <w:pPr>
        <w:pStyle w:val="Heading1"/>
      </w:pPr>
      <w:bookmarkStart w:name="_Toc010" w:id="010"/>
      <w:r>
        <w:t>10 附录</w:t>
      </w:r>
      <w:bookmarkEnd w:id="010"/>
    </w:p>
    <w:p>
      <w:pPr>
        <w:pStyle w:val="Heading2"/>
      </w:pPr>
      <w:r>
        <w:t>10.1 模块/文件映射</w:t>
      </w:r>
    </w:p>
    <w:p>
      <w:pPr>
        <w:numPr>
          <w:ilvl w:val="0"/>
          <w:numId w:val="2"/>
        </w:numPr>
        <w:spacing w:after="80"/>
      </w:pPr>
      <w:r>
        <w:t>internal/control/controller.go → dsh core/agent-loop + ctx.agents（循环与生命周期）</w:t>
      </w:r>
    </w:p>
    <w:p>
      <w:pPr>
        <w:numPr>
          <w:ilvl w:val="0"/>
          <w:numId w:val="2"/>
        </w:numPr>
        <w:spacing w:after="80"/>
      </w:pPr>
      <w:r>
        <w:t>internal/tool/* → dsh core/tools（作用域工具注册与执行管线）</w:t>
      </w:r>
    </w:p>
    <w:p>
      <w:pPr>
        <w:numPr>
          <w:ilvl w:val="0"/>
          <w:numId w:val="2"/>
        </w:numPr>
        <w:spacing w:after="80"/>
      </w:pPr>
      <w:r>
        <w:t>internal/provider/* → dsh llm/llm 适配器（ctx.llm）</w:t>
      </w:r>
    </w:p>
    <w:p>
      <w:pPr>
        <w:numPr>
          <w:ilvl w:val="0"/>
          <w:numId w:val="2"/>
        </w:numPr>
        <w:spacing w:after="80"/>
      </w:pPr>
      <w:r>
        <w:t>internal/event/* + eventwire → dsh session/event + agent/* 事件流</w:t>
      </w:r>
    </w:p>
    <w:p>
      <w:pPr>
        <w:numPr>
          <w:ilvl w:val="0"/>
          <w:numId w:val="2"/>
        </w:numPr>
        <w:spacing w:after="80"/>
      </w:pPr>
      <w:r>
        <w:t>internal/boot/boot.go → dsh profile 装配（--dump-config 检视）</w:t>
      </w:r>
    </w:p>
    <w:p>
      <w:pPr>
        <w:pStyle w:val="Heading2"/>
      </w:pPr>
      <w:r>
        <w:t>10.2 术语表</w:t>
      </w:r>
    </w:p>
    <w:p>
      <w:pPr>
        <w:numPr>
          <w:ilvl w:val="0"/>
          <w:numId w:val="2"/>
        </w:numPr>
        <w:spacing w:after="80"/>
      </w:pPr>
      <w:r>
        <w:t>Cordis：dsh 所基于的元框架，支持插件贡献服务、事件与可逆副作用。</w:t>
      </w:r>
    </w:p>
    <w:p>
      <w:pPr>
        <w:numPr>
          <w:ilvl w:val="0"/>
          <w:numId w:val="2"/>
        </w:numPr>
        <w:spacing w:after="80"/>
      </w:pPr>
      <w:r>
        <w:t>Profile / Bundle：运行实例的组合（profile）与可分发配置+代码单元（bundle）。</w:t>
      </w:r>
    </w:p>
    <w:p>
      <w:pPr>
        <w:numPr>
          <w:ilvl w:val="0"/>
          <w:numId w:val="2"/>
        </w:numPr>
        <w:spacing w:after="80"/>
      </w:pPr>
      <w:r>
        <w:t>SessionEvent：dsh 仅追加会话日志的基本事实单元，是模型上下文的唯一来源。</w:t>
      </w:r>
    </w:p>
    <w:p>
      <w:pPr>
        <w:numPr>
          <w:ilvl w:val="0"/>
          <w:numId w:val="2"/>
        </w:numPr>
        <w:spacing w:after="80"/>
      </w:pPr>
      <w:r>
        <w:t>ACP：Agent Client Protocol，前端与 Agent 主进程通信的标准协议。</w:t>
      </w:r>
    </w:p>
    <w:p>
      <w:r>
        <w:t>参考仓库：https://github.com/deepseek-ai/deepseek-harness；https://github.com/esengine/DeepSeek-Reasonix。</w:t>
      </w:r>
    </w:p>
    <w:p>
      <w:pPr>
        <w:pStyle w:val="Heading2"/>
      </w:pPr>
      <w:r>
        <w:t>10.3 问题继承与回归风险</w:t>
      </w:r>
    </w:p>
    <w:p>
      <w:r>
        <w:t>本节基于 DeepSeek-Reasonix 当前 42 个 open issue 的标签分布，评估“以 dsh 替换后端 Agent”后历史问题是否会重现。结论：并非全部重现，取决于问题所在层——保留的前端壳会原样继承几乎全部前端债；被替换的 Go 内核 bug 随 Controller 一同消失，但等价故障模式可能在 dsh 侧重新出现；跨语言桥接则引入一类新风险。</w:t>
      </w:r>
    </w:p>
    <w:tbl>
      <w:tblPr>
        <w:tblW w:w="100" w:type="pct"/>
        <w:tblBorders>
          <w:top w:val="single" w:color="2F4858" w:sz="12"/>
          <w:bottom w:val="single" w:color="2F4858" w:sz="12"/>
          <w:left w:val="nil"/>
          <w:right w:val="nil"/>
          <w:insideH w:val="single" w:color="C5D2E0" w:sz="4"/>
          <w:insideV w:val="nil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3000"/>
        <w:gridCol w:w="1800"/>
        <w:gridCol w:w="3800"/>
        <w:gridCol w:w="2200"/>
      </w:tblGrid>
      <w:tr>
        <w:trPr>
          <w:tblHeader/>
          <w:trHeight w:val="380" w:hRule="atLeast"/>
        </w:trPr>
        <w:tc>
          <w:tcPr>
            <w:tcW w:w="30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来源类别</w:t>
            </w:r>
          </w:p>
        </w:tc>
        <w:tc>
          <w:tcPr>
            <w:tcW w:w="18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当前占比</w:t>
            </w:r>
          </w:p>
        </w:tc>
        <w:tc>
          <w:tcPr>
            <w:tcW w:w="38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合并后命运</w:t>
            </w:r>
          </w:p>
        </w:tc>
        <w:tc>
          <w:tcPr>
            <w:tcW w:w="22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代表 issue</w:t>
            </w:r>
          </w:p>
        </w:tc>
      </w:tr>
      <w:tr>
        <w:trPr>
          <w:trHeight w:val="360" w:hRule="atLeast"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前端/桌面/渲染/更新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约 21/42</w:t>
            </w:r>
          </w:p>
        </w:tc>
        <w:tc>
          <w:tcPr>
            <w:tcW w:w="38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原样保留 → 必然重现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#8837 #8826 #8803 #8829 #8793</w:t>
            </w:r>
          </w:p>
        </w:tc>
      </w:tr>
      <w:tr>
        <w:trPr>
          <w:trHeight w:val="360" w:hRule="atLeast"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内核/Agent 循环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约 18/42</w:t>
            </w:r>
          </w:p>
        </w:tc>
        <w:tc>
          <w:tcPr>
            <w:tcW w:w="38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被 dsh 替换 → 原 bug 消失，等价故障可能重现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#8830 #8816 #8787 #8778 #8768 #8823</w:t>
            </w:r>
          </w:p>
        </w:tc>
      </w:tr>
      <w:tr>
        <w:trPr>
          <w:trHeight w:val="360" w:hRule="atLeast"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桥接/事件流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并入上述</w:t>
            </w:r>
          </w:p>
        </w:tc>
        <w:tc>
          <w:tcPr>
            <w:tcW w:w="38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跨语言桥新风险 → 重现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#8831 #8833</w:t>
            </w:r>
          </w:p>
        </w:tc>
      </w:tr>
      <w:tr>
        <w:trPr>
          <w:trHeight w:val="360" w:hRule="atLeast"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Provider/模型/计费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约 3/42</w:t>
            </w:r>
          </w:p>
        </w:tc>
        <w:tc>
          <w:tcPr>
            <w:tcW w:w="38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形态重现（端点/计费实现不同）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#8836 #8781 #8792</w:t>
            </w:r>
          </w:p>
        </w:tc>
      </w:tr>
    </w:tbl>
    <w:p>
      <w:pPr>
        <w:pStyle w:val="Caption"/>
      </w:pPr>
      <w:r>
        <w:t>表 10-1：问题继承判定</w:t>
      </w:r>
    </w:p>
    <w:p>
      <w:pPr>
        <w:pStyle w:val="Heading3"/>
      </w:pPr>
      <w:r>
        <w:t>10.3.1 前端类：必然重现</w:t>
      </w:r>
    </w:p>
    <w:p>
      <w:r>
        <w:t>Mac 关窗(#8837)、关闭标签无效(#8826)、滚动跳动(#8803/#8794/#8780)、更新后会话丢失(#8829/#8767/#8793，标签 updater+data-loss)等，全部位于保留的 Reasonix 桌面/TUI 外壳与自更新体系内，合并对其零改动，故原样重现。</w:t>
      </w:r>
    </w:p>
    <w:p>
      <w:pPr>
        <w:pStyle w:val="Heading3"/>
      </w:pPr>
      <w:r>
        <w:t>10.3.2 内核类：被替换但有回归风险</w:t>
      </w:r>
    </w:p>
    <w:p>
      <w:r>
        <w:t>Planner 固定轮数上限与超限告警(#8830/#8774/#8776)、Plan-YOLO 循环(#8816)、stop 后仍“turn already running”(#8787)、卡在验证(#8778)、回滚不可用(#8768)、崩溃恢复分支(#8823/#8819)等，随 control.Controller/internal/agent 被 dsh 的 ctx.agentLoop+ctx.agents 取代而消失；但若移植时未忠实复制对应护栏（自适应 planner 深度、turn 准入边界、stop 语义、回滚通道），等价故障会在 Node 侧重新出现。</w:t>
      </w:r>
    </w:p>
    <w:p>
      <w:pPr>
        <w:pStyle w:val="Heading3"/>
      </w:pPr>
      <w:r>
        <w:t>10.3.3 桥接类：新引入风险</w:t>
      </w:r>
    </w:p>
    <w:p>
      <w:r>
        <w:t>#8831(漏事件后回答转圈)、#8833(TurnDone 竞态) 本质是 Tauri 前端↔内核的异步事件桥问题。合并后以 Tauri↔Node dsh (ACP/JSON-RPC) 跨语言桥替代，同一类“事件丢失/时序竞态”会以新形式重现，除非桥直接复用原有 recovery/watchdog 设计。</w:t>
      </w:r>
    </w:p>
    <w:p>
      <w:pPr>
        <w:pStyle w:val="Heading3"/>
      </w:pPr>
      <w:r>
        <w:t>10.3.4 Provider/计费类：形态重现</w:t>
      </w:r>
    </w:p>
    <w:p>
      <w:r>
        <w:t>#8836(火山引擎 404)、#8781(/v1 路径不全)、#8792(V4 Pro 计费低估 22x) 源于模型端点与成本核算。合并后 provider 层由 dsh ctx.llm 重新承载，具体 bug 不同但类别一致，需在适配器与 dcs 计费中重新对齐。</w:t>
      </w:r>
    </w:p>
    <w:p>
      <w:pPr>
        <w:pStyle w:val="Heading3"/>
      </w:pPr>
      <w:r>
        <w:t>10.3.5 对方案的启示与回归预算</w:t>
      </w:r>
    </w:p>
    <w:p>
      <w:pPr>
        <w:numPr>
          <w:ilvl w:val="0"/>
          <w:numId w:val="2"/>
        </w:numPr>
        <w:spacing w:after="80"/>
      </w:pPr>
      <w:r>
        <w:t>合并能“治愈”的是内核/Agent 类一小部分，却继承几乎全部前端债，并新增跨语言桥风险——方案排期应据此分配测试预算。</w:t>
      </w:r>
    </w:p>
    <w:p>
      <w:pPr>
        <w:numPr>
          <w:ilvl w:val="0"/>
          <w:numId w:val="2"/>
        </w:numPr>
        <w:spacing w:after="80"/>
      </w:pPr>
      <w:r>
        <w:t>桥接 recovery 测试对齐 #8831/#8833：覆盖事件整流丢失、TurnDone 竞态后的自动恢复。</w:t>
      </w:r>
    </w:p>
    <w:p>
      <w:pPr>
        <w:numPr>
          <w:ilvl w:val="0"/>
          <w:numId w:val="2"/>
        </w:numPr>
        <w:spacing w:after="80"/>
      </w:pPr>
      <w:r>
        <w:t>Planner 边界测试对齐 #8776/#8830：验证自适应深度与轮数上限不再触发误导性告警。</w:t>
      </w:r>
    </w:p>
    <w:p>
      <w:pPr>
        <w:numPr>
          <w:ilvl w:val="0"/>
          <w:numId w:val="2"/>
        </w:numPr>
        <w:spacing w:after="80"/>
      </w:pPr>
      <w:r>
        <w:t>回滚通道测试对齐 #8768：确保 SessionEvent 可 fork/回放到原 Go 内核。</w:t>
      </w:r>
    </w:p>
    <w:p>
      <w:pPr>
        <w:numPr>
          <w:ilvl w:val="0"/>
          <w:numId w:val="2"/>
        </w:numPr>
        <w:spacing w:after="80"/>
      </w:pPr>
      <w:r>
        <w:t>Provider 端点测试对齐 #8836/#8781：覆盖第三方兼容端点路径补全与 404 诊断。</w:t>
      </w:r>
    </w:p>
    <w:p>
      <w:pPr>
        <w:numPr>
          <w:ilvl w:val="0"/>
          <w:numId w:val="2"/>
        </w:numPr>
        <w:spacing w:after="80"/>
      </w:pPr>
      <w:r>
        <w:t>前端债(#8837/#8826/#8803 等)不在本期范围，应在迁移后单独立项，避免被本次替换“顺带”承担。</w:t>
      </w:r>
    </w:p>
    <w:p>
      <w:pPr>
        <w:pStyle w:val="Heading1"/>
      </w:pPr>
      <w:bookmarkStart w:name="_Toc011" w:id="011"/>
      <w:r>
        <w:t>11 Windows 构建与安装包</w:t>
      </w:r>
      <w:bookmarkEnd w:id="011"/>
    </w:p>
    <w:p>
      <w:r>
        <w:t>本方案第 1.2 节将“桌面端 React UI 与安装分发体系”列为非范围，即保留 Reasonix 现有的 Tauri 桌面壳与 Windows 安装包流程。但后端替换为 dsh（TypeScript/Node 运行时）后，安装包必须额外分发 Node 宿主与 dsh 插件树；否则部署后无引擎可用。本章补全这一空白：在不改写 Reasonix 桌面壳的前提下，给出把 dsh 作为 Sidecar 打进 Windows 安装包的可落地方法。</w:t>
      </w:r>
    </w:p>
    <w:p>
      <w:pPr>
        <w:pStyle w:val="Heading2"/>
      </w:pPr>
      <w:r>
        <w:t>11.1 目标与约束</w:t>
      </w:r>
    </w:p>
    <w:p>
      <w:pPr>
        <w:numPr>
          <w:ilvl w:val="0"/>
          <w:numId w:val="2"/>
        </w:numPr>
        <w:spacing w:after="80"/>
      </w:pPr>
      <w:r>
        <w:t>目标：产出一个已签名、可双击安装的 Windows 安装包，安装后开箱即用——启动 Reasonix 桌面壳即自动拉起 dsh Sidecar。</w:t>
      </w:r>
    </w:p>
    <w:p>
      <w:pPr>
        <w:numPr>
          <w:ilvl w:val="0"/>
          <w:numId w:val="2"/>
        </w:numPr>
        <w:spacing w:after="80"/>
      </w:pPr>
      <w:r>
        <w:t>约束：沿用 Reasonix 既有 Tauri（Rust + WebView2）构建与 NSIS 安装框架，不引入新的桌面技术栈。</w:t>
      </w:r>
    </w:p>
    <w:p>
      <w:pPr>
        <w:numPr>
          <w:ilvl w:val="0"/>
          <w:numId w:val="2"/>
        </w:numPr>
        <w:spacing w:after="80"/>
      </w:pPr>
      <w:r>
        <w:t>约束：dsh 处于 Developer Preview，尚无官方 Windows standalone；本期采用“捆绑 Node 运行时 + bundle”策略，待官方提供 standalone 后无缝替换。</w:t>
      </w:r>
    </w:p>
    <w:p>
      <w:pPr>
        <w:numPr>
          <w:ilvl w:val="0"/>
          <w:numId w:val="2"/>
        </w:numPr>
        <w:spacing w:after="80"/>
      </w:pPr>
      <w:r>
        <w:t>约束：回滚开关（第 8.3 节）要求安装包内同时保留原 Go Controller 与 dsh 引擎，二者可配置互切。</w:t>
      </w:r>
    </w:p>
    <w:p>
      <w:pPr>
        <w:pStyle w:val="Heading2"/>
      </w:pPr>
      <w:r>
        <w:t>11.2 安装包资源清单</w:t>
      </w:r>
    </w:p>
    <w:tbl>
      <w:tblPr>
        <w:tblW w:w="100" w:type="pct"/>
        <w:tblBorders>
          <w:top w:val="single" w:color="2F4858" w:sz="12"/>
          <w:bottom w:val="single" w:color="2F4858" w:sz="12"/>
          <w:left w:val="nil"/>
          <w:right w:val="nil"/>
          <w:insideH w:val="single" w:color="C5D2E0" w:sz="4"/>
          <w:insideV w:val="nil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3200"/>
        <w:gridCol w:w="4200"/>
        <w:gridCol w:w="3400"/>
      </w:tblGrid>
      <w:tr>
        <w:trPr>
          <w:tblHeader/>
          <w:trHeight w:val="380" w:hRule="atLeast"/>
        </w:trPr>
        <w:tc>
          <w:tcPr>
            <w:tcW w:w="32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资源</w:t>
            </w:r>
          </w:p>
        </w:tc>
        <w:tc>
          <w:tcPr>
            <w:tcW w:w="42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来源 / 生成方式</w:t>
            </w:r>
          </w:p>
        </w:tc>
        <w:tc>
          <w:tcPr>
            <w:tcW w:w="34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说明</w:t>
            </w:r>
          </w:p>
        </w:tc>
      </w:tr>
      <w:tr>
        <w:trPr>
          <w:trHeight w:val="360" w:hRule="atLeast"/>
        </w:trPr>
        <w:tc>
          <w:tcPr>
            <w:tcW w:w="32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Reasonix 桌面壳</w:t>
            </w:r>
          </w:p>
        </w:tc>
        <w:tc>
          <w:tcPr>
            <w:tcW w:w="4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cargo tauri build</w:t>
            </w:r>
          </w:p>
        </w:tc>
        <w:tc>
          <w:tcPr>
            <w:tcW w:w="34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Rust + WebView2 桌面壳（前端层），含回滚用的原 Go Controller</w:t>
            </w:r>
          </w:p>
        </w:tc>
      </w:tr>
      <w:tr>
        <w:trPr>
          <w:trHeight w:val="360" w:hRule="atLeast"/>
        </w:trPr>
        <w:tc>
          <w:tcPr>
            <w:tcW w:w="32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resources/dsh/node.exe</w:t>
            </w:r>
          </w:p>
        </w:tc>
        <w:tc>
          <w:tcPr>
            <w:tcW w:w="4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Node 20 LTS 官方二进制</w:t>
            </w:r>
          </w:p>
        </w:tc>
        <w:tc>
          <w:tcPr>
            <w:tcW w:w="34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Sidecar 引擎宿主（Node 运行时）</w:t>
            </w:r>
          </w:p>
        </w:tc>
      </w:tr>
      <w:tr>
        <w:trPr>
          <w:trHeight w:val="360" w:hRule="atLeast"/>
        </w:trPr>
        <w:tc>
          <w:tcPr>
            <w:tcW w:w="32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resources/dsh/bundle/</w:t>
            </w:r>
          </w:p>
        </w:tc>
        <w:tc>
          <w:tcPr>
            <w:tcW w:w="4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npm ci &amp;&amp; npm pack（dsh-base + dsh-bundle-reasonix）</w:t>
            </w:r>
          </w:p>
        </w:tc>
        <w:tc>
          <w:tcPr>
            <w:tcW w:w="34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Cordis 插件树（引擎层）</w:t>
            </w:r>
          </w:p>
        </w:tc>
      </w:tr>
      <w:tr>
        <w:trPr>
          <w:trHeight w:val="360" w:hRule="atLeast"/>
        </w:trPr>
        <w:tc>
          <w:tcPr>
            <w:tcW w:w="32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resources/dsh/reasonix.profile + cordis.patch.yml</w:t>
            </w:r>
          </w:p>
        </w:tc>
        <w:tc>
          <w:tcPr>
            <w:tcW w:w="4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仓库内配置文件</w:t>
            </w:r>
          </w:p>
        </w:tc>
        <w:tc>
          <w:tcPr>
            <w:tcW w:w="34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dsh 启动配置与补丁</w:t>
            </w:r>
          </w:p>
        </w:tc>
      </w:tr>
      <w:tr>
        <w:trPr>
          <w:trHeight w:val="360" w:hRule="atLeast"/>
        </w:trPr>
        <w:tc>
          <w:tcPr>
            <w:tcW w:w="32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WebView2 引导</w:t>
            </w:r>
          </w:p>
        </w:tc>
        <w:tc>
          <w:tcPr>
            <w:tcW w:w="4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微软 WebView2 Runtime Redist</w:t>
            </w:r>
          </w:p>
        </w:tc>
        <w:tc>
          <w:tcPr>
            <w:tcW w:w="34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首次启动按需安装（或 PREREQ 内置）</w:t>
            </w:r>
          </w:p>
        </w:tc>
      </w:tr>
      <w:tr>
        <w:trPr>
          <w:trHeight w:val="360" w:hRule="atLeast"/>
        </w:trPr>
        <w:tc>
          <w:tcPr>
            <w:tcW w:w="32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卸载 / 注册表脚本</w:t>
            </w:r>
          </w:p>
        </w:tc>
        <w:tc>
          <w:tcPr>
            <w:tcW w:w="4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NSIS 段</w:t>
            </w:r>
          </w:p>
        </w:tc>
        <w:tc>
          <w:tcPr>
            <w:tcW w:w="34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开始菜单、卸载入口、回环端口清理</w:t>
            </w:r>
          </w:p>
        </w:tc>
      </w:tr>
    </w:tbl>
    <w:p>
      <w:pPr>
        <w:pStyle w:val="Caption"/>
      </w:pPr>
      <w:r>
        <w:t>表 11-1：Windows 安装包资源清单</w:t>
      </w:r>
    </w:p>
    <w:p>
      <w:pPr>
        <w:pStyle w:val="Heading2"/>
      </w:pPr>
      <w:r>
        <w:t>11.3 构建流水线</w:t>
      </w:r>
    </w:p>
    <w:tbl>
      <w:tblPr>
        <w:tblW w:w="100" w:type="pct"/>
        <w:tblBorders>
          <w:top w:val="single" w:color="2F4858" w:sz="12"/>
          <w:bottom w:val="single" w:color="2F4858" w:sz="12"/>
          <w:left w:val="nil"/>
          <w:right w:val="nil"/>
          <w:insideH w:val="single" w:color="C5D2E0" w:sz="4"/>
          <w:insideV w:val="nil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1400"/>
        <w:gridCol w:w="6200"/>
        <w:gridCol w:w="2000"/>
      </w:tblGrid>
      <w:tr>
        <w:trPr>
          <w:tblHeader/>
          <w:trHeight w:val="380" w:hRule="atLeast"/>
        </w:trPr>
        <w:tc>
          <w:tcPr>
            <w:tcW w:w="14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步骤</w:t>
            </w:r>
          </w:p>
        </w:tc>
        <w:tc>
          <w:tcPr>
            <w:tcW w:w="62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动作</w:t>
            </w:r>
          </w:p>
        </w:tc>
        <w:tc>
          <w:tcPr>
            <w:tcW w:w="20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产出</w:t>
            </w:r>
          </w:p>
        </w:tc>
      </w:tr>
      <w:tr>
        <w:trPr>
          <w:trHeight w:val="360" w:hRule="atLeast"/>
        </w:trPr>
        <w:tc>
          <w:tcPr>
            <w:tcW w:w="14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B1</w:t>
            </w:r>
          </w:p>
        </w:tc>
        <w:tc>
          <w:tcPr>
            <w:tcW w:w="6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cargo tauri build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桌面壳 exe（Tauri/Rust）</w:t>
            </w:r>
          </w:p>
        </w:tc>
      </w:tr>
      <w:tr>
        <w:trPr>
          <w:trHeight w:val="360" w:hRule="atLeast"/>
        </w:trPr>
        <w:tc>
          <w:tcPr>
            <w:tcW w:w="14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B2</w:t>
            </w:r>
          </w:p>
        </w:tc>
        <w:tc>
          <w:tcPr>
            <w:tcW w:w="6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npm ci &amp;&amp; npm run build（dsh-bundle-reasonix），压为 resources/dsh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引擎资源目录</w:t>
            </w:r>
          </w:p>
        </w:tc>
      </w:tr>
      <w:tr>
        <w:trPr>
          <w:trHeight w:val="360" w:hRule="atLeast"/>
        </w:trPr>
        <w:tc>
          <w:tcPr>
            <w:tcW w:w="14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B3</w:t>
            </w:r>
          </w:p>
        </w:tc>
        <w:tc>
          <w:tcPr>
            <w:tcW w:w="6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NSIS 编译打包（含 WebView2、resources、卸载脚本）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未签名安装包</w:t>
            </w:r>
          </w:p>
        </w:tc>
      </w:tr>
      <w:tr>
        <w:trPr>
          <w:trHeight w:val="360" w:hRule="atLeast"/>
        </w:trPr>
        <w:tc>
          <w:tcPr>
            <w:tcW w:w="14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B4</w:t>
            </w:r>
          </w:p>
        </w:tc>
        <w:tc>
          <w:tcPr>
            <w:tcW w:w="6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signtool 对 exe 与安装包做 Authenticode 签名 + RFC3161 时间戳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已签名发布物</w:t>
            </w:r>
          </w:p>
        </w:tc>
      </w:tr>
      <w:tr>
        <w:trPr>
          <w:trHeight w:val="360" w:hRule="atLeast"/>
        </w:trPr>
        <w:tc>
          <w:tcPr>
            <w:tcW w:w="14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B5</w:t>
            </w:r>
          </w:p>
        </w:tc>
        <w:tc>
          <w:tcPr>
            <w:tcW w:w="6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干净 Windows VM 冒烟：安装→启动→首轮对话→回滚开关→卸载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验收报告</w:t>
            </w:r>
          </w:p>
        </w:tc>
      </w:tr>
    </w:tbl>
    <w:p>
      <w:pPr>
        <w:pStyle w:val="Caption"/>
      </w:pPr>
      <w:r>
        <w:t>表 11-2：CI 构建流水线</w:t>
      </w:r>
    </w:p>
    <w:p>
      <w:pPr>
        <w:pStyle w:val="Heading2"/>
      </w:pPr>
      <w:r>
        <w:t>11.4 dsh Sidecar 分发策略</w:t>
      </w:r>
    </w:p>
    <w:p>
      <w:r>
        <w:t>三者择一，默认采用策略①，性能与体积达标后评估②，③ 作为长期目标：</w:t>
      </w:r>
    </w:p>
    <w:p>
      <w:pPr>
        <w:numPr>
          <w:ilvl w:val="0"/>
          <w:numId w:val="2"/>
        </w:numPr>
        <w:spacing w:after="80"/>
      </w:pPr>
      <w:r>
        <w:t>① 捆绑 Node 运行时：将 node.exe 与压缩后的 dsh bundle 置于 resources/dsh，启动壳时以子进程拉起。最简单、兼容性最好，代价是安装包增大约 30–50 MB。</w:t>
      </w:r>
    </w:p>
    <w:p>
      <w:pPr>
        <w:numPr>
          <w:ilvl w:val="0"/>
          <w:numId w:val="2"/>
        </w:numPr>
        <w:spacing w:after="80"/>
      </w:pPr>
      <w:r>
        <w:t>② 单文件化：用 pkg / esbuild / Vercel 的 standalone 将 dsh 打包为单文件 exe，移除对 node.exe 的依赖；需验证 dsh 对原生模块（如有）的兼容性。</w:t>
      </w:r>
    </w:p>
    <w:p>
      <w:pPr>
        <w:numPr>
          <w:ilvl w:val="0"/>
          <w:numId w:val="2"/>
        </w:numPr>
        <w:spacing w:after="80"/>
      </w:pPr>
      <w:r>
        <w:t>③ 官方 standalone：若 dsh 后续发布 Windows 原生二进制，直接内嵌并弃用 Node 宿主，分发体积最小。</w:t>
      </w:r>
    </w:p>
    <w:p>
      <w:pPr>
        <w:pStyle w:val="Heading2"/>
      </w:pPr>
      <w:r>
        <w:t>11.5 安装包与代码签名</w:t>
      </w:r>
    </w:p>
    <w:p>
      <w:r>
        <w:t>Windows SmartScreen 过滤依赖 Authenticode 签名，未签名安装包会向用户弹出“未知发布者”告警，严重损害转化。需在 CI（windows-latest）中用 EV 代码签名证书（DigiCert / GlobalSign / Sectigo）执行：signtool sign /fd SHA256 /tr &lt;时间戳服务&gt; /td SHA256 Reasonix.exe 与最终安装包。WebView2 Runtime 由安装引导程序按需获取或作为 PREREQ 内置。安装脚本写入开始菜单快捷方式、卸载入口，并在卸载时清理 Sidecar 占用的本地回环端口与 resources 目录。</w:t>
      </w:r>
    </w:p>
    <w:p>
      <w:pPr>
        <w:pStyle w:val="Heading2"/>
      </w:pPr>
      <w:r>
        <w:t>11.6 与自更新衔接</w:t>
      </w:r>
    </w:p>
    <w:p>
      <w:r>
        <w:t>Reasonix 现有自更新（issue #8805/#8767 一类 bug 亦属前端债，见 10.3.1）仅升级桌面壳。合并后需扩展 updater，使其同时拉取 dsh 资源的版本增量，或约定 dsh 走独立版本通道（profile 版本号随 bundle 升级）。回滚时须保证 Go Controller 与 dsh 资源版本对齐，避免内核/引擎错配导致会话无法恢复。</w:t>
      </w:r>
    </w:p>
    <w:p>
      <w:pPr>
        <w:pStyle w:val="Heading2"/>
      </w:pPr>
      <w:r>
        <w:t>11.7 验证</w:t>
      </w:r>
    </w:p>
    <w:p>
      <w:r>
        <w:t>在干净的 Windows 虚拟机（无 Node、无 WebView2 预装）中执行端到端验收：安装包双击安装、首次启动引导 WebView2、桌面壳自动拉起 dsh Sidecar、本地回环 ACP 通信正常、首轮对话可完成、回滚开关可切回 Go Controller、卸载无残留。该验收应纳入第 8.2 节基准验证的固定关卡。</w:t>
      </w:r>
    </w:p>
    <w:p>
      <w:pPr>
        <w:pStyle w:val="Heading1"/>
      </w:pPr>
      <w:bookmarkStart w:name="_Toc012" w:id="012"/>
      <w:r>
        <w:t>12 DeepSeek Harness 高频更新适配</w:t>
      </w:r>
      <w:bookmarkEnd w:id="012"/>
    </w:p>
    <w:p>
      <w:r>
        <w:t>第 1.3 节已指出 dsh 处于 Developer Preview，明确声明“存在破坏性兼容变更”。实践中这意味着 dsh 可能以周甚至日为单位发布含 breaking change 的版本。本章给出在 dsh 高频迭代下，如何低成本、可灰度、可回退地吸收上游更新的完整适配机制——它把第 7 节“锁定 base 版本 + bundle 分层 + patch 隔离”从原则落实为可执行工作流。</w:t>
      </w:r>
    </w:p>
    <w:p>
      <w:pPr>
        <w:pStyle w:val="Heading2"/>
      </w:pPr>
      <w:r>
        <w:t>12.1 目标与原则</w:t>
      </w:r>
    </w:p>
    <w:p>
      <w:pPr>
        <w:numPr>
          <w:ilvl w:val="0"/>
          <w:numId w:val="2"/>
        </w:numPr>
        <w:spacing w:after="80"/>
      </w:pPr>
      <w:r>
        <w:t>目标：在不中断用户、不重写 bundle 业务代码的前提下，吸收 dsh 上游更新。</w:t>
      </w:r>
    </w:p>
    <w:p>
      <w:pPr>
        <w:numPr>
          <w:ilvl w:val="0"/>
          <w:numId w:val="2"/>
        </w:numPr>
        <w:spacing w:after="80"/>
      </w:pPr>
      <w:r>
        <w:t>原则一（分层）：base 与 bundle 严格分离，base 锁定到具体 commit/版本，bundle 独立演进。</w:t>
      </w:r>
    </w:p>
    <w:p>
      <w:pPr>
        <w:numPr>
          <w:ilvl w:val="0"/>
          <w:numId w:val="2"/>
        </w:numPr>
        <w:spacing w:after="80"/>
      </w:pPr>
      <w:r>
        <w:t>原则二（隔离）：差异优先写入 cordis.patch.yml，避免直接改 bundle 源码；确需改则封在适配层。</w:t>
      </w:r>
    </w:p>
    <w:p>
      <w:pPr>
        <w:numPr>
          <w:ilvl w:val="0"/>
          <w:numId w:val="2"/>
        </w:numPr>
        <w:spacing w:after="80"/>
      </w:pPr>
      <w:r>
        <w:t>原则三（可灰度可回退）：每次升级先 Sidecar 小流量验证，profile 始终保留旧 base 锁定作为回退点。</w:t>
      </w:r>
    </w:p>
    <w:p>
      <w:pPr>
        <w:numPr>
          <w:ilvl w:val="0"/>
          <w:numId w:val="2"/>
        </w:numPr>
        <w:spacing w:after="80"/>
      </w:pPr>
      <w:r>
        <w:t>原则四（契约守界）：以契约测试守住行为边界，任何接缝字段/顺序变动在 CI 红警而非生产暴露。</w:t>
      </w:r>
    </w:p>
    <w:p>
      <w:pPr>
        <w:pStyle w:val="Heading2"/>
      </w:pPr>
      <w:r>
        <w:t>12.2 版本锁定与分层</w:t>
      </w:r>
    </w:p>
    <w:p>
      <w:r>
        <w:t>reasonix.profile 显式 pin 住 dsh-base 的 commit/版本（如 dsh-base@&lt;sha&gt;），禁止浮动 latest；dsh-bundle-reasonix 使用独立版本号。所有与上游的分歧统一收敛到 cordis.patch.yml，升级时“迁移 patch”而非“重改 bundle”。该分层保证：dsh 破坏性变更只冲击 base 层，bundle 与前端通过稳定抽象间接消费 dsh。</w:t>
      </w:r>
    </w:p>
    <w:p>
      <w:pPr>
        <w:pStyle w:val="Heading2"/>
      </w:pPr>
      <w:r>
        <w:t>12.3 变更摄取与影响面评估</w:t>
      </w:r>
    </w:p>
    <w:p>
      <w:pPr>
        <w:numPr>
          <w:ilvl w:val="0"/>
          <w:numId w:val="2"/>
        </w:numPr>
        <w:spacing w:after="80"/>
      </w:pPr>
      <w:r>
        <w:t>订阅 releases + watch，CI 定时拉取最新 dsh 并生成变更摘要（BREAKING 段、core/* 目录 diff）。</w:t>
      </w:r>
    </w:p>
    <w:p>
      <w:pPr>
        <w:numPr>
          <w:ilvl w:val="0"/>
          <w:numId w:val="2"/>
        </w:numPr>
        <w:spacing w:after="80"/>
      </w:pPr>
      <w:r>
        <w:t>升级前后各执行一次 dsh --profile reasonix --dump-config，对两份配置树快照做 diff，即可精准定位被改的插件/服务/事件。</w:t>
      </w:r>
    </w:p>
    <w:p>
      <w:pPr>
        <w:numPr>
          <w:ilvl w:val="0"/>
          <w:numId w:val="2"/>
        </w:numPr>
        <w:spacing w:after="80"/>
      </w:pPr>
      <w:r>
        <w:t>以“bundle 消费的 dsh 接缝清单”（表 12-2）为影响面基准，未被清单覆盖的接缝变动不纳入适配范围。</w:t>
      </w:r>
    </w:p>
    <w:p>
      <w:pPr>
        <w:pStyle w:val="Heading2"/>
      </w:pPr>
      <w:r>
        <w:t>12.4 适配工作流</w:t>
      </w:r>
    </w:p>
    <w:tbl>
      <w:tblPr>
        <w:tblW w:w="100" w:type="pct"/>
        <w:tblBorders>
          <w:top w:val="single" w:color="2F4858" w:sz="12"/>
          <w:bottom w:val="single" w:color="2F4858" w:sz="12"/>
          <w:left w:val="nil"/>
          <w:right w:val="nil"/>
          <w:insideH w:val="single" w:color="C5D2E0" w:sz="4"/>
          <w:insideV w:val="nil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1400"/>
        <w:gridCol w:w="6200"/>
        <w:gridCol w:w="2000"/>
        <w:gridCol w:w="2000"/>
      </w:tblGrid>
      <w:tr>
        <w:trPr>
          <w:tblHeader/>
          <w:trHeight w:val="380" w:hRule="atLeast"/>
        </w:trPr>
        <w:tc>
          <w:tcPr>
            <w:tcW w:w="14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步骤</w:t>
            </w:r>
          </w:p>
        </w:tc>
        <w:tc>
          <w:tcPr>
            <w:tcW w:w="62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动作</w:t>
            </w:r>
          </w:p>
        </w:tc>
        <w:tc>
          <w:tcPr>
            <w:tcW w:w="20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产出</w:t>
            </w:r>
          </w:p>
        </w:tc>
        <w:tc>
          <w:tcPr>
            <w:tcW w:w="20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准入门槛</w:t>
            </w:r>
          </w:p>
        </w:tc>
      </w:tr>
      <w:tr>
        <w:trPr>
          <w:trHeight w:val="360" w:hRule="atLeast"/>
        </w:trPr>
        <w:tc>
          <w:tcPr>
            <w:tcW w:w="14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W1</w:t>
            </w:r>
          </w:p>
        </w:tc>
        <w:tc>
          <w:tcPr>
            <w:tcW w:w="6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摄取发布：解析 changelog / BREAKING，拉取新 base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变更摘要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—</w:t>
            </w:r>
          </w:p>
        </w:tc>
      </w:tr>
      <w:tr>
        <w:trPr>
          <w:trHeight w:val="360" w:hRule="atLeast"/>
        </w:trPr>
        <w:tc>
          <w:tcPr>
            <w:tcW w:w="14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W2</w:t>
            </w:r>
          </w:p>
        </w:tc>
        <w:tc>
          <w:tcPr>
            <w:tcW w:w="6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影响面评估：对照表 12-2 与 dump-config 快照 diff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受影响接缝列表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无未知接缝被改</w:t>
            </w:r>
          </w:p>
        </w:tc>
      </w:tr>
      <w:tr>
        <w:trPr>
          <w:trHeight w:val="360" w:hRule="atLeast"/>
        </w:trPr>
        <w:tc>
          <w:tcPr>
            <w:tcW w:w="14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W3</w:t>
            </w:r>
          </w:p>
        </w:tc>
        <w:tc>
          <w:tcPr>
            <w:tcW w:w="6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隔离升级：upgrade/dsh-&lt;ver&gt; 分支升 base，迁移 cordis.patch.yml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候选 profile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单测通过</w:t>
            </w:r>
          </w:p>
        </w:tc>
      </w:tr>
      <w:tr>
        <w:trPr>
          <w:trHeight w:val="360" w:hRule="atLeast"/>
        </w:trPr>
        <w:tc>
          <w:tcPr>
            <w:tcW w:w="14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W4</w:t>
            </w:r>
          </w:p>
        </w:tc>
        <w:tc>
          <w:tcPr>
            <w:tcW w:w="6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契约测试：跑桥接/Planner/回滚/Provider 回归（对齐 #8831/#8833/#8776/#8768/#8836/#8781）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测试报告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全绿或有已知豁免</w:t>
            </w:r>
          </w:p>
        </w:tc>
      </w:tr>
      <w:tr>
        <w:trPr>
          <w:trHeight w:val="360" w:hRule="atLeast"/>
        </w:trPr>
        <w:tc>
          <w:tcPr>
            <w:tcW w:w="14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W5</w:t>
            </w:r>
          </w:p>
        </w:tc>
        <w:tc>
          <w:tcPr>
            <w:tcW w:w="6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灰度：canary profile 经 Sidecar 小流量，监控缓存命中率/成本/成功率（8.2）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监控面板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三项指标不回退</w:t>
            </w:r>
          </w:p>
        </w:tc>
      </w:tr>
      <w:tr>
        <w:trPr>
          <w:trHeight w:val="360" w:hRule="atLeast"/>
        </w:trPr>
        <w:tc>
          <w:tcPr>
            <w:tcW w:w="14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W6</w:t>
            </w:r>
          </w:p>
        </w:tc>
        <w:tc>
          <w:tcPr>
            <w:tcW w:w="6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发布：bump profile 版本 + 重打包安装包（第 11 章）+ updater 增量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已签名发布物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回退开关就绪</w:t>
            </w:r>
          </w:p>
        </w:tc>
      </w:tr>
    </w:tbl>
    <w:p>
      <w:pPr>
        <w:pStyle w:val="Caption"/>
      </w:pPr>
      <w:r>
        <w:t>表 12-1：dsh 版本适配工作流</w:t>
      </w:r>
    </w:p>
    <w:p>
      <w:pPr>
        <w:pStyle w:val="Heading2"/>
      </w:pPr>
      <w:r>
        <w:t>12.5 bundle 消费的 dsh 接缝与监控点</w:t>
      </w:r>
    </w:p>
    <w:tbl>
      <w:tblPr>
        <w:tblW w:w="100" w:type="pct"/>
        <w:tblBorders>
          <w:top w:val="single" w:color="2F4858" w:sz="12"/>
          <w:bottom w:val="single" w:color="2F4858" w:sz="12"/>
          <w:left w:val="nil"/>
          <w:right w:val="nil"/>
          <w:insideH w:val="single" w:color="C5D2E0" w:sz="4"/>
          <w:insideV w:val="nil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3600"/>
        <w:gridCol w:w="3600"/>
        <w:gridCol w:w="3400"/>
      </w:tblGrid>
      <w:tr>
        <w:trPr>
          <w:tblHeader/>
          <w:trHeight w:val="380" w:hRule="atLeast"/>
        </w:trPr>
        <w:tc>
          <w:tcPr>
            <w:tcW w:w="36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消费接缝</w:t>
            </w:r>
          </w:p>
        </w:tc>
        <w:tc>
          <w:tcPr>
            <w:tcW w:w="36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用途</w:t>
            </w:r>
          </w:p>
        </w:tc>
        <w:tc>
          <w:tcPr>
            <w:tcW w:w="34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新版本需验证</w:t>
            </w:r>
          </w:p>
        </w:tc>
      </w:tr>
      <w:tr>
        <w:trPr>
          <w:trHeight w:val="360" w:hRule="atLeast"/>
        </w:trPr>
        <w:tc>
          <w:tcPr>
            <w:tcW w:w="36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ctx.agentLoop / ctx.agents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Agent 循环与生命周期</w:t>
            </w:r>
          </w:p>
        </w:tc>
        <w:tc>
          <w:tcPr>
            <w:tcW w:w="34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turn 准入、stop 语义、子 Agent 委派是否变化</w:t>
            </w:r>
          </w:p>
        </w:tc>
      </w:tr>
      <w:tr>
        <w:trPr>
          <w:trHeight w:val="360" w:hRule="atLeast"/>
        </w:trPr>
        <w:tc>
          <w:tcPr>
            <w:tcW w:w="36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ctx.tools（作用域注册）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工具执行管线</w:t>
            </w:r>
          </w:p>
        </w:tc>
        <w:tc>
          <w:tcPr>
            <w:tcW w:w="34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工具 schema 字节序/顺序、pre-execute 钩子签名</w:t>
            </w:r>
          </w:p>
        </w:tc>
      </w:tr>
      <w:tr>
        <w:trPr>
          <w:trHeight w:val="360" w:hRule="atLeast"/>
        </w:trPr>
        <w:tc>
          <w:tcPr>
            <w:tcW w:w="36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ctx.llm 适配器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DeepSeek 模型接入</w:t>
            </w:r>
          </w:p>
        </w:tc>
        <w:tc>
          <w:tcPr>
            <w:tcW w:w="34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reasoning token / tool_calls 归一化、1M 上下文窗口</w:t>
            </w:r>
          </w:p>
        </w:tc>
      </w:tr>
      <w:tr>
        <w:trPr>
          <w:trHeight w:val="360" w:hRule="atLeast"/>
        </w:trPr>
        <w:tc>
          <w:tcPr>
            <w:tcW w:w="36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session/event + agent/*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事件流（前端订阅）</w:t>
            </w:r>
          </w:p>
        </w:tc>
        <w:tc>
          <w:tcPr>
            <w:tcW w:w="34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事件字段名/结构、广播时机</w:t>
            </w:r>
          </w:p>
        </w:tc>
      </w:tr>
      <w:tr>
        <w:trPr>
          <w:trHeight w:val="360" w:hRule="atLeast"/>
        </w:trPr>
        <w:tc>
          <w:tcPr>
            <w:tcW w:w="36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ctx.systemPrompt 段装配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缓存优先前缀</w:t>
            </w:r>
          </w:p>
        </w:tc>
        <w:tc>
          <w:tcPr>
            <w:tcW w:w="34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前缀字节稳定性、压缩触发点</w:t>
            </w:r>
          </w:p>
        </w:tc>
      </w:tr>
      <w:tr>
        <w:trPr>
          <w:trHeight w:val="360" w:hRule="atLeast"/>
        </w:trPr>
        <w:tc>
          <w:tcPr>
            <w:tcW w:w="36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telemetry/* 与审批接缝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成本与权限</w:t>
            </w:r>
          </w:p>
        </w:tc>
        <w:tc>
          <w:tcPr>
            <w:tcW w:w="34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成本事件字段、审批策略入参</w:t>
            </w:r>
          </w:p>
        </w:tc>
      </w:tr>
    </w:tbl>
    <w:p>
      <w:pPr>
        <w:pStyle w:val="Caption"/>
      </w:pPr>
      <w:r>
        <w:t>表 12-2：接缝消费映射与监控点</w:t>
      </w:r>
    </w:p>
    <w:p>
      <w:pPr>
        <w:pStyle w:val="Heading2"/>
      </w:pPr>
      <w:r>
        <w:t>12.6 适配层（防腐层）设计</w:t>
      </w:r>
    </w:p>
    <w:p>
      <w:r>
        <w:t>在 dsh-bundle-reasonix 与 dsh 之间引入 adapter 层：bundle 业务代码只依赖我们定义的稳定抽象（CachePolicyPort / RepairPipelinePort / CostMeterPort / AgentLoopPort），dsh 具体 API 的波动封装在 adapter 实现之后。新版本若改动 API，仅改 adapter 一处，bundle 主体不动；cordis.patch.yml 仍优先于改 adapter。该防腐层是“高频更新不击穿业务”的关键。</w:t>
      </w:r>
    </w:p>
    <w:p>
      <w:pPr>
        <w:pStyle w:val="Heading2"/>
      </w:pPr>
      <w:r>
        <w:t>12.7 自动化与契约测试</w:t>
      </w:r>
    </w:p>
    <w:p>
      <w:pPr>
        <w:numPr>
          <w:ilvl w:val="0"/>
          <w:numId w:val="2"/>
        </w:numPr>
        <w:spacing w:after="80"/>
      </w:pPr>
      <w:r>
        <w:t>契约测试覆盖：事件 schema（session/event、agent/* 字段）、tool schema 字节序与顺序、profile 可加载性、前缀字节稳定性断言。</w:t>
      </w:r>
    </w:p>
    <w:p>
      <w:pPr>
        <w:numPr>
          <w:ilvl w:val="0"/>
          <w:numId w:val="2"/>
        </w:numPr>
        <w:spacing w:after="80"/>
      </w:pPr>
      <w:r>
        <w:t>CI 设“dsh 升级看板”：每日对 latest dsh 跑 dump-config + 契约测试，红灯告警但不自动合入，避免上游波动直接冲击主干。</w:t>
      </w:r>
    </w:p>
    <w:p>
      <w:pPr>
        <w:numPr>
          <w:ilvl w:val="0"/>
          <w:numId w:val="2"/>
        </w:numPr>
        <w:spacing w:after="80"/>
      </w:pPr>
      <w:r>
        <w:t>dump-config 快照纳入版本库，作为“行为基线”，任何非预期漂移可被 diff 捕获。</w:t>
      </w:r>
    </w:p>
    <w:p>
      <w:pPr>
        <w:pStyle w:val="Heading2"/>
      </w:pPr>
      <w:r>
        <w:t>12.8 风险与回退</w:t>
      </w:r>
    </w:p>
    <w:p>
      <w:r>
        <w:t>若新版本破坏性过强、短期无法适配：保持 profile 锁定旧 base，用户无感；原 Go Controller 回滚通道（第 8.3 节）作为最终兜底。维护“已知不兼容版本”清单，防止自更新（第 11.6 节）误升到破坏版本。适配失败的成本上限被严格限制在“本次升级未生效”，而非“用户会话受损”。</w:t>
      </w:r>
    </w:p>
    <w:p>
      <w:pPr>
        <w:pStyle w:val="Heading1"/>
      </w:pPr>
      <w:bookmarkStart w:name="_Toc013" w:id="013"/>
      <w:r>
        <w:t>13 Reasonix 前端高频更新适配</w:t>
      </w:r>
      <w:bookmarkEnd w:id="013"/>
    </w:p>
    <w:p>
      <w:r>
        <w:t>第 12 章解决了 dsh 高频更新的适配；但本方案保留的 Reasonix 前端（CLI/TUI/Tauri 桌面）同样是高频迭代项目（见 10.3.1，其前端债占比约 21/42 并持续新增）。当上游页面/UI 调整时，若直接跟随每一次提交，可能击穿与 dsh 之间的契约。本章给出对 Reasonix 前端更新的主动适配机制——与第 12 章对称，把“被动跟随”变为“契约锁定 + 择机合并 + 桥接适配”。</w:t>
      </w:r>
    </w:p>
    <w:p>
      <w:pPr>
        <w:pStyle w:val="Heading2"/>
      </w:pPr>
      <w:r>
        <w:t>13.1 目标与约束</w:t>
      </w:r>
    </w:p>
    <w:p>
      <w:pPr>
        <w:numPr>
          <w:ilvl w:val="0"/>
          <w:numId w:val="2"/>
        </w:numPr>
        <w:spacing w:after="80"/>
      </w:pPr>
      <w:r>
        <w:t>目标：吸收 Reasonix 上游页面/UI 调整，且不破坏前端与 dsh 之间的契约与桥接。</w:t>
      </w:r>
    </w:p>
    <w:p>
      <w:pPr>
        <w:numPr>
          <w:ilvl w:val="0"/>
          <w:numId w:val="2"/>
        </w:numPr>
        <w:spacing w:after="80"/>
      </w:pPr>
      <w:r>
        <w:t>约束：我们不被动跟随每一次上游前端提交，而是以契约版本协商、择机合并、桥接吸收的方式主动管理。</w:t>
      </w:r>
    </w:p>
    <w:p>
      <w:pPr>
        <w:numPr>
          <w:ilvl w:val="0"/>
          <w:numId w:val="2"/>
        </w:numPr>
        <w:spacing w:after="80"/>
      </w:pPr>
      <w:r>
        <w:t>约束：前端契约、dsh 契约、bridge 三者中，bridge 是唯一同时演进的两端缓冲层（呼应第 5、12 章），任何交叠变更都收口于此。</w:t>
      </w:r>
    </w:p>
    <w:p>
      <w:pPr>
        <w:pStyle w:val="Heading2"/>
      </w:pPr>
      <w:r>
        <w:t>13.2 前端—引擎契约（稳定面）</w:t>
      </w:r>
    </w:p>
    <w:p>
      <w:r>
        <w:t>定义前端依赖的稳定契约，禁止上游 UI 调整越界传导到引擎：</w:t>
      </w:r>
    </w:p>
    <w:p>
      <w:pPr>
        <w:numPr>
          <w:ilvl w:val="0"/>
          <w:numId w:val="2"/>
        </w:numPr>
        <w:spacing w:after="80"/>
      </w:pPr>
      <w:r>
        <w:t>事件契约：session/event、agent/* 的字段与广播时机（与第 12.2 节接缝反向对应）。</w:t>
      </w:r>
    </w:p>
    <w:p>
      <w:pPr>
        <w:numPr>
          <w:ilvl w:val="0"/>
          <w:numId w:val="2"/>
        </w:numPr>
        <w:spacing w:after="80"/>
      </w:pPr>
      <w:r>
        <w:t>命令契约：/init、/undo、/history、/pro、/sessions 等命令集与返回结构（第 6.2 节）。</w:t>
      </w:r>
    </w:p>
    <w:p>
      <w:pPr>
        <w:numPr>
          <w:ilvl w:val="0"/>
          <w:numId w:val="2"/>
        </w:numPr>
        <w:spacing w:after="80"/>
      </w:pPr>
      <w:r>
        <w:t>元数据契约：审批请求、成本徽标（绿/黄/红阈值）、计划确认模态的结构。</w:t>
      </w:r>
    </w:p>
    <w:p>
      <w:r>
        <w:t>契约版本化（contract@&lt;ver&gt;），前端与 bridge 按契约版本协商；上游 UI 调整若未改契约，则对引擎零影响。</w:t>
      </w:r>
    </w:p>
    <w:p>
      <w:pPr>
        <w:pStyle w:val="Heading2"/>
      </w:pPr>
      <w:r>
        <w:t>13.3 变更摄取与分类</w:t>
      </w:r>
    </w:p>
    <w:p>
      <w:pPr>
        <w:numPr>
          <w:ilvl w:val="0"/>
          <w:numId w:val="2"/>
        </w:numPr>
        <w:spacing w:after="80"/>
      </w:pPr>
      <w:r>
        <w:t>订阅 Reasonix releases + watch desktop/ 与 tui/；CI 定时拉取 latest 生成前端变更摘要。</w:t>
      </w:r>
    </w:p>
    <w:p>
      <w:pPr>
        <w:numPr>
          <w:ilvl w:val="0"/>
          <w:numId w:val="2"/>
        </w:numPr>
        <w:spacing w:after="80"/>
      </w:pPr>
      <w:r>
        <w:t>将变更按是否触及契约为三类（表 13-2）：渲染类（纯 UI）、契约类（改事件/命令/元数据消费）、桥接类（改与后端通信的 adapter）。</w:t>
      </w:r>
    </w:p>
    <w:p>
      <w:pPr>
        <w:pStyle w:val="Heading2"/>
      </w:pPr>
      <w:r>
        <w:t>13.4 适配工作流</w:t>
      </w:r>
    </w:p>
    <w:tbl>
      <w:tblPr>
        <w:tblW w:w="100" w:type="pct"/>
        <w:tblBorders>
          <w:top w:val="single" w:color="2F4858" w:sz="12"/>
          <w:bottom w:val="single" w:color="2F4858" w:sz="12"/>
          <w:left w:val="nil"/>
          <w:right w:val="nil"/>
          <w:insideH w:val="single" w:color="C5D2E0" w:sz="4"/>
          <w:insideV w:val="nil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1400"/>
        <w:gridCol w:w="6200"/>
        <w:gridCol w:w="2000"/>
        <w:gridCol w:w="2000"/>
      </w:tblGrid>
      <w:tr>
        <w:trPr>
          <w:tblHeader/>
          <w:trHeight w:val="380" w:hRule="atLeast"/>
        </w:trPr>
        <w:tc>
          <w:tcPr>
            <w:tcW w:w="14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步骤</w:t>
            </w:r>
          </w:p>
        </w:tc>
        <w:tc>
          <w:tcPr>
            <w:tcW w:w="62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动作</w:t>
            </w:r>
          </w:p>
        </w:tc>
        <w:tc>
          <w:tcPr>
            <w:tcW w:w="20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产出</w:t>
            </w:r>
          </w:p>
        </w:tc>
        <w:tc>
          <w:tcPr>
            <w:tcW w:w="20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准入门槛</w:t>
            </w:r>
          </w:p>
        </w:tc>
      </w:tr>
      <w:tr>
        <w:trPr>
          <w:trHeight w:val="360" w:hRule="atLeast"/>
        </w:trPr>
        <w:tc>
          <w:tcPr>
            <w:tcW w:w="14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F1</w:t>
            </w:r>
          </w:p>
        </w:tc>
        <w:tc>
          <w:tcPr>
            <w:tcW w:w="6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摄取：解析 Reasonix changelog，拉取目标前端 commit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变更摘要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—</w:t>
            </w:r>
          </w:p>
        </w:tc>
      </w:tr>
      <w:tr>
        <w:trPr>
          <w:trHeight w:val="360" w:hRule="atLeast"/>
        </w:trPr>
        <w:tc>
          <w:tcPr>
            <w:tcW w:w="14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F2</w:t>
            </w:r>
          </w:p>
        </w:tc>
        <w:tc>
          <w:tcPr>
            <w:tcW w:w="6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分类：对照前端契约判定渲染/契约/桥接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分类清单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无未知契约越界</w:t>
            </w:r>
          </w:p>
        </w:tc>
      </w:tr>
      <w:tr>
        <w:trPr>
          <w:trHeight w:val="360" w:hRule="atLeast"/>
        </w:trPr>
        <w:tc>
          <w:tcPr>
            <w:tcW w:w="14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F3</w:t>
            </w:r>
          </w:p>
        </w:tc>
        <w:tc>
          <w:tcPr>
            <w:tcW w:w="6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渲染类：直接合并进打包前端，桥与 bundle 不动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候选前端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类型检查/单测通过</w:t>
            </w:r>
          </w:p>
        </w:tc>
      </w:tr>
      <w:tr>
        <w:trPr>
          <w:trHeight w:val="360" w:hRule="atLeast"/>
        </w:trPr>
        <w:tc>
          <w:tcPr>
            <w:tcW w:w="14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F4</w:t>
            </w:r>
          </w:p>
        </w:tc>
        <w:tc>
          <w:tcPr>
            <w:tcW w:w="6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契约/桥接类：在 bridge 适配层对齐（事件字段、命令返回、成本阈值）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更新后的 bridge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契约测试通过</w:t>
            </w:r>
          </w:p>
        </w:tc>
      </w:tr>
      <w:tr>
        <w:trPr>
          <w:trHeight w:val="360" w:hRule="atLeast"/>
        </w:trPr>
        <w:tc>
          <w:tcPr>
            <w:tcW w:w="14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F5</w:t>
            </w:r>
          </w:p>
        </w:tc>
        <w:tc>
          <w:tcPr>
            <w:tcW w:w="6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回归：事件映射、命令、审批、成本徽标、回滚开关（对齐 #8831/#8833/#8768）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报告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全绿</w:t>
            </w:r>
          </w:p>
        </w:tc>
      </w:tr>
      <w:tr>
        <w:trPr>
          <w:trHeight w:val="360" w:hRule="atLeast"/>
        </w:trPr>
        <w:tc>
          <w:tcPr>
            <w:tcW w:w="14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F6</w:t>
            </w:r>
          </w:p>
        </w:tc>
        <w:tc>
          <w:tcPr>
            <w:tcW w:w="6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发布：bump 前端版本 + 重打包（第 11 章）+ updater 增量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已签名发布物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回退开关与契约版本就绪</w:t>
            </w:r>
          </w:p>
        </w:tc>
      </w:tr>
    </w:tbl>
    <w:p>
      <w:pPr>
        <w:pStyle w:val="Caption"/>
      </w:pPr>
      <w:r>
        <w:t>表 13-1：Reasonix 前端更新适配工作流</w:t>
      </w:r>
    </w:p>
    <w:p>
      <w:pPr>
        <w:pStyle w:val="Heading2"/>
      </w:pPr>
      <w:r>
        <w:t>13.5 变更分类与处置</w:t>
      </w:r>
    </w:p>
    <w:tbl>
      <w:tblPr>
        <w:tblW w:w="100" w:type="pct"/>
        <w:tblBorders>
          <w:top w:val="single" w:color="2F4858" w:sz="12"/>
          <w:bottom w:val="single" w:color="2F4858" w:sz="12"/>
          <w:left w:val="nil"/>
          <w:right w:val="nil"/>
          <w:insideH w:val="single" w:color="C5D2E0" w:sz="4"/>
          <w:insideV w:val="nil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2000"/>
        <w:gridCol w:w="5600"/>
        <w:gridCol w:w="3200"/>
        <w:gridCol w:w="2000"/>
      </w:tblGrid>
      <w:tr>
        <w:trPr>
          <w:tblHeader/>
          <w:trHeight w:val="380" w:hRule="atLeast"/>
        </w:trPr>
        <w:tc>
          <w:tcPr>
            <w:tcW w:w="20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类别</w:t>
            </w:r>
          </w:p>
        </w:tc>
        <w:tc>
          <w:tcPr>
            <w:tcW w:w="56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判别</w:t>
            </w:r>
          </w:p>
        </w:tc>
        <w:tc>
          <w:tcPr>
            <w:tcW w:w="32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处置</w:t>
            </w:r>
          </w:p>
        </w:tc>
        <w:tc>
          <w:tcPr>
            <w:tcW w:w="20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是否动桥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渲染类</w:t>
            </w:r>
          </w:p>
        </w:tc>
        <w:tc>
          <w:tcPr>
            <w:tcW w:w="56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仅组件/样式/布局，未改事件/命令消费</w:t>
            </w:r>
          </w:p>
        </w:tc>
        <w:tc>
          <w:tcPr>
            <w:tcW w:w="3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直接合并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否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契约类</w:t>
            </w:r>
          </w:p>
        </w:tc>
        <w:tc>
          <w:tcPr>
            <w:tcW w:w="56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改事件/命令/元数据消费结构</w:t>
            </w:r>
          </w:p>
        </w:tc>
        <w:tc>
          <w:tcPr>
            <w:tcW w:w="3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bridge 适配层对齐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是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桥接类</w:t>
            </w:r>
          </w:p>
        </w:tc>
        <w:tc>
          <w:tcPr>
            <w:tcW w:w="56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改与后端通信的 adapter/事件订阅</w:t>
            </w:r>
          </w:p>
        </w:tc>
        <w:tc>
          <w:tcPr>
            <w:tcW w:w="3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在 bridge 重写投影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是</w:t>
            </w:r>
          </w:p>
        </w:tc>
      </w:tr>
    </w:tbl>
    <w:p>
      <w:pPr>
        <w:pStyle w:val="Caption"/>
      </w:pPr>
      <w:r>
        <w:t>表 13-2：前端变更分类与处置</w:t>
      </w:r>
    </w:p>
    <w:p>
      <w:pPr>
        <w:pStyle w:val="Heading2"/>
      </w:pPr>
      <w:r>
        <w:t>13.6 桥接适配层（前端侧防腐层）</w:t>
      </w:r>
    </w:p>
    <w:p>
      <w:r>
        <w:t>bridge 将 dsh 事件投影为 Reasonix 前端渲染模型（长任务、计划确认、逐编辑审批、成本徽标）。前端契约变动只在此层吸收，bundle 与 dsh 不动；这与第 12.6 节的 backend 侧 adapter 共同构成双向防腐，使两个高频上游互不直接耦合。</w:t>
      </w:r>
    </w:p>
    <w:p>
      <w:pPr>
        <w:pStyle w:val="Heading2"/>
      </w:pPr>
      <w:r>
        <w:t>13.7 自动化与契约测试</w:t>
      </w:r>
    </w:p>
    <w:p>
      <w:pPr>
        <w:numPr>
          <w:ilvl w:val="0"/>
          <w:numId w:val="2"/>
        </w:numPr>
        <w:spacing w:after="80"/>
      </w:pPr>
      <w:r>
        <w:t>契约测试：前端期望的事件/命令/元数据 schema 固化为 golden 测试，bridge 投影输出与之比对。</w:t>
      </w:r>
    </w:p>
    <w:p>
      <w:pPr>
        <w:numPr>
          <w:ilvl w:val="0"/>
          <w:numId w:val="2"/>
        </w:numPr>
        <w:spacing w:after="80"/>
      </w:pPr>
      <w:r>
        <w:t>快照测试：对关键流（计划确认、审批、成本徽标、回滚）保留渲染快照，UI 更新后 diff 确认无契约回归。</w:t>
      </w:r>
    </w:p>
    <w:p>
      <w:pPr>
        <w:numPr>
          <w:ilvl w:val="0"/>
          <w:numId w:val="2"/>
        </w:numPr>
        <w:spacing w:after="80"/>
      </w:pPr>
      <w:r>
        <w:t>CI 设“前端升级看板”：每日对 Reasonix latest 跑桥接契约测试，红警不自动合入。</w:t>
      </w:r>
    </w:p>
    <w:p>
      <w:pPr>
        <w:pStyle w:val="Heading2"/>
      </w:pPr>
      <w:r>
        <w:t>13.8 与 dsh 升级的解耦</w:t>
      </w:r>
    </w:p>
    <w:p>
      <w:r>
        <w:t>两个上游（Reasonix 前端、dsh）各自高频变动，但互不直接耦合——所有交叠点都收口在 bridge。dsh 升版经第 12 章流程，前端升版经本章流程，bridge 是唯一的双向缓冲；任一侧变动都不要求另一侧同步改动，从而把“三方高频更新”降维为“两路独立适配 + 一个缓冲层”。</w:t>
      </w:r>
    </w:p>
    <w:p>
      <w:pPr>
        <w:pStyle w:val="Heading2"/>
      </w:pPr>
      <w:r>
        <w:t>13.9 风险与回退</w:t>
      </w:r>
    </w:p>
    <w:p>
      <w:r>
        <w:t>前端更新若破坏契约且短期无法适配：pin 住已知良好前端版本（我们掌握打包权，见第 11 章），延后合并；原 Go Controller 回滚通道（第 8.3 节）作为最终兜底——前端本就与 Go 内核兼容，最差可整体回退到 Go 后端运行旧前端。维护“前端已知不兼容版本”清单，防止自更新（第 11.6 节）误升。适配失败的成本上限同样被限制在“本次前端更新未生效”，而非“用户会话受损”。</w:t>
      </w:r>
    </w:p>
    <w:p>
      <w:pPr>
        <w:pStyle w:val="Heading1"/>
      </w:pPr>
      <w:bookmarkStart w:name="_Toc014" w:id="014"/>
      <w:r>
        <w:t>14 落地实现与最新进展</w:t>
      </w:r>
      <w:bookmarkEnd w:id="014"/>
    </w:p>
    <w:p>
      <w:r>
        <w:t>本方案已按第 3.1 节的“方案 C 插件化移植”落地为代码仓库（https://github.com/DannyDof/deepseek-harness-reasonix），M1–M5 全部完成，并补齐了融合应用、上游持续融合与 GitHub 直接构建 Windows 安装包三条最新闭环。本章记录最新进展与关键修正。</w:t>
      </w:r>
    </w:p>
    <w:p>
      <w:pPr>
        <w:pStyle w:val="Heading2"/>
      </w:pPr>
      <w:r>
        <w:t>14.1 里程碑落地</w:t>
      </w:r>
    </w:p>
    <w:p>
      <w:pPr>
        <w:numPr>
          <w:ilvl w:val="0"/>
          <w:numId w:val="2"/>
        </w:numPr>
        <w:spacing w:after="80"/>
      </w:pPr>
      <w:r>
        <w:t>M1 桥接层 + 事件映射原型（bridge/）：Reasonix/dsh 事件模型、双向映射、ACP/JSON-RPC、Sidecar 编排。</w:t>
      </w:r>
    </w:p>
    <w:p>
      <w:pPr>
        <w:numPr>
          <w:ilvl w:val="0"/>
          <w:numId w:val="2"/>
        </w:numPr>
        <w:spacing w:after="80"/>
      </w:pPr>
      <w:r>
        <w:t>M2 dsh-bundle-reasonix（bundle-reasonix/）：缓存优先 + DeepSeek 适配器，对齐真实接缝（官方 llm-deepseek 配置映射 + systemPrompt.section + llm/stream 成本计量）。</w:t>
      </w:r>
    </w:p>
    <w:p>
      <w:pPr>
        <w:numPr>
          <w:ilvl w:val="0"/>
          <w:numId w:val="2"/>
        </w:numPr>
        <w:spacing w:after="80"/>
      </w:pPr>
      <w:r>
        <w:t>M3 修复管线 + Coordinator：scavenge/flatten/truncation/storm 对齐 tools/* 接缝；planner/executor 子 Agent 对齐 ctx.subagents。</w:t>
      </w:r>
    </w:p>
    <w:p>
      <w:pPr>
        <w:numPr>
          <w:ilvl w:val="0"/>
          <w:numId w:val="2"/>
        </w:numPr>
        <w:spacing w:after="80"/>
      </w:pPr>
      <w:r>
        <w:t>M4 配置兼容 + 基准验证：reasonix.toml → profile 映射与 cordis.patch.yml 渲染；缓存命中率/成本比/成功率三项基准。</w:t>
      </w:r>
    </w:p>
    <w:p>
      <w:pPr>
        <w:numPr>
          <w:ilvl w:val="0"/>
          <w:numId w:val="2"/>
        </w:numPr>
        <w:spacing w:after="80"/>
      </w:pPr>
      <w:r>
        <w:t>M5 默认切换 + 回滚通道冻结：后端开关（dsh/go）+ Session 双向导出（SessionEvent ↔ Reasonix 检查点）。</w:t>
      </w:r>
    </w:p>
    <w:p>
      <w:pPr>
        <w:pStyle w:val="Heading2"/>
      </w:pPr>
      <w:r>
        <w:t>14.2 桌面端框架修正：Tauri 替代 Electron</w:t>
      </w:r>
    </w:p>
    <w:p>
      <w:r>
        <w:t>Reasonix 当前桌面端已采用基于 Rust 的 Tauri 框架。据此，融合桌面壳沿用 Tauri（Rust + WebView2），而非早期设想的 Wails 或内存占用过大的 Electron：复用系统 WebView2 承载 UI，不再内置 Chromium，内存占用与 Reasonix 原生桌面一致。dsh 后端（Node）作为 Tauri sidecar 子进程运行，Rust 壳就绪后经 WebView2 加载融合 UI（第 11 章据此修正构建命令为 cargo tauri build）。</w:t>
      </w:r>
    </w:p>
    <w:p>
      <w:pPr>
        <w:pStyle w:val="Heading2"/>
      </w:pPr>
      <w:r>
        <w:t>14.3 融合应用层</w:t>
      </w:r>
    </w:p>
    <w:p>
      <w:r>
        <w:t>launcher/ 提供 Reasonix 风格前端 + dsh 事件管线的融合应用（HTTP/JSON-RPC 服务 + 演示 web UI），一条链路打通 user_message → 事件映射 → 缓存优先/成本/修复/Coordinator → assistant/cost 事件回流前端；`npm start` 即开即用，端到端冒烟通过。</w:t>
      </w:r>
    </w:p>
    <w:p>
      <w:pPr>
        <w:pStyle w:val="Heading2"/>
      </w:pPr>
      <w:r>
        <w:t>14.4 上游持续融合机制</w:t>
      </w:r>
    </w:p>
    <w:p>
      <w:pPr>
        <w:numPr>
          <w:ilvl w:val="0"/>
          <w:numId w:val="2"/>
        </w:numPr>
        <w:spacing w:after="80"/>
      </w:pPr>
      <w:r>
        <w:t>upstream/pins.json 钉住 dsh 与 reasonix 默认分支提交；sync-upstream 拉取最新提交比对并更新 pins。</w:t>
      </w:r>
    </w:p>
    <w:p>
      <w:pPr>
        <w:numPr>
          <w:ilvl w:val="0"/>
          <w:numId w:val="2"/>
        </w:numPr>
        <w:spacing w:after="80"/>
      </w:pPr>
      <w:r>
        <w:t>CI upstream-sync：每 6 小时检测上游更新，变更后自动跑契约检查 + 基准并开 PR。</w:t>
      </w:r>
    </w:p>
    <w:p>
      <w:pPr>
        <w:numPr>
          <w:ilvl w:val="0"/>
          <w:numId w:val="2"/>
        </w:numPr>
        <w:spacing w:after="80"/>
      </w:pPr>
      <w:r>
        <w:t>CI contract-check：每日对上游 dsh @ HEAD 跑“升级看板”（契约测试 + 基准），红灯告警不自动合入。</w:t>
      </w:r>
    </w:p>
    <w:p>
      <w:pPr>
        <w:pStyle w:val="Heading2"/>
      </w:pPr>
      <w:r>
        <w:t>14.5 GitHub 直接构建 Windows 安装包</w:t>
      </w:r>
    </w:p>
    <w:p>
      <w:r>
        <w:t>CI build-windows：推送到 main 即触发，在 windows-latest 上安装 Rust 工具链 + 构建 TS workspace + esbuild 打单文件后端（fused.cjs）+ 下载 node.exe 作为 sidecar，最后 tauri build 产出 NSIS 安装包并上传 artifact（打 v* tag 自动发布 Release）。Tauri/Rust 构建需在 CI 首次运行验证，占位图标可经 `tauri icon` 重新生成。</w:t>
      </w:r>
    </w:p>
    <w:p>
      <w:pPr>
        <w:pStyle w:val="Heading2"/>
      </w:pPr>
      <w:r>
        <w:t>14.6 真实 dsh 集成验证与缺陷修正</w:t>
      </w:r>
    </w:p>
    <w:p>
      <w:r>
        <w:t>新增 integration/ 集成验证包（Node 20+），在真实 @deepseek-ai/* 发布包（cordis 4.0.1、dsh-llm 0.1.0-rc.6、dsh-system-prompt）上验证 bundle 插件，而非类型镜像：typecheck 校验镜像类型与真实类型双向可赋值；smoke 验证 cost 插件经真实 LlmRuntime 的 llm/stream 瀑布计量 usage、cache-first 插件经真实 SystemPrompt.section + system-prompt/assemble 注册并守护前缀指纹，四项冒烟全部通过。</w:t>
      </w:r>
    </w:p>
    <w:p>
      <w:r>
        <w:t>该真实集成顺带修正了两处缺陷：其一，类型镜像 fidelity——ContentBlock 与 FinishReason 原为松散 interface / 字符串字面量，已改为与真实包一致的可辨识联合；其二，缓存优先前缀指纹 bug——prefixFingerprint 原依赖 AssembledSection.order，而真实 AssembledSection 仅有 name/text 无 order，导致指纹恒为空（冒烟假通过），已改为对 sections + tools 计算指纹（前缀=系统提示段+工具 schema，动态内容走 contexts，与 dsh“模型可见即已记录”一致）。</w:t>
      </w:r>
    </w:p>
    <w:p>
      <w:pPr>
        <w:pStyle w:val="Heading1"/>
      </w:pPr>
      <w:bookmarkStart w:name="_Toc015" w:id="015"/>
      <w:r>
        <w:t>15 未完成内容与后续工作</w:t>
      </w:r>
      <w:bookmarkEnd w:id="015"/>
    </w:p>
    <w:p>
      <w:r>
        <w:t>本方案已落地 M1–M5、融合应用、上游持续融合、CI 安装包与真实 dsh 集成验证；但仍有若干关键缺口受实现环境限制尚未闭环。本章如实登记未完成内容与后续动作，作为“可用性是否达 100%”的对照基准。</w:t>
      </w:r>
    </w:p>
    <w:p>
      <w:pPr>
        <w:pStyle w:val="Heading2"/>
      </w:pPr>
      <w:r>
        <w:t>15.1 未完成清单</w:t>
      </w:r>
    </w:p>
    <w:tbl>
      <w:tblPr>
        <w:tblW w:w="100" w:type="pct"/>
        <w:tblBorders>
          <w:top w:val="single" w:color="2F4858" w:sz="12"/>
          <w:bottom w:val="single" w:color="2F4858" w:sz="12"/>
          <w:left w:val="nil"/>
          <w:right w:val="nil"/>
          <w:insideH w:val="single" w:color="C5D2E0" w:sz="4"/>
          <w:insideV w:val="nil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3200"/>
        <w:gridCol w:w="2600"/>
        <w:gridCol w:w="2400"/>
        <w:gridCol w:w="3600"/>
      </w:tblGrid>
      <w:tr>
        <w:trPr>
          <w:tblHeader/>
          <w:trHeight w:val="380" w:hRule="atLeast"/>
        </w:trPr>
        <w:tc>
          <w:tcPr>
            <w:tcW w:w="32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未完成项</w:t>
            </w:r>
          </w:p>
        </w:tc>
        <w:tc>
          <w:tcPr>
            <w:tcW w:w="26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现状</w:t>
            </w:r>
          </w:p>
        </w:tc>
        <w:tc>
          <w:tcPr>
            <w:tcW w:w="24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阻塞</w:t>
            </w:r>
          </w:p>
        </w:tc>
        <w:tc>
          <w:tcPr>
            <w:tcW w:w="3600" w:type="dxa"/>
            <w:shd w:val="clear" w:fill="EEF3F8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2933"/>
                <w:sz w:val="21"/>
              </w:rPr>
              <w:t>后续动作</w:t>
            </w:r>
          </w:p>
        </w:tc>
      </w:tr>
      <w:tr>
        <w:trPr>
          <w:trHeight w:val="360" w:hRule="atLeast"/>
        </w:trPr>
        <w:tc>
          <w:tcPr>
            <w:tcW w:w="32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Tauri/Rust 桌面构建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脚手架未编译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本机无 Rust 工具链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CI（windows-latest）或装 Rust 验证 sidecar 资源路径/NSIS/WebView2</w:t>
            </w:r>
          </w:p>
        </w:tc>
      </w:tr>
      <w:tr>
        <w:trPr>
          <w:trHeight w:val="360" w:hRule="atLeast"/>
        </w:trPr>
        <w:tc>
          <w:tcPr>
            <w:tcW w:w="32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真实 Reasonix 前端接入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融合 UI 为演示页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需 Rust+Go+克隆大仓库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克隆 Reasonix 前端源码，替换演示 web UI</w:t>
            </w:r>
          </w:p>
        </w:tc>
      </w:tr>
      <w:tr>
        <w:trPr>
          <w:trHeight w:val="360" w:hRule="atLeast"/>
        </w:trPr>
        <w:tc>
          <w:tcPr>
            <w:tcW w:w="32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真实 DeepSeek API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模拟 LLM 输出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无 API key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配置 DEEPSEEK_API_KEY 接真实模型</w:t>
            </w:r>
          </w:p>
        </w:tc>
      </w:tr>
      <w:tr>
        <w:trPr>
          <w:trHeight w:val="360" w:hRule="atLeast"/>
        </w:trPr>
        <w:tc>
          <w:tcPr>
            <w:tcW w:w="32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跨语言桥（Tauri/前端 ↔ Node dsh）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ACP/JSON-RPC 客户端为骨架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需真实 dsh sidecar 运行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集成后跑 ACP 握手与首轮对话</w:t>
            </w:r>
          </w:p>
        </w:tc>
      </w:tr>
      <w:tr>
        <w:trPr>
          <w:trHeight w:val="360" w:hRule="atLeast"/>
        </w:trPr>
        <w:tc>
          <w:tcPr>
            <w:tcW w:w="32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安装包 Authenticode 签名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未接签名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需 EV 代码签名证书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CI 加 signtool 签名步骤</w:t>
            </w:r>
          </w:p>
        </w:tc>
      </w:tr>
      <w:tr>
        <w:trPr>
          <w:trHeight w:val="360" w:hRule="atLeast"/>
        </w:trPr>
        <w:tc>
          <w:tcPr>
            <w:tcW w:w="32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1F2933"/>
                <w:sz w:val="20"/>
              </w:rPr>
              <w:t>基准验证用模拟引擎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模拟 token 流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需真实 dsh 会话回放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color w:val="1F2933"/>
                <w:sz w:val="20"/>
              </w:rPr>
              <w:t>用真实 dsh 会话替换 createSimulatedEngine</w:t>
            </w:r>
          </w:p>
        </w:tc>
      </w:tr>
    </w:tbl>
    <w:p>
      <w:pPr>
        <w:pStyle w:val="Caption"/>
      </w:pPr>
      <w:r>
        <w:t>表 15-1：未完成清单</w:t>
      </w:r>
    </w:p>
    <w:p>
      <w:pPr>
        <w:pStyle w:val="Heading2"/>
      </w:pPr>
      <w:r>
        <w:t>15.2 后续工作与验收清单</w:t>
      </w:r>
    </w:p>
    <w:p>
      <w:pPr>
        <w:numPr>
          <w:ilvl w:val="0"/>
          <w:numId w:val="1"/>
        </w:numPr>
        <w:spacing w:after="80"/>
      </w:pPr>
      <w:r>
        <w:t>在 CI 跑通 build-windows（Tauri/NSIS），验证安装包可安装并完成首轮对话。</w:t>
      </w:r>
    </w:p>
    <w:p>
      <w:pPr>
        <w:numPr>
          <w:ilvl w:val="0"/>
          <w:numId w:val="1"/>
        </w:numPr>
        <w:spacing w:after="80"/>
      </w:pPr>
      <w:r>
        <w:t>接入真实 dsh：integration/ 冒烟已在真实包通过，继续把 installBundle 挂到真实 ctx 跑完整 turn。</w:t>
      </w:r>
    </w:p>
    <w:p>
      <w:pPr>
        <w:numPr>
          <w:ilvl w:val="0"/>
          <w:numId w:val="1"/>
        </w:numPr>
        <w:spacing w:after="80"/>
      </w:pPr>
      <w:r>
        <w:t>接入真实 Reasonix 前端（Tauri）源码，替换演示 web UI。</w:t>
      </w:r>
    </w:p>
    <w:p>
      <w:pPr>
        <w:numPr>
          <w:ilvl w:val="0"/>
          <w:numId w:val="1"/>
        </w:numPr>
        <w:spacing w:after="80"/>
      </w:pPr>
      <w:r>
        <w:t>接入真实 DeepSeek API，跑通真实基准：缓存命中率 ≥ 90%、单任务成本 ≤ 1.1×、E2E 成功率不回退。</w:t>
      </w:r>
    </w:p>
    <w:p>
      <w:pPr>
        <w:numPr>
          <w:ilvl w:val="0"/>
          <w:numId w:val="1"/>
        </w:numPr>
        <w:spacing w:after="80"/>
      </w:pPr>
      <w:r>
        <w:t>跨语言桥 ACP 握手与事件往返回归（对齐 issue #8831/#8833）。</w:t>
      </w:r>
    </w:p>
    <w:p>
      <w:pPr>
        <w:numPr>
          <w:ilvl w:val="0"/>
          <w:numId w:val="1"/>
        </w:numPr>
        <w:spacing w:after="80"/>
      </w:pPr>
      <w:r>
        <w:t>补安装包 Authenticode 签名并发布（对齐第 11.5 节）。</w:t>
      </w:r>
    </w:p>
    <w:p>
      <w:pPr>
        <w:pStyle w:val="Heading2"/>
      </w:pPr>
      <w:r>
        <w:t>15.3 可用性结论</w:t>
      </w:r>
    </w:p>
    <w:p>
      <w:r>
        <w:t>当前可用性约为 30–40%：方案与三层代码骨架、自检、真实 dsh 插件验证、CI 配置均已就绪；但“真实前端 + 真实模型 + 桌面构建”三环未闭环，尚不能作为开箱即用的产品交付。达成 100% 需在有 Rust + Go + Node 20 + pnpm + API key 的环境中依次完成 15.2 的六项验收。</w:t>
      </w:r>
    </w:p>
    <w:p>
      <w:pPr>
        <w:sectPr>
          <w:type w:val="nextPage"/>
          <w:headerReference xmlns:r="http://schemas.openxmlformats.org/officeDocument/2006/relationships" w:type="default" r:id="Rc97beb63784949b5"/>
          <w:footerReference xmlns:r="http://schemas.openxmlformats.org/officeDocument/2006/relationships" w:type="default" r:id="R7233f916cf374111"/>
          <w:pgSz w:w="11906" w:h="16838"/>
          <w:pgMar w:top="1800" w:right="1440" w:bottom="1440" w:left="1440" w:header="720" w:footer="720"/>
        </w:sectPr>
      </w:pPr>
    </w:p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829AB1"/>
        <w:sz w:val="18"/>
      </w:rPr>
      <w:t xml:space="preserve">—  </w:t>
    </w:r>
    <w:r>
      <w:fldChar w:fldCharType="begin"/>
      <w:instrText xml:space="preserve"> PAGE </w:instrText>
      <w:fldChar w:fldCharType="separate"/>
      <w:t>1</w:t>
      <w:fldChar w:fldCharType="end"/>
    </w:r>
    <w:r>
      <w:rPr>
        <w:color w:val="829AB1"/>
        <w:sz w:val="18"/>
      </w:rP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  <w:r>
      <w:rPr>
        <w:color w:val="829AB1"/>
        <w:sz w:val="18"/>
      </w:rPr>
      <w:t xml:space="preserve">  —</w:t>
    </w:r>
  </w:p>
</w:ftr>
</file>

<file path=word/header1.xml><?xml version="1.0" encoding="utf-8"?>
<w:hdr xmlns:w="http://schemas.openxmlformats.org/wordprocessingml/2006/main">
  <w:p>
    <w:pPr>
      <w:jc w:val="right"/>
      <w:pBdr>
        <w:bottom w:val="single" w:color="C5D2E0" w:sz="6" w:space="6"/>
      </w:pBdr>
    </w:pPr>
    <w:r>
      <w:rPr>
        <w:color w:val="829AB1"/>
        <w:sz w:val="18"/>
      </w:rPr>
      <w:t>用 DeepSeek Harness 替换 Reasonix 后端 Agent · 技术方案</w:t>
    </w:r>
    <w:r>
      <w:rPr>
        <w:color w:val="8FB3C9"/>
        <w:sz w:val="18"/>
      </w:rPr>
      <w:t xml:space="preserve">  |  v1.0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multiLevelType w:val="singleLevel"/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>
        <w:rFonts w:hint="default" w:ascii="Symbol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updateFields w:val="true"/>
  <w:displayBackgroundShape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336" w:lineRule="auto"/>
      <w:ind w:firstLine="420"/>
    </w:pPr>
    <w:rPr>
      <w:rFonts w:ascii="Calibri" w:hAnsi="Calibri" w:eastAsia="Microsoft YaHei"/>
      <w:sz w:val="21"/>
      <w:color w:val="1F2933"/>
    </w:rPr>
  </w:style>
  <w:style w:type="paragraph" w:styleId="Heading1">
    <w:name w:val="heading 1"/>
    <w:basedOn w:val="Normal"/>
    <w:pPr>
      <w:keepNext/>
      <w:keepLines/>
      <w:pageBreakBefore/>
      <w:spacing w:before="200" w:after="240" w:line="288" w:lineRule="auto"/>
      <w:outlineLvl w:val="0"/>
    </w:pPr>
    <w:rPr>
      <w:rFonts w:eastAsia="SimHei"/>
      <w:b/>
      <w:color w:val="2F4858"/>
      <w:sz w:val="34"/>
    </w:rPr>
  </w:style>
  <w:style w:type="paragraph" w:styleId="Heading2">
    <w:name w:val="heading 2"/>
    <w:basedOn w:val="Normal"/>
    <w:pPr>
      <w:keepNext/>
      <w:keepLines/>
      <w:spacing w:before="320" w:after="160"/>
      <w:outlineLvl w:val="1"/>
    </w:pPr>
    <w:rPr>
      <w:rFonts w:eastAsia="SimHei"/>
      <w:b/>
      <w:color w:val="5B7B9A"/>
      <w:sz w:val="28"/>
    </w:rPr>
  </w:style>
  <w:style w:type="paragraph" w:styleId="Heading3">
    <w:name w:val="heading 3"/>
    <w:basedOn w:val="Normal"/>
    <w:pPr>
      <w:keepNext/>
      <w:keepLines/>
      <w:spacing w:before="240" w:after="120"/>
      <w:outlineLvl w:val="2"/>
    </w:pPr>
    <w:rPr>
      <w:b/>
      <w:color w:val="486581"/>
      <w:sz w:val="24"/>
    </w:rPr>
  </w:style>
  <w:style w:type="paragraph" w:styleId="Caption">
    <w:name w:val="Caption"/>
    <w:basedOn w:val="Normal"/>
    <w:pPr>
      <w:keepLines/>
      <w:jc w:val="center"/>
      <w:spacing w:before="80" w:after="320"/>
    </w:pPr>
    <w:rPr>
      <w:color w:val="486581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80"/>
    </w:pPr>
    <w:rPr>
      <w:b/>
      <w:color w:val="1F2933"/>
    </w:rPr>
  </w:style>
  <w:style w:type="paragraph" w:styleId="TOC2">
    <w:name w:val="toc 2"/>
    <w:basedOn w:val="Normal"/>
    <w:pPr>
      <w:tabs>
        <w:tab w:val="right" w:leader="dot" w:pos="9350"/>
      </w:tabs>
      <w:spacing w:before="80" w:after="60"/>
    </w:pPr>
    <w:rPr>
      <w:color w:val="486581"/>
    </w:rPr>
  </w:style>
  <w:style w:type="paragraph" w:styleId="TOC3">
    <w:name w:val="toc 3"/>
    <w:basedOn w:val="Normal"/>
    <w:pPr>
      <w:tabs>
        <w:tab w:val="right" w:leader="dot" w:pos="9350"/>
      </w:tabs>
      <w:spacing w:before="40" w:after="40"/>
      <w:ind w:left="420"/>
    </w:pPr>
    <w:rPr>
      <w:color w:val="829AB1"/>
      <w:sz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dd2e3f843f1475f" /><Relationship Type="http://schemas.openxmlformats.org/officeDocument/2006/relationships/numbering" Target="/word/numbering.xml" Id="Rd7f28f95115e48c0" /><Relationship Type="http://schemas.openxmlformats.org/officeDocument/2006/relationships/image" Target="/media/image.png" Id="R72a337e5217440b4" /><Relationship Type="http://schemas.openxmlformats.org/officeDocument/2006/relationships/header" Target="/word/header1.xml" Id="Rc97beb63784949b5" /><Relationship Type="http://schemas.openxmlformats.org/officeDocument/2006/relationships/footer" Target="/word/footer1.xml" Id="R7233f916cf374111" /><Relationship Type="http://schemas.openxmlformats.org/officeDocument/2006/relationships/chart" Target="/word/charts/chart1.xml" Id="R8dd35b9047224325" /><Relationship Type="http://schemas.openxmlformats.org/officeDocument/2006/relationships/settings" Target="/word/settings.xml" Id="R4769374ebd704019" /></Relationships>
</file>

<file path=word/charts/chart1.xml><?xml version="1.0" encoding="utf-8"?>
<c:chartSpace xmlns:c="http://schemas.openxmlformats.org/drawingml/2006/chart" xmlns:a="http://schemas.openxmlformats.org/drawingml/2006/main">
  <c:chart>
    <c:plotArea>
      <c:barChart>
        <c:barDir val="col"/>
        <c:grouping val="clustered"/>
        <c:varyColors val="0"/>
        <c:ser>
          <c:idx val="0"/>
          <c:order val="0"/>
          <c:tx>
            <c:v>相对成本</c:v>
          </c:tx>
          <c:spPr>
            <a:solidFill>
              <a:srgbClr val="5B7B9A"/>
            </a:solidFill>
          </c:spPr>
          <c:cat>
            <c:strRef>
              <c:strCache>
                <c:ptCount val="3"/>
                <c:pt idx="0">
                  <c:v>朴素多模型</c:v>
                </c:pt>
                <c:pt idx="1">
                  <c:v>Reasonix(原Go)</c:v>
                </c:pt>
                <c:pt idx="2">
                  <c:v>目标方案(dsh)</c:v>
                </c:pt>
              </c:strCache>
            </c:strRef>
          </c:cat>
          <c:val>
            <c:numRef>
              <c:numCache>
                <c:formatCode>General</c:formatCode>
                <c:ptCount val="3"/>
                <c:pt idx="0">
                  <c:v>100</c:v>
                </c:pt>
                <c:pt idx="1">
                  <c:v>22</c:v>
                </c:pt>
                <c:pt idx="2">
                  <c:v>24</c:v>
                </c:pt>
              </c:numCache>
            </c:numRef>
          </c:val>
        </c:ser>
      </c:barChart>
      <c:catAx>
        <c:axId val="1"/>
        <c:scaling>
          <c:orientation val="minMax"/>
        </c:scaling>
        <c:delete val="0"/>
        <c:axPos val="b"/>
        <c:crossAx val="2"/>
      </c:catAx>
      <c:valAx>
        <c:axId val="2"/>
        <c:scaling>
          <c:orientation val="minMax"/>
        </c:scaling>
        <c:delete val="0"/>
        <c:axPos val="l"/>
        <c:crossAx val="1"/>
      </c:valAx>
    </c:plotArea>
    <c:legend>
      <c:legendPos val="b"/>
      <c:overlay val="0"/>
    </c:legend>
    <c:plotVisOnly val="1"/>
  </c:chart>
</c:chartSpace>
</file>