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bCs/>
          <w:sz w:val="30"/>
          <w:szCs w:val="30"/>
        </w:rPr>
        <w:t xml:space="preserve">Universidad del Valle de Guatemala</w:t>
      </w:r>
    </w:p>
    <w:p>
      <w:pPr>
        <w:spacing w:after="0" w:line="276"/>
        <w:jc w:val="center"/>
      </w:pPr>
      <w:r>
        <w:rPr>
          <w:rFonts w:ascii="Times New Roman" w:cs="Times New Roman" w:eastAsia="Times New Roman" w:hAnsi="Times New Roman"/>
          <w:b w:val="false"/>
          <w:bCs w:val="false"/>
          <w:sz w:val="26"/>
          <w:szCs w:val="26"/>
        </w:rPr>
        <w:t xml:space="preserve">Facultad de Ingeniería</w:t>
      </w:r>
    </w:p>
    <w:p>
      <w:pPr>
        <w:spacing w:after="0" w:line="276"/>
        <w:jc w:val="center"/>
      </w:pPr>
      <w:r>
        <w:rPr>
          <w:rFonts w:ascii="Times New Roman" w:cs="Times New Roman" w:eastAsia="Times New Roman" w:hAnsi="Times New Roman"/>
          <w:b w:val="false"/>
          <w:bCs w:val="false"/>
          <w:sz w:val="26"/>
          <w:szCs w:val="26"/>
        </w:rPr>
        <w:t xml:space="preserve">CC3067 Redes — Semestre 2, 2026</w:t>
      </w:r>
    </w:p>
    <w:p>
      <w:pPr>
        <w:spacing w:after="320"/>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bCs/>
          <w:sz w:val="32"/>
          <w:szCs w:val="32"/>
        </w:rPr>
        <w:t xml:space="preserve">Proyecto 1 — Entrega final</w:t>
      </w:r>
    </w:p>
    <w:p>
      <w:pPr>
        <w:spacing w:after="0" w:line="276"/>
        <w:jc w:val="center"/>
      </w:pPr>
      <w:r>
        <w:rPr>
          <w:rFonts w:ascii="Times New Roman" w:cs="Times New Roman" w:eastAsia="Times New Roman" w:hAnsi="Times New Roman"/>
          <w:b w:val="false"/>
          <w:bCs w:val="false"/>
          <w:sz w:val="27"/>
          <w:szCs w:val="27"/>
        </w:rPr>
        <w:t xml:space="preserve">Uso de un protocolo existente: Model Context Protocol</w:t>
      </w:r>
    </w:p>
    <w:p>
      <w:pPr>
        <w:spacing w:after="0" w:line="276"/>
        <w:jc w:val="center"/>
      </w:pPr>
      <w:r>
        <w:rPr>
          <w:rFonts w:ascii="Times New Roman" w:cs="Times New Roman" w:eastAsia="Times New Roman" w:hAnsi="Times New Roman"/>
          <w:b w:val="false"/>
          <w:bCs w:val="false"/>
          <w:sz w:val="25"/>
          <w:szCs w:val="25"/>
        </w:rPr>
        <w:t xml:space="preserve">Chatbot MCP para control de abastecimiento</w:t>
      </w:r>
    </w:p>
    <w:p>
      <w:pPr>
        <w:spacing w:after="320"/>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bCs/>
          <w:sz w:val="24"/>
          <w:szCs w:val="24"/>
        </w:rPr>
        <w:t xml:space="preserve">Integrantes:</w:t>
      </w:r>
    </w:p>
    <w:p>
      <w:pPr>
        <w:spacing w:after="0" w:line="276"/>
        <w:jc w:val="center"/>
      </w:pPr>
      <w:r>
        <w:rPr>
          <w:rFonts w:ascii="Times New Roman" w:cs="Times New Roman" w:eastAsia="Times New Roman" w:hAnsi="Times New Roman"/>
          <w:b w:val="false"/>
          <w:bCs w:val="false"/>
          <w:sz w:val="24"/>
          <w:szCs w:val="24"/>
        </w:rPr>
        <w:t xml:space="preserve">Daniel Estrada – 20853</w:t>
      </w:r>
    </w:p>
    <w:p>
      <w:pPr>
        <w:spacing w:after="2400"/>
      </w:pPr>
      <w:r>
        <w:rPr>
          <w:rFonts w:ascii="Times New Roman" w:cs="Times New Roman" w:eastAsia="Times New Roman" w:hAnsi="Times New Roman"/>
          <w:sz w:val="24"/>
          <w:szCs w:val="24"/>
        </w:rPr>
        <w:t xml:space="preserve"/>
      </w:r>
    </w:p>
    <w:p>
      <w:pPr>
        <w:spacing w:after="0" w:line="276"/>
        <w:jc w:val="center"/>
      </w:pPr>
      <w:r>
        <w:rPr>
          <w:rFonts w:ascii="Times New Roman" w:cs="Times New Roman" w:eastAsia="Times New Roman" w:hAnsi="Times New Roman"/>
          <w:b w:val="false"/>
          <w:bCs w:val="false"/>
          <w:sz w:val="24"/>
          <w:szCs w:val="24"/>
        </w:rPr>
        <w:t xml:space="preserve">Guatemala, 15 de septiembre de 2026</w:t>
      </w:r>
    </w:p>
    <w:p>
      <w:r>
        <w:br w:type="page"/>
      </w:r>
    </w:p>
    <w:p>
      <w:pPr>
        <w:pStyle w:val="Heading1"/>
        <w:spacing w:after="200" w:before="320"/>
      </w:pPr>
      <w:r>
        <w:rPr>
          <w:rFonts w:ascii="Times New Roman" w:cs="Times New Roman" w:eastAsia="Times New Roman" w:hAnsi="Times New Roman"/>
          <w:b/>
          <w:bCs/>
          <w:color w:val="000000"/>
          <w:sz w:val="28"/>
          <w:szCs w:val="28"/>
        </w:rPr>
        <w:t xml:space="preserve">1. Introducción</w:t>
      </w:r>
    </w:p>
    <w:p>
      <w:pPr>
        <w:pStyle w:val="Heading2"/>
        <w:spacing w:after="160" w:before="260"/>
      </w:pPr>
      <w:r>
        <w:rPr>
          <w:rFonts w:ascii="Times New Roman" w:cs="Times New Roman" w:eastAsia="Times New Roman" w:hAnsi="Times New Roman"/>
          <w:b/>
          <w:bCs/>
          <w:color w:val="000000"/>
          <w:sz w:val="26"/>
          <w:szCs w:val="26"/>
        </w:rPr>
        <w:t xml:space="preserve">1.1 Alcance del proyecto</w:t>
      </w:r>
    </w:p>
    <w:p>
      <w:pPr>
        <w:spacing w:after="160" w:line="276"/>
        <w:jc w:val="both"/>
      </w:pPr>
      <w:r>
        <w:rPr>
          <w:rFonts w:ascii="Times New Roman" w:cs="Times New Roman" w:eastAsia="Times New Roman" w:hAnsi="Times New Roman"/>
          <w:sz w:val="24"/>
          <w:szCs w:val="24"/>
        </w:rPr>
        <w:t xml:space="preserve">Este proyecto implementa un chatbot que actúa como anfitrión de Model Context Protocol (MCP) y consume herramientas publicadas por varios servidores. El anfitrión conversa con un modelo de lenguaje a través de la API Messages de Anthropic, descubre las herramientas disponibles en tiempo de ejecución y coordina su invocación según lo que el modelo solicita.</w:t>
      </w:r>
    </w:p>
    <w:p>
      <w:pPr>
        <w:spacing w:after="160" w:line="276"/>
        <w:jc w:val="both"/>
      </w:pPr>
      <w:r>
        <w:rPr>
          <w:rFonts w:ascii="Times New Roman" w:cs="Times New Roman" w:eastAsia="Times New Roman" w:hAnsi="Times New Roman"/>
          <w:sz w:val="24"/>
          <w:szCs w:val="24"/>
        </w:rPr>
        <w:t xml:space="preserve">La implementación del protocolo es manual. Todo el formato e intercambio de mensajes JSON-RPC 2.0 está escrito en el repositorio: no se utiliza un SDK de MCP, ni FastMCP, ni el SDK de Anthropic. Las llamadas a la API del modelo se realizan directamente sobre HTTP.</w:t>
      </w:r>
    </w:p>
    <w:p>
      <w:pPr>
        <w:spacing w:after="160" w:line="276"/>
        <w:jc w:val="both"/>
      </w:pPr>
      <w:r>
        <w:rPr>
          <w:rFonts w:ascii="Times New Roman" w:cs="Times New Roman" w:eastAsia="Times New Roman" w:hAnsi="Times New Roman"/>
          <w:sz w:val="24"/>
          <w:szCs w:val="24"/>
        </w:rPr>
        <w:t xml:space="preserve">El proyecto funciona a nivel de terminal, tal como exige el enunciado, y adicionalmente incluye una consola web de operaciones que expone la misma evidencia de protocolo en el navegador.</w:t>
      </w:r>
    </w:p>
    <w:p>
      <w:pPr>
        <w:pStyle w:val="Heading2"/>
        <w:spacing w:after="160" w:before="260"/>
      </w:pPr>
      <w:r>
        <w:rPr>
          <w:rFonts w:ascii="Times New Roman" w:cs="Times New Roman" w:eastAsia="Times New Roman" w:hAnsi="Times New Roman"/>
          <w:b/>
          <w:bCs/>
          <w:color w:val="000000"/>
          <w:sz w:val="26"/>
          <w:szCs w:val="26"/>
        </w:rPr>
        <w:t xml:space="preserve">1.2 Funcionalidades implementadas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Conexión con un LLM a nivel de su API, capaz de responder preguntas generales de su base de entrenamiento.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Contexto conversacional dentro de una sesión, conservando turnos de usuario, asistente, uso de herramienta y resultado de herramienta.</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Registro visible y persistente de todas las solicitudes y respuestas MCP, en pantalla y en </w:t>
      </w:r>
      <w:r>
        <w:rPr>
          <w:rFonts w:ascii="Courier New" w:cs="Courier New" w:eastAsia="Courier New" w:hAnsi="Courier New"/>
          <w:sz w:val="21"/>
          <w:szCs w:val="21"/>
        </w:rPr>
        <w:t xml:space="preserve">logs/mcp-interactions.jsonl</w:t>
      </w:r>
      <w:r>
        <w:rPr>
          <w:rFonts w:ascii="Times New Roman" w:cs="Times New Roman" w:eastAsia="Times New Roman" w:hAnsi="Times New Roman"/>
          <w:sz w:val="24"/>
          <w:szCs w:val="24"/>
        </w:rPr>
        <w:t xml:space="preserv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Uso de los servidores MCP oficiales Filesystem y Git, con un escenario reproducible sobre un repositorio descartable.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Servidor MCP propio, basado en un caso de uso industrial, ejecutándose localmente sobre </w:t>
      </w:r>
      <w:r>
        <w:rPr>
          <w:rFonts w:ascii="Courier New" w:cs="Courier New" w:eastAsia="Courier New" w:hAnsi="Courier New"/>
          <w:sz w:val="21"/>
          <w:szCs w:val="21"/>
        </w:rPr>
        <w:t xml:space="preserve">stdio</w:t>
      </w:r>
      <w:r>
        <w:rPr>
          <w:rFonts w:ascii="Times New Roman" w:cs="Times New Roman" w:eastAsia="Times New Roman" w:hAnsi="Times New Roman"/>
          <w:sz w:val="24"/>
          <w:szCs w:val="24"/>
        </w:rPr>
        <w:t xml:space="preserv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El mismo servidor desplegado de forma remota en Render, consumido por el chatbot exactamente igual que el local.</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Captura y análisis con Wireshark de la comunicación entre el anfitrión y el servidor remoto.</w:t>
      </w:r>
    </w:p>
    <w:p>
      <w:pPr>
        <w:pStyle w:val="Heading1"/>
        <w:spacing w:after="200" w:before="320"/>
      </w:pPr>
      <w:r>
        <w:rPr>
          <w:rFonts w:ascii="Times New Roman" w:cs="Times New Roman" w:eastAsia="Times New Roman" w:hAnsi="Times New Roman"/>
          <w:b/>
          <w:bCs/>
          <w:color w:val="000000"/>
          <w:sz w:val="28"/>
          <w:szCs w:val="28"/>
        </w:rPr>
        <w:t xml:space="preserve">2. Arquitectura</w:t>
      </w:r>
    </w:p>
    <w:p>
      <w:pPr>
        <w:pStyle w:val="Heading2"/>
        <w:spacing w:after="160" w:before="260"/>
      </w:pPr>
      <w:r>
        <w:rPr>
          <w:rFonts w:ascii="Times New Roman" w:cs="Times New Roman" w:eastAsia="Times New Roman" w:hAnsi="Times New Roman"/>
          <w:b/>
          <w:bCs/>
          <w:color w:val="000000"/>
          <w:sz w:val="26"/>
          <w:szCs w:val="26"/>
        </w:rPr>
        <w:t xml:space="preserve">2.1 Actores del protocolo</w:t>
      </w:r>
    </w:p>
    <w:p>
      <w:pPr>
        <w:spacing w:after="160" w:line="276"/>
        <w:jc w:val="both"/>
      </w:pPr>
      <w:r>
        <w:rPr>
          <w:rFonts w:ascii="Times New Roman" w:cs="Times New Roman" w:eastAsia="Times New Roman" w:hAnsi="Times New Roman"/>
          <w:sz w:val="24"/>
          <w:szCs w:val="24"/>
        </w:rPr>
        <w:t xml:space="preserve">El sistema distingue los tres actores que define MCP. El anfitrión es el chatbot de terminal, que mantiene la conversación y decide cuándo invocar una herramienta. Cada cliente mantiene la conexión con un servidor y conoce cómo hablarle. Los servidores son los procesos que ejecutan las acciones: los dos oficiales, el propio servidor de abastecimiento en local y ese mismo servidor en la nube.</w:t>
      </w:r>
    </w:p>
    <w:p>
      <w:pPr>
        <w:spacing w:after="80" w:before="16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1. Arquitectura del anfitrión, sus clientes MCP y los servidores local, oficiales y remoto.</w:t>
      </w:r>
    </w:p>
    <w:p>
      <w:pPr>
        <w:pStyle w:val="Heading2"/>
        <w:spacing w:after="160" w:before="260"/>
      </w:pPr>
      <w:r>
        <w:rPr>
          <w:rFonts w:ascii="Times New Roman" w:cs="Times New Roman" w:eastAsia="Times New Roman" w:hAnsi="Times New Roman"/>
          <w:b/>
          <w:bCs/>
          <w:color w:val="000000"/>
          <w:sz w:val="26"/>
          <w:szCs w:val="26"/>
        </w:rPr>
        <w:t xml:space="preserve">2.2 Separación entre protocolo y transporte</w:t>
      </w:r>
    </w:p>
    <w:p>
      <w:pPr>
        <w:spacing w:after="160" w:line="276"/>
        <w:jc w:val="both"/>
      </w:pPr>
      <w:r>
        <w:rPr>
          <w:rFonts w:ascii="Times New Roman" w:cs="Times New Roman" w:eastAsia="Times New Roman" w:hAnsi="Times New Roman"/>
          <w:sz w:val="24"/>
          <w:szCs w:val="24"/>
        </w:rPr>
        <w:t xml:space="preserve">La decisión de diseño central fue separar el ciclo de vida de MCP del medio por el que viajan los bytes. El cliente construye, numera y correlaciona mensajes JSON-RPC sin saber si viajan por tuberías del sistema operativo o por la red. El transporte solo mueve mensajes.</w:t>
      </w:r>
    </w:p>
    <w:p>
      <w:pPr>
        <w:spacing w:after="160" w:line="276"/>
        <w:jc w:val="both"/>
      </w:pPr>
      <w:r>
        <w:rPr>
          <w:rFonts w:ascii="Times New Roman" w:cs="Times New Roman" w:eastAsia="Times New Roman" w:hAnsi="Times New Roman"/>
          <w:sz w:val="24"/>
          <w:szCs w:val="24"/>
        </w:rPr>
        <w:t xml:space="preserve">Gracias a esa separación, el servidor local y el remoto comparten el mismo registro de herramientas, las mismas reglas de negocio y el mismo manejador de JSON-RPC; únicamente cambia el transporte que los envuelve. Esto es lo que permite que el chatbot use el servidor remoto sin ninguna ruta de código especial.</w:t>
      </w:r>
    </w:p>
    <w:p>
      <w:pPr>
        <w:pStyle w:val="Heading1"/>
        <w:spacing w:after="200" w:before="320"/>
      </w:pPr>
      <w:r>
        <w:rPr>
          <w:rFonts w:ascii="Times New Roman" w:cs="Times New Roman" w:eastAsia="Times New Roman" w:hAnsi="Times New Roman"/>
          <w:b/>
          <w:bCs/>
          <w:color w:val="000000"/>
          <w:sz w:val="28"/>
          <w:szCs w:val="28"/>
        </w:rPr>
        <w:t xml:space="preserve">3. Especificación del servidor MCP desarrollado</w:t>
      </w:r>
    </w:p>
    <w:p>
      <w:pPr>
        <w:pStyle w:val="Heading2"/>
        <w:spacing w:after="160" w:before="260"/>
      </w:pPr>
      <w:r>
        <w:rPr>
          <w:rFonts w:ascii="Times New Roman" w:cs="Times New Roman" w:eastAsia="Times New Roman" w:hAnsi="Times New Roman"/>
          <w:b/>
          <w:bCs/>
          <w:color w:val="000000"/>
          <w:sz w:val="26"/>
          <w:szCs w:val="26"/>
        </w:rPr>
        <w:t xml:space="preserve">3.1 Caso de uso industrial</w:t>
      </w:r>
    </w:p>
    <w:p>
      <w:pPr>
        <w:spacing w:after="160" w:line="276"/>
        <w:jc w:val="both"/>
      </w:pPr>
      <w:r>
        <w:rPr>
          <w:rFonts w:ascii="Times New Roman" w:cs="Times New Roman" w:eastAsia="Times New Roman" w:hAnsi="Times New Roman"/>
          <w:sz w:val="24"/>
          <w:szCs w:val="24"/>
        </w:rPr>
        <w:t xml:space="preserve">El caso de uso, consultado previamente con el catedrático, es la planificación de compras de abastecimiento alimentario. Un planificador necesita saber qué materiales están por quedarse sin existencias, por qué, y cuánto debe comprar. El servidor publica esa capacidad como herramientas MCP para que el chatbot pueda responder preguntas operativas y justificar cada número.</w:t>
      </w:r>
    </w:p>
    <w:p>
      <w:pPr>
        <w:spacing w:after="160" w:line="276"/>
        <w:jc w:val="both"/>
      </w:pPr>
      <w:r>
        <w:rPr>
          <w:rFonts w:ascii="Times New Roman" w:cs="Times New Roman" w:eastAsia="Times New Roman" w:hAnsi="Times New Roman"/>
          <w:sz w:val="24"/>
          <w:szCs w:val="24"/>
        </w:rPr>
        <w:t xml:space="preserve">Todos los datos son sintéticos y se cargan desde archivos JSON locales; no hay conexión con ningún sistema real. Las recomendaciones se calculan con reglas determinísticas dentro del servidor: el modelo de lenguaje interpreta y explica, pero no calcula inventario.</w:t>
      </w:r>
    </w:p>
    <w:p>
      <w:pPr>
        <w:pStyle w:val="Heading2"/>
        <w:spacing w:after="160" w:before="260"/>
      </w:pPr>
      <w:r>
        <w:rPr>
          <w:rFonts w:ascii="Times New Roman" w:cs="Times New Roman" w:eastAsia="Times New Roman" w:hAnsi="Times New Roman"/>
          <w:b/>
          <w:bCs/>
          <w:color w:val="000000"/>
          <w:sz w:val="26"/>
          <w:szCs w:val="26"/>
        </w:rPr>
        <w:t xml:space="preserve">3.2 Herramientas publicadas</w:t>
      </w:r>
    </w:p>
    <w:p>
      <w:pPr>
        <w:spacing w:after="160" w:line="276"/>
        <w:jc w:val="both"/>
      </w:pPr>
      <w:r>
        <w:rPr>
          <w:rFonts w:ascii="Times New Roman" w:cs="Times New Roman" w:eastAsia="Times New Roman" w:hAnsi="Times New Roman"/>
          <w:sz w:val="24"/>
          <w:szCs w:val="24"/>
        </w:rPr>
        <w:t xml:space="preserve">El servidor </w:t>
      </w:r>
      <w:r>
        <w:rPr>
          <w:rFonts w:ascii="Courier New" w:cs="Courier New" w:eastAsia="Courier New" w:hAnsi="Courier New"/>
          <w:sz w:val="21"/>
          <w:szCs w:val="21"/>
        </w:rPr>
        <w:t xml:space="preserve">synthetic-supply-control</w:t>
      </w:r>
      <w:r>
        <w:rPr>
          <w:rFonts w:ascii="Times New Roman" w:cs="Times New Roman" w:eastAsia="Times New Roman" w:hAnsi="Times New Roman"/>
          <w:sz w:val="24"/>
          <w:szCs w:val="24"/>
        </w:rPr>
        <w:t xml:space="preserve"> versión 1.0.0 negocia la revisión MCP </w:t>
      </w:r>
      <w:r>
        <w:rPr>
          <w:rFonts w:ascii="Courier New" w:cs="Courier New" w:eastAsia="Courier New" w:hAnsi="Courier New"/>
          <w:sz w:val="21"/>
          <w:szCs w:val="21"/>
        </w:rPr>
        <w:t xml:space="preserve">2025-11-25</w:t>
      </w:r>
      <w:r>
        <w:rPr>
          <w:rFonts w:ascii="Times New Roman" w:cs="Times New Roman" w:eastAsia="Times New Roman" w:hAnsi="Times New Roman"/>
          <w:sz w:val="24"/>
          <w:szCs w:val="24"/>
        </w:rPr>
        <w:t xml:space="preserve"> y publica cinco herramientas: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00"/>
      </w:tblGrid>
      <w:tr>
        <w:trPr>
          <w:cantSplit/>
          <w:tblHeader/>
        </w:trPr>
        <w:tc>
          <w:tcPr>
            <w:tcW w:type="dxa" w:w="21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Herramienta</w:t>
            </w:r>
          </w:p>
        </w:tc>
        <w:tc>
          <w:tcPr>
            <w:tcW w:type="dxa" w:w="35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Parámetros</w:t>
            </w:r>
          </w:p>
        </w:tc>
        <w:tc>
          <w:tcPr>
            <w:tcW w:type="dxa" w:w="34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Resultado</w:t>
            </w:r>
          </w:p>
        </w:tc>
      </w:tr>
      <w:tr>
        <w:trPr>
          <w:cantSplit/>
        </w:trPr>
        <w:tc>
          <w:tcPr>
            <w:tcW w:type="dxa" w:w="21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list_inventory_risks</w:t>
            </w:r>
          </w:p>
        </w:tc>
        <w:tc>
          <w:tcPr>
            <w:tcW w:type="dxa" w:w="35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center</w:t>
            </w:r>
            <w:r>
              <w:rPr>
                <w:rFonts w:ascii="Times New Roman" w:cs="Times New Roman" w:eastAsia="Times New Roman" w:hAnsi="Times New Roman"/>
                <w:sz w:val="20"/>
                <w:szCs w:val="20"/>
              </w:rPr>
              <w:t xml:space="preserve"> (opcional), </w:t>
            </w:r>
            <w:r>
              <w:rPr>
                <w:rFonts w:ascii="Courier New" w:cs="Courier New" w:eastAsia="Courier New" w:hAnsi="Courier New"/>
                <w:sz w:val="17"/>
                <w:szCs w:val="17"/>
              </w:rPr>
              <w:t xml:space="preserve">horizon_days</w:t>
            </w:r>
            <w:r>
              <w:rPr>
                <w:rFonts w:ascii="Times New Roman" w:cs="Times New Roman" w:eastAsia="Times New Roman" w:hAnsi="Times New Roman"/>
                <w:sz w:val="20"/>
                <w:szCs w:val="20"/>
              </w:rPr>
              <w:t xml:space="preserve"> (1–30, por omisión 7), </w:t>
            </w:r>
            <w:r>
              <w:rPr>
                <w:rFonts w:ascii="Courier New" w:cs="Courier New" w:eastAsia="Courier New" w:hAnsi="Courier New"/>
                <w:sz w:val="17"/>
                <w:szCs w:val="17"/>
              </w:rPr>
              <w:t xml:space="preserve">statuses</w:t>
            </w:r>
            <w:r>
              <w:rPr>
                <w:rFonts w:ascii="Times New Roman" w:cs="Times New Roman" w:eastAsia="Times New Roman" w:hAnsi="Times New Roman"/>
                <w:sz w:val="20"/>
                <w:szCs w:val="20"/>
              </w:rPr>
              <w:t xml:space="preserve"> (opcional), </w:t>
            </w:r>
            <w:r>
              <w:rPr>
                <w:rFonts w:ascii="Courier New" w:cs="Courier New" w:eastAsia="Courier New" w:hAnsi="Courier New"/>
                <w:sz w:val="17"/>
                <w:szCs w:val="17"/>
              </w:rPr>
              <w:t xml:space="preserve">limit</w:t>
            </w:r>
            <w:r>
              <w:rPr>
                <w:rFonts w:ascii="Times New Roman" w:cs="Times New Roman" w:eastAsia="Times New Roman" w:hAnsi="Times New Roman"/>
                <w:sz w:val="20"/>
                <w:szCs w:val="20"/>
              </w:rPr>
              <w:t xml:space="preserve"> (1–100, por omisión 20)</w:t>
            </w:r>
          </w:p>
        </w:tc>
        <w:tc>
          <w:tcPr>
            <w:tcW w:type="dxa" w:w="34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Materiales ordenados por riesgo de abastecimiento</w:t>
            </w:r>
          </w:p>
        </w:tc>
      </w:tr>
      <w:tr>
        <w:trPr>
          <w:cantSplit/>
        </w:trPr>
        <w:tc>
          <w:tcPr>
            <w:tcW w:type="dxa" w:w="21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get_material_status</w:t>
            </w:r>
          </w:p>
        </w:tc>
        <w:tc>
          <w:tcPr>
            <w:tcW w:type="dxa" w:w="35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center</w:t>
            </w:r>
            <w:r>
              <w:rPr>
                <w:rFonts w:ascii="Times New Roman" w:cs="Times New Roman" w:eastAsia="Times New Roman" w:hAnsi="Times New Roman"/>
                <w:sz w:val="20"/>
                <w:szCs w:val="20"/>
              </w:rPr>
              <w:t xml:space="preserve"> (requerido), </w:t>
            </w:r>
            <w:r>
              <w:rPr>
                <w:rFonts w:ascii="Courier New" w:cs="Courier New" w:eastAsia="Courier New" w:hAnsi="Courier New"/>
                <w:sz w:val="17"/>
                <w:szCs w:val="17"/>
              </w:rPr>
              <w:t xml:space="preserve">material_code</w:t>
            </w:r>
            <w:r>
              <w:rPr>
                <w:rFonts w:ascii="Times New Roman" w:cs="Times New Roman" w:eastAsia="Times New Roman" w:hAnsi="Times New Roman"/>
                <w:sz w:val="20"/>
                <w:szCs w:val="20"/>
              </w:rPr>
              <w:t xml:space="preserve"> (requerido)</w:t>
            </w:r>
          </w:p>
        </w:tc>
        <w:tc>
          <w:tcPr>
            <w:tcW w:type="dxa" w:w="34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Existencias, demanda, cobertura, quiebre proyectado, recepciones programadas y parámetros maestros</w:t>
            </w:r>
          </w:p>
        </w:tc>
      </w:tr>
      <w:tr>
        <w:trPr>
          <w:cantSplit/>
        </w:trPr>
        <w:tc>
          <w:tcPr>
            <w:tcW w:type="dxa" w:w="21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get_purchase_recommendations</w:t>
            </w:r>
          </w:p>
        </w:tc>
        <w:tc>
          <w:tcPr>
            <w:tcW w:type="dxa" w:w="35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center</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only_with_order</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only_with_residual_shortage</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limit</w:t>
            </w:r>
            <w:r>
              <w:rPr>
                <w:rFonts w:ascii="Times New Roman" w:cs="Times New Roman" w:eastAsia="Times New Roman" w:hAnsi="Times New Roman"/>
                <w:sz w:val="20"/>
                <w:szCs w:val="20"/>
              </w:rPr>
              <w:t xml:space="preserve"> (1–100)</w:t>
            </w:r>
          </w:p>
        </w:tc>
        <w:tc>
          <w:tcPr>
            <w:tcW w:type="dxa" w:w="34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Sugerencias de compra determinísticas</w:t>
            </w:r>
          </w:p>
        </w:tc>
      </w:tr>
      <w:tr>
        <w:trPr>
          <w:cantSplit/>
        </w:trPr>
        <w:tc>
          <w:tcPr>
            <w:tcW w:type="dxa" w:w="21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explain_purchase_recommendation</w:t>
            </w:r>
          </w:p>
        </w:tc>
        <w:tc>
          <w:tcPr>
            <w:tcW w:type="dxa" w:w="35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center</w:t>
            </w:r>
            <w:r>
              <w:rPr>
                <w:rFonts w:ascii="Times New Roman" w:cs="Times New Roman" w:eastAsia="Times New Roman" w:hAnsi="Times New Roman"/>
                <w:sz w:val="20"/>
                <w:szCs w:val="20"/>
              </w:rPr>
              <w:t xml:space="preserve"> (requerido), </w:t>
            </w:r>
            <w:r>
              <w:rPr>
                <w:rFonts w:ascii="Courier New" w:cs="Courier New" w:eastAsia="Courier New" w:hAnsi="Courier New"/>
                <w:sz w:val="17"/>
                <w:szCs w:val="17"/>
              </w:rPr>
              <w:t xml:space="preserve">material_code</w:t>
            </w:r>
            <w:r>
              <w:rPr>
                <w:rFonts w:ascii="Times New Roman" w:cs="Times New Roman" w:eastAsia="Times New Roman" w:hAnsi="Times New Roman"/>
                <w:sz w:val="20"/>
                <w:szCs w:val="20"/>
              </w:rPr>
              <w:t xml:space="preserve"> (requerido)</w:t>
            </w:r>
          </w:p>
        </w:tc>
        <w:tc>
          <w:tcPr>
            <w:tcW w:type="dxa" w:w="34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Insumos, fórmula, redondeo y riesgo residual de una compra recomendada</w:t>
            </w:r>
          </w:p>
        </w:tc>
      </w:tr>
      <w:tr>
        <w:trPr>
          <w:cantSplit/>
        </w:trPr>
        <w:tc>
          <w:tcPr>
            <w:tcW w:type="dxa" w:w="2100"/>
            <w:tcMar>
              <w:top w:type="dxa" w:w="60"/>
              <w:left w:type="dxa" w:w="90"/>
              <w:bottom w:type="dxa" w:w="60"/>
              <w:right w:type="dxa" w:w="90"/>
            </w:tcMar>
          </w:tcPr>
          <w:p>
            <w:pPr>
              <w:keepNext w:val="false"/>
              <w:spacing w:after="0" w:line="240"/>
            </w:pPr>
            <w:r>
              <w:rPr>
                <w:rFonts w:ascii="Courier New" w:cs="Courier New" w:eastAsia="Courier New" w:hAnsi="Courier New"/>
                <w:sz w:val="17"/>
                <w:szCs w:val="17"/>
              </w:rPr>
              <w:t xml:space="preserve">get_supply_data_status</w:t>
            </w:r>
          </w:p>
        </w:tc>
        <w:tc>
          <w:tcPr>
            <w:tcW w:type="dxa" w:w="35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Ninguno</w:t>
            </w:r>
          </w:p>
        </w:tc>
        <w:tc>
          <w:tcPr>
            <w:tcW w:type="dxa" w:w="34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Fecha operativa, frescura de fuentes, conteos y advertencias de calidad de datos</w:t>
            </w:r>
          </w:p>
        </w:tc>
      </w:tr>
    </w:tbl>
    <w:p>
      <w:pPr>
        <w:spacing w:after="20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Los centros válidos son </w:t>
      </w:r>
      <w:r>
        <w:rPr>
          <w:rFonts w:ascii="Courier New" w:cs="Courier New" w:eastAsia="Courier New" w:hAnsi="Courier New"/>
          <w:sz w:val="21"/>
          <w:szCs w:val="21"/>
        </w:rPr>
        <w:t xml:space="preserve">DC-PROD</w:t>
      </w:r>
      <w:r>
        <w:rPr>
          <w:rFonts w:ascii="Times New Roman" w:cs="Times New Roman" w:eastAsia="Times New Roman" w:hAnsi="Times New Roman"/>
          <w:sz w:val="24"/>
          <w:szCs w:val="24"/>
        </w:rPr>
        <w:t xml:space="preserve"> y </w:t>
      </w:r>
      <w:r>
        <w:rPr>
          <w:rFonts w:ascii="Courier New" w:cs="Courier New" w:eastAsia="Courier New" w:hAnsi="Courier New"/>
          <w:sz w:val="21"/>
          <w:szCs w:val="21"/>
        </w:rPr>
        <w:t xml:space="preserve">DC-STORES</w:t>
      </w:r>
      <w:r>
        <w:rPr>
          <w:rFonts w:ascii="Times New Roman" w:cs="Times New Roman" w:eastAsia="Times New Roman" w:hAnsi="Times New Roman"/>
          <w:sz w:val="24"/>
          <w:szCs w:val="24"/>
        </w:rPr>
        <w:t xml:space="preserve">. Cada herramienta declara su esquema de entrada en </w:t>
      </w:r>
      <w:r>
        <w:rPr>
          <w:rFonts w:ascii="Courier New" w:cs="Courier New" w:eastAsia="Courier New" w:hAnsi="Courier New"/>
          <w:sz w:val="21"/>
          <w:szCs w:val="21"/>
        </w:rPr>
        <w:t xml:space="preserve">tools/list</w:t>
      </w:r>
      <w:r>
        <w:rPr>
          <w:rFonts w:ascii="Times New Roman" w:cs="Times New Roman" w:eastAsia="Times New Roman" w:hAnsi="Times New Roman"/>
          <w:sz w:val="24"/>
          <w:szCs w:val="24"/>
        </w:rPr>
        <w:t xml:space="preserve">, de modo que el modelo conoce los parámetros sin que estén codificados en el anfitrión. Los resultados incluyen </w:t>
      </w:r>
      <w:r>
        <w:rPr>
          <w:rFonts w:ascii="Courier New" w:cs="Courier New" w:eastAsia="Courier New" w:hAnsi="Courier New"/>
          <w:sz w:val="21"/>
          <w:szCs w:val="21"/>
        </w:rPr>
        <w:t xml:space="preserve">structuredContent</w:t>
      </w:r>
      <w:r>
        <w:rPr>
          <w:rFonts w:ascii="Times New Roman" w:cs="Times New Roman" w:eastAsia="Times New Roman" w:hAnsi="Times New Roman"/>
          <w:sz w:val="24"/>
          <w:szCs w:val="24"/>
        </w:rPr>
        <w:t xml:space="preserve"> además del texto, lo que permite a las interfaces tabular los registros en lugar de depender de la prosa del modelo.</w:t>
      </w:r>
    </w:p>
    <w:p>
      <w:pPr>
        <w:pStyle w:val="Heading2"/>
        <w:spacing w:after="160" w:before="260"/>
      </w:pPr>
      <w:r>
        <w:rPr>
          <w:rFonts w:ascii="Times New Roman" w:cs="Times New Roman" w:eastAsia="Times New Roman" w:hAnsi="Times New Roman"/>
          <w:b/>
          <w:bCs/>
          <w:color w:val="000000"/>
          <w:sz w:val="26"/>
          <w:szCs w:val="26"/>
        </w:rPr>
        <w:t xml:space="preserve">3.3 Contrato de la interfaz local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Propiedad</w:t>
            </w:r>
          </w:p>
        </w:tc>
        <w:tc>
          <w:tcPr>
            <w:tcW w:type="dxa" w:w="64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Valor</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Nombre del servidor</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synthetic-supply-control</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Versión</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1.0.0</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Revisión MCP</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2025-11-25</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Transporte</w:t>
            </w:r>
          </w:p>
        </w:tc>
        <w:tc>
          <w:tcPr>
            <w:tcW w:type="dxa" w:w="64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Local </w:t>
            </w:r>
            <w:r>
              <w:rPr>
                <w:rFonts w:ascii="Courier New" w:cs="Courier New" w:eastAsia="Courier New" w:hAnsi="Courier New"/>
                <w:sz w:val="17"/>
                <w:szCs w:val="17"/>
              </w:rPr>
              <w:t xml:space="preserve">stdio</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Punto de entrada</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node dist/src/mcp/supply-server-entry.js</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Endpoint de red</w:t>
            </w:r>
          </w:p>
        </w:tc>
        <w:tc>
          <w:tcPr>
            <w:tcW w:type="dxa" w:w="64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Ninguno; mensajes delimitados por salto de línea en stdin/stdout</w:t>
            </w:r>
          </w:p>
        </w:tc>
      </w:tr>
      <w:tr>
        <w:trPr>
          <w:cantSplit/>
        </w:trPr>
        <w:tc>
          <w:tcPr>
            <w:tcW w:type="dxa" w:w="26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Codificación</w:t>
            </w:r>
          </w:p>
        </w:tc>
        <w:tc>
          <w:tcPr>
            <w:tcW w:type="dxa" w:w="64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JSON UTF-8, un objeto JSON-RPC por línea</w:t>
            </w:r>
          </w:p>
        </w:tc>
      </w:tr>
    </w:tbl>
    <w:p>
      <w:pPr>
        <w:pStyle w:val="Heading2"/>
        <w:spacing w:after="160" w:before="260"/>
      </w:pPr>
      <w:r>
        <w:rPr>
          <w:rFonts w:ascii="Times New Roman" w:cs="Times New Roman" w:eastAsia="Times New Roman" w:hAnsi="Times New Roman"/>
          <w:b/>
          <w:bCs/>
          <w:color w:val="000000"/>
          <w:sz w:val="26"/>
          <w:szCs w:val="26"/>
        </w:rPr>
        <w:t xml:space="preserve">3.4 Contrato de la interfaz remota</w:t>
      </w:r>
    </w:p>
    <w:p>
      <w:pPr>
        <w:spacing w:after="160" w:line="276"/>
        <w:jc w:val="both"/>
      </w:pPr>
      <w:r>
        <w:rPr>
          <w:rFonts w:ascii="Times New Roman" w:cs="Times New Roman" w:eastAsia="Times New Roman" w:hAnsi="Times New Roman"/>
          <w:sz w:val="24"/>
          <w:szCs w:val="24"/>
        </w:rPr>
        <w:t xml:space="preserve">El mismo servidor y las mismas reglas de negocio se exponen sobre HTTPS mediante un subconjunto sin streaming del transporte Streamable HTTP, también implementado a mano: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Propiedad</w:t>
            </w:r>
          </w:p>
        </w:tc>
        <w:tc>
          <w:tcPr>
            <w:tcW w:type="dxa" w:w="64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Valor</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Transporte</w:t>
            </w:r>
          </w:p>
        </w:tc>
        <w:tc>
          <w:tcPr>
            <w:tcW w:type="dxa" w:w="64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HTTPS solicitud/respuesta</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Punto de entrada</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node dist/src/mcp/supply-server-http-entry.js</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Endpoint MCP</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POST /mcp</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Health check</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GET /healthz</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Cierre de sesión</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DELETE /mcp</w:t>
            </w:r>
            <w:r>
              <w:rPr>
                <w:rFonts w:ascii="Times New Roman" w:cs="Times New Roman" w:eastAsia="Times New Roman" w:hAnsi="Times New Roman"/>
                <w:sz w:val="20"/>
                <w:szCs w:val="20"/>
              </w:rPr>
              <w:t xml:space="preserve"> con </w:t>
            </w:r>
            <w:r>
              <w:rPr>
                <w:rFonts w:ascii="Courier New" w:cs="Courier New" w:eastAsia="Courier New" w:hAnsi="Courier New"/>
                <w:sz w:val="17"/>
                <w:szCs w:val="17"/>
              </w:rPr>
              <w:t xml:space="preserve">Mcp-Session-Id</w:t>
            </w:r>
            <w:r>
              <w:rPr>
                <w:rFonts w:ascii="Times New Roman" w:cs="Times New Roman" w:eastAsia="Times New Roman" w:hAnsi="Times New Roman"/>
                <w:sz w:val="20"/>
                <w:szCs w:val="20"/>
              </w:rPr>
              <w:t xml:space="preserve">; responde </w:t>
            </w:r>
            <w:r>
              <w:rPr>
                <w:rFonts w:ascii="Courier New" w:cs="Courier New" w:eastAsia="Courier New" w:hAnsi="Courier New"/>
                <w:sz w:val="17"/>
                <w:szCs w:val="17"/>
              </w:rPr>
              <w:t xml:space="preserve">204</w:t>
            </w:r>
            <w:r>
              <w:rPr>
                <w:rFonts w:ascii="Times New Roman" w:cs="Times New Roman" w:eastAsia="Times New Roman" w:hAnsi="Times New Roman"/>
                <w:sz w:val="20"/>
                <w:szCs w:val="20"/>
              </w:rPr>
              <w:t xml:space="preserve">, o </w:t>
            </w:r>
            <w:r>
              <w:rPr>
                <w:rFonts w:ascii="Courier New" w:cs="Courier New" w:eastAsia="Courier New" w:hAnsi="Courier New"/>
                <w:sz w:val="17"/>
                <w:szCs w:val="17"/>
              </w:rPr>
              <w:t xml:space="preserve">404</w:t>
            </w:r>
            <w:r>
              <w:rPr>
                <w:rFonts w:ascii="Times New Roman" w:cs="Times New Roman" w:eastAsia="Times New Roman" w:hAnsi="Times New Roman"/>
                <w:sz w:val="20"/>
                <w:szCs w:val="20"/>
              </w:rPr>
              <w:t xml:space="preserve"> si no existe</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Consola web</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GET /</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API de la consola</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GET /api/bootstrap</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POST /api/analyze</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POST /api/chat</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Autenticación</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Authorization: Bearer &lt;MCP_API_KEY&gt;</w:t>
            </w:r>
            <w:r>
              <w:rPr>
                <w:rFonts w:ascii="Times New Roman" w:cs="Times New Roman" w:eastAsia="Times New Roman" w:hAnsi="Times New Roman"/>
                <w:sz w:val="20"/>
                <w:szCs w:val="20"/>
              </w:rPr>
              <w:t xml:space="preserve">, comparada en tiempo constante</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Cabecera de sesión</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Mcp-Session-Id</w:t>
            </w:r>
            <w:r>
              <w:rPr>
                <w:rFonts w:ascii="Times New Roman" w:cs="Times New Roman" w:eastAsia="Times New Roman" w:hAnsi="Times New Roman"/>
                <w:sz w:val="20"/>
                <w:szCs w:val="20"/>
              </w:rPr>
              <w:t xml:space="preserve">, devuelta por </w:t>
            </w:r>
            <w:r>
              <w:rPr>
                <w:rFonts w:ascii="Courier New" w:cs="Courier New" w:eastAsia="Courier New" w:hAnsi="Courier New"/>
                <w:sz w:val="17"/>
                <w:szCs w:val="17"/>
              </w:rPr>
              <w:t xml:space="preserve">initialize</w:t>
            </w:r>
            <w:r>
              <w:rPr>
                <w:rFonts w:ascii="Times New Roman" w:cs="Times New Roman" w:eastAsia="Times New Roman" w:hAnsi="Times New Roman"/>
                <w:sz w:val="20"/>
                <w:szCs w:val="20"/>
              </w:rPr>
              <w:t xml:space="preserve"> y reenviada por el cliente</w:t>
            </w:r>
          </w:p>
        </w:tc>
      </w:tr>
      <w:tr>
        <w:trPr>
          <w:cantSplit/>
        </w:trPr>
        <w:tc>
          <w:tcPr>
            <w:tcW w:type="dxa" w:w="2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Cabecera de versión</w:t>
            </w:r>
          </w:p>
        </w:tc>
        <w:tc>
          <w:tcPr>
            <w:tcW w:type="dxa" w:w="64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Mcp-Protocol-Version: 2025-11-25</w:t>
            </w:r>
            <w:r>
              <w:rPr>
                <w:rFonts w:ascii="Times New Roman" w:cs="Times New Roman" w:eastAsia="Times New Roman" w:hAnsi="Times New Roman"/>
                <w:sz w:val="20"/>
                <w:szCs w:val="20"/>
              </w:rPr>
              <w:t xml:space="preserve"> tras la inicialización</w:t>
            </w:r>
          </w:p>
        </w:tc>
      </w:tr>
      <w:tr>
        <w:trPr>
          <w:cantSplit/>
        </w:trPr>
        <w:tc>
          <w:tcPr>
            <w:tcW w:type="dxa" w:w="26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Codificación</w:t>
            </w:r>
          </w:p>
        </w:tc>
        <w:tc>
          <w:tcPr>
            <w:tcW w:type="dxa" w:w="6400"/>
            <w:tcMar>
              <w:top w:type="dxa" w:w="60"/>
              <w:left w:type="dxa" w:w="90"/>
              <w:bottom w:type="dxa" w:w="60"/>
              <w:right w:type="dxa" w:w="90"/>
            </w:tcMar>
          </w:tcPr>
          <w:p>
            <w:pPr>
              <w:keepNext w:val="false"/>
              <w:spacing w:after="0" w:line="240"/>
            </w:pPr>
            <w:r>
              <w:rPr>
                <w:rFonts w:ascii="Courier New" w:cs="Courier New" w:eastAsia="Courier New" w:hAnsi="Courier New"/>
                <w:sz w:val="17"/>
                <w:szCs w:val="17"/>
              </w:rPr>
              <w:t xml:space="preserve">application/json</w:t>
            </w:r>
            <w:r>
              <w:rPr>
                <w:rFonts w:ascii="Times New Roman" w:cs="Times New Roman" w:eastAsia="Times New Roman" w:hAnsi="Times New Roman"/>
                <w:sz w:val="20"/>
                <w:szCs w:val="20"/>
              </w:rPr>
              <w:t xml:space="preserve"> UTF-8 con JSON-RPC 2.0</w:t>
            </w:r>
          </w:p>
        </w:tc>
      </w:tr>
    </w:tbl>
    <w:p>
      <w:pPr>
        <w:spacing w:after="20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El endpoint está expuesto a Internet, así que el servidor acota el estado que un cliente puede crear: una sesión caduca a los 30 minutos sin tráfico, se admiten como máximo 256 sesiones simultáneas —más allá responde </w:t>
      </w:r>
      <w:r>
        <w:rPr>
          <w:rFonts w:ascii="Courier New" w:cs="Courier New" w:eastAsia="Courier New" w:hAnsi="Courier New"/>
          <w:sz w:val="21"/>
          <w:szCs w:val="21"/>
        </w:rPr>
        <w:t xml:space="preserve">503</w:t>
      </w:r>
      <w:r>
        <w:rPr>
          <w:rFonts w:ascii="Times New Roman" w:cs="Times New Roman" w:eastAsia="Times New Roman" w:hAnsi="Times New Roman"/>
          <w:sz w:val="24"/>
          <w:szCs w:val="24"/>
        </w:rPr>
        <w:t xml:space="preserve"> con </w:t>
      </w:r>
      <w:r>
        <w:rPr>
          <w:rFonts w:ascii="Courier New" w:cs="Courier New" w:eastAsia="Courier New" w:hAnsi="Courier New"/>
          <w:sz w:val="21"/>
          <w:szCs w:val="21"/>
        </w:rPr>
        <w:t xml:space="preserve">Retry-After</w:t>
      </w:r>
      <w:r>
        <w:rPr>
          <w:rFonts w:ascii="Times New Roman" w:cs="Times New Roman" w:eastAsia="Times New Roman" w:hAnsi="Times New Roman"/>
          <w:sz w:val="24"/>
          <w:szCs w:val="24"/>
        </w:rPr>
        <w:t xml:space="preserve">— y un cuerpo mayor a 256 KiB se rechaza con </w:t>
      </w:r>
      <w:r>
        <w:rPr>
          <w:rFonts w:ascii="Courier New" w:cs="Courier New" w:eastAsia="Courier New" w:hAnsi="Courier New"/>
          <w:sz w:val="21"/>
          <w:szCs w:val="21"/>
        </w:rPr>
        <w:t xml:space="preserve">413</w:t>
      </w:r>
      <w:r>
        <w:rPr>
          <w:rFonts w:ascii="Times New Roman" w:cs="Times New Roman" w:eastAsia="Times New Roman" w:hAnsi="Times New Roman"/>
          <w:sz w:val="24"/>
          <w:szCs w:val="24"/>
        </w:rPr>
        <w:t xml:space="preserve"> en lugar de almacenarse en memoria. Las señales </w:t>
      </w:r>
      <w:r>
        <w:rPr>
          <w:rFonts w:ascii="Courier New" w:cs="Courier New" w:eastAsia="Courier New" w:hAnsi="Courier New"/>
          <w:sz w:val="21"/>
          <w:szCs w:val="21"/>
        </w:rPr>
        <w:t xml:space="preserve">SIGTERM</w:t>
      </w:r>
      <w:r>
        <w:rPr>
          <w:rFonts w:ascii="Times New Roman" w:cs="Times New Roman" w:eastAsia="Times New Roman" w:hAnsi="Times New Roman"/>
          <w:sz w:val="24"/>
          <w:szCs w:val="24"/>
        </w:rPr>
        <w:t xml:space="preserve"> y </w:t>
      </w:r>
      <w:r>
        <w:rPr>
          <w:rFonts w:ascii="Courier New" w:cs="Courier New" w:eastAsia="Courier New" w:hAnsi="Courier New"/>
          <w:sz w:val="21"/>
          <w:szCs w:val="21"/>
        </w:rPr>
        <w:t xml:space="preserve">SIGINT</w:t>
      </w:r>
      <w:r>
        <w:rPr>
          <w:rFonts w:ascii="Times New Roman" w:cs="Times New Roman" w:eastAsia="Times New Roman" w:hAnsi="Times New Roman"/>
          <w:sz w:val="24"/>
          <w:szCs w:val="24"/>
        </w:rPr>
        <w:t xml:space="preserve"> cierran el escuchador antes de terminar el proceso, de modo que un redespliegue no corta la solicitud en curso.</w:t>
      </w:r>
    </w:p>
    <w:p>
      <w:pPr>
        <w:pStyle w:val="Heading2"/>
        <w:spacing w:after="160" w:before="260"/>
      </w:pPr>
      <w:r>
        <w:rPr>
          <w:rFonts w:ascii="Times New Roman" w:cs="Times New Roman" w:eastAsia="Times New Roman" w:hAnsi="Times New Roman"/>
          <w:b/>
          <w:bCs/>
          <w:color w:val="000000"/>
          <w:sz w:val="26"/>
          <w:szCs w:val="26"/>
        </w:rPr>
        <w:t xml:space="preserve">3.5 Despliegue</w:t>
      </w:r>
    </w:p>
    <w:p>
      <w:pPr>
        <w:spacing w:after="160" w:line="276"/>
        <w:jc w:val="both"/>
      </w:pPr>
      <w:r>
        <w:rPr>
          <w:rFonts w:ascii="Times New Roman" w:cs="Times New Roman" w:eastAsia="Times New Roman" w:hAnsi="Times New Roman"/>
          <w:sz w:val="24"/>
          <w:szCs w:val="24"/>
        </w:rPr>
        <w:t xml:space="preserve">El </w:t>
      </w:r>
      <w:r>
        <w:rPr>
          <w:rFonts w:ascii="Courier New" w:cs="Courier New" w:eastAsia="Courier New" w:hAnsi="Courier New"/>
          <w:sz w:val="21"/>
          <w:szCs w:val="21"/>
        </w:rPr>
        <w:t xml:space="preserve">Dockerfile</w:t>
      </w:r>
      <w:r>
        <w:rPr>
          <w:rFonts w:ascii="Times New Roman" w:cs="Times New Roman" w:eastAsia="Times New Roman" w:hAnsi="Times New Roman"/>
          <w:sz w:val="24"/>
          <w:szCs w:val="24"/>
        </w:rPr>
        <w:t xml:space="preserve"> compila TypeScript en una etapa y ejecuta solo los artefactos necesarios sobre Node.js 22. El archivo </w:t>
      </w:r>
      <w:r>
        <w:rPr>
          <w:rFonts w:ascii="Courier New" w:cs="Courier New" w:eastAsia="Courier New" w:hAnsi="Courier New"/>
          <w:sz w:val="21"/>
          <w:szCs w:val="21"/>
        </w:rPr>
        <w:t xml:space="preserve">render.yaml</w:t>
      </w:r>
      <w:r>
        <w:rPr>
          <w:rFonts w:ascii="Times New Roman" w:cs="Times New Roman" w:eastAsia="Times New Roman" w:hAnsi="Times New Roman"/>
          <w:sz w:val="24"/>
          <w:szCs w:val="24"/>
        </w:rPr>
        <w:t xml:space="preserve"> describe el servicio remoto, su health check y la generación de la credencial como variable secreta. Como alternativa, </w:t>
      </w:r>
      <w:r>
        <w:rPr>
          <w:rFonts w:ascii="Courier New" w:cs="Courier New" w:eastAsia="Courier New" w:hAnsi="Courier New"/>
          <w:sz w:val="21"/>
          <w:szCs w:val="21"/>
        </w:rPr>
        <w:t xml:space="preserve">scripts/deploy-cloud-run.ps1</w:t>
      </w:r>
      <w:r>
        <w:rPr>
          <w:rFonts w:ascii="Times New Roman" w:cs="Times New Roman" w:eastAsia="Times New Roman" w:hAnsi="Times New Roman"/>
          <w:sz w:val="24"/>
          <w:szCs w:val="24"/>
        </w:rPr>
        <w:t xml:space="preserve"> despliega la misma imagen en Google Cloud Run. Ambos flujos usan una sola instancia, ya que las sesiones viven en memoria.</w:t>
      </w:r>
    </w:p>
    <w:p>
      <w:pPr>
        <w:pStyle w:val="Heading1"/>
        <w:spacing w:after="200" w:before="320"/>
      </w:pPr>
      <w:r>
        <w:rPr>
          <w:rFonts w:ascii="Times New Roman" w:cs="Times New Roman" w:eastAsia="Times New Roman" w:hAnsi="Times New Roman"/>
          <w:b/>
          <w:bCs/>
          <w:color w:val="000000"/>
          <w:sz w:val="28"/>
          <w:szCs w:val="28"/>
        </w:rPr>
        <w:t xml:space="preserve">4. Ciclo de mensajes JSON-RPC</w:t>
      </w:r>
    </w:p>
    <w:p>
      <w:pPr>
        <w:spacing w:after="160" w:line="276"/>
        <w:jc w:val="both"/>
      </w:pPr>
      <w:r>
        <w:rPr>
          <w:rFonts w:ascii="Times New Roman" w:cs="Times New Roman" w:eastAsia="Times New Roman" w:hAnsi="Times New Roman"/>
          <w:sz w:val="24"/>
          <w:szCs w:val="24"/>
        </w:rPr>
        <w:t xml:space="preserve">Cada solicitud lleva </w:t>
      </w:r>
      <w:r>
        <w:rPr>
          <w:rFonts w:ascii="Courier New" w:cs="Courier New" w:eastAsia="Courier New" w:hAnsi="Courier New"/>
          <w:sz w:val="21"/>
          <w:szCs w:val="21"/>
        </w:rPr>
        <w:t xml:space="preserve">jsonrpc</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id</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method</w:t>
      </w:r>
      <w:r>
        <w:rPr>
          <w:rFonts w:ascii="Times New Roman" w:cs="Times New Roman" w:eastAsia="Times New Roman" w:hAnsi="Times New Roman"/>
          <w:sz w:val="24"/>
          <w:szCs w:val="24"/>
        </w:rPr>
        <w:t xml:space="preserve"> y </w:t>
      </w:r>
      <w:r>
        <w:rPr>
          <w:rFonts w:ascii="Courier New" w:cs="Courier New" w:eastAsia="Courier New" w:hAnsi="Courier New"/>
          <w:sz w:val="21"/>
          <w:szCs w:val="21"/>
        </w:rPr>
        <w:t xml:space="preserve">params</w:t>
      </w:r>
      <w:r>
        <w:rPr>
          <w:rFonts w:ascii="Times New Roman" w:cs="Times New Roman" w:eastAsia="Times New Roman" w:hAnsi="Times New Roman"/>
          <w:sz w:val="24"/>
          <w:szCs w:val="24"/>
        </w:rPr>
        <w:t xml:space="preserve">. Cada respuesta conserva el mismo </w:t>
      </w:r>
      <w:r>
        <w:rPr>
          <w:rFonts w:ascii="Courier New" w:cs="Courier New" w:eastAsia="Courier New" w:hAnsi="Courier New"/>
          <w:sz w:val="21"/>
          <w:szCs w:val="21"/>
        </w:rPr>
        <w:t xml:space="preserve">id</w:t>
      </w:r>
      <w:r>
        <w:rPr>
          <w:rFonts w:ascii="Times New Roman" w:cs="Times New Roman" w:eastAsia="Times New Roman" w:hAnsi="Times New Roman"/>
          <w:sz w:val="24"/>
          <w:szCs w:val="24"/>
        </w:rPr>
        <w:t xml:space="preserve"> y contiene </w:t>
      </w:r>
      <w:r>
        <w:rPr>
          <w:rFonts w:ascii="Courier New" w:cs="Courier New" w:eastAsia="Courier New" w:hAnsi="Courier New"/>
          <w:sz w:val="21"/>
          <w:szCs w:val="21"/>
        </w:rPr>
        <w:t xml:space="preserve">result</w:t>
      </w:r>
      <w:r>
        <w:rPr>
          <w:rFonts w:ascii="Times New Roman" w:cs="Times New Roman" w:eastAsia="Times New Roman" w:hAnsi="Times New Roman"/>
          <w:sz w:val="24"/>
          <w:szCs w:val="24"/>
        </w:rPr>
        <w:t xml:space="preserve"> o </w:t>
      </w:r>
      <w:r>
        <w:rPr>
          <w:rFonts w:ascii="Courier New" w:cs="Courier New" w:eastAsia="Courier New" w:hAnsi="Courier New"/>
          <w:sz w:val="21"/>
          <w:szCs w:val="21"/>
        </w:rPr>
        <w:t xml:space="preserve">error</w:t>
      </w:r>
      <w:r>
        <w:rPr>
          <w:rFonts w:ascii="Times New Roman" w:cs="Times New Roman" w:eastAsia="Times New Roman" w:hAnsi="Times New Roman"/>
          <w:sz w:val="24"/>
          <w:szCs w:val="24"/>
        </w:rPr>
        <w:t xml:space="preserve">. Las notificaciones son mensajes sin </w:t>
      </w:r>
      <w:r>
        <w:rPr>
          <w:rFonts w:ascii="Courier New" w:cs="Courier New" w:eastAsia="Courier New" w:hAnsi="Courier New"/>
          <w:sz w:val="21"/>
          <w:szCs w:val="21"/>
        </w:rPr>
        <w:t xml:space="preserve">id</w:t>
      </w:r>
      <w:r>
        <w:rPr>
          <w:rFonts w:ascii="Times New Roman" w:cs="Times New Roman" w:eastAsia="Times New Roman" w:hAnsi="Times New Roman"/>
          <w:sz w:val="24"/>
          <w:szCs w:val="24"/>
        </w:rPr>
        <w:t xml:space="preserve"> y por definición no reciben respuesta; el servidor contesta </w:t>
      </w:r>
      <w:r>
        <w:rPr>
          <w:rFonts w:ascii="Courier New" w:cs="Courier New" w:eastAsia="Courier New" w:hAnsi="Courier New"/>
          <w:sz w:val="21"/>
          <w:szCs w:val="21"/>
        </w:rPr>
        <w:t xml:space="preserve">202 Accepted</w:t>
      </w:r>
      <w:r>
        <w:rPr>
          <w:rFonts w:ascii="Times New Roman" w:cs="Times New Roman" w:eastAsia="Times New Roman" w:hAnsi="Times New Roman"/>
          <w:sz w:val="24"/>
          <w:szCs w:val="24"/>
        </w:rPr>
        <w:t xml:space="preserve"> con cuerpo vacío.</w:t>
      </w:r>
    </w:p>
    <w:p>
      <w:pPr>
        <w:spacing w:after="160" w:line="276"/>
        <w:jc w:val="both"/>
      </w:pPr>
      <w:r>
        <w:rPr>
          <w:rFonts w:ascii="Times New Roman" w:cs="Times New Roman" w:eastAsia="Times New Roman" w:hAnsi="Times New Roman"/>
          <w:sz w:val="24"/>
          <w:szCs w:val="24"/>
        </w:rPr>
        <w:t xml:space="preserve">El intercambio completo para responder una pregunta operativa es el siguiente:</w:t>
      </w:r>
    </w:p>
    <w:p>
      <w:pPr>
        <w:spacing w:after="80" w:before="16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2. Secuencia de mensajes entre el anfitrión, el cliente MCP y el servidor de abastecimiento.</w:t>
      </w:r>
    </w:p>
    <w:p>
      <w:pPr>
        <w:spacing w:after="160" w:line="276"/>
        <w:jc w:val="both"/>
      </w:pPr>
      <w:r>
        <w:rPr>
          <w:rFonts w:ascii="Times New Roman" w:cs="Times New Roman" w:eastAsia="Times New Roman" w:hAnsi="Times New Roman"/>
          <w:sz w:val="24"/>
          <w:szCs w:val="24"/>
        </w:rPr>
        <w:t xml:space="preserve">Un ejemplo real de solicitud de invocación, tomado del registro de auditoría:</w:t>
      </w:r>
    </w:p>
    <w:p>
      <w:pPr>
        <w:spacing w:after="0" w:line="240"/>
        <w:ind w:left="360"/>
      </w:pPr>
      <w:r>
        <w:rPr>
          <w:rFonts w:ascii="Courier New" w:cs="Courier New" w:eastAsia="Courier New" w:hAnsi="Courier New"/>
          <w:sz w:val="18"/>
          <w:szCs w:val="18"/>
        </w:rPr>
        <w:t xml:space="preserve">{"jsonrpc":"2.0","id":4,"method":"tools/call",</w:t>
      </w:r>
    </w:p>
    <w:p>
      <w:pPr>
        <w:spacing w:after="0" w:line="240"/>
        <w:ind w:left="360"/>
      </w:pPr>
      <w:r>
        <w:rPr>
          <w:rFonts w:ascii="Courier New" w:cs="Courier New" w:eastAsia="Courier New" w:hAnsi="Courier New"/>
          <w:sz w:val="18"/>
          <w:szCs w:val="18"/>
        </w:rPr>
        <w:t xml:space="preserve"> "params":{"name":"get_material_status",</w:t>
      </w:r>
    </w:p>
    <w:p>
      <w:pPr>
        <w:spacing w:after="0" w:line="240"/>
        <w:ind w:left="360"/>
      </w:pPr>
      <w:r>
        <w:rPr>
          <w:rFonts w:ascii="Courier New" w:cs="Courier New" w:eastAsia="Courier New" w:hAnsi="Courier New"/>
          <w:sz w:val="18"/>
          <w:szCs w:val="18"/>
        </w:rPr>
        <w:t xml:space="preserve">            "arguments":{"center":"DC-PROD",</w:t>
      </w:r>
    </w:p>
    <w:p>
      <w:pPr>
        <w:spacing w:after="200" w:line="240"/>
        <w:ind w:left="360"/>
      </w:pPr>
      <w:r>
        <w:rPr>
          <w:rFonts w:ascii="Courier New" w:cs="Courier New" w:eastAsia="Courier New" w:hAnsi="Courier New"/>
          <w:sz w:val="18"/>
          <w:szCs w:val="18"/>
        </w:rPr>
        <w:t xml:space="preserve">                         "material_code":"SYN-PROD-004"}}}</w:t>
      </w:r>
    </w:p>
    <w:p>
      <w:pPr>
        <w:pStyle w:val="Heading1"/>
        <w:spacing w:after="200" w:before="320"/>
      </w:pPr>
      <w:r>
        <w:rPr>
          <w:rFonts w:ascii="Times New Roman" w:cs="Times New Roman" w:eastAsia="Times New Roman" w:hAnsi="Times New Roman"/>
          <w:b/>
          <w:bCs/>
          <w:color w:val="000000"/>
          <w:sz w:val="28"/>
          <w:szCs w:val="28"/>
        </w:rPr>
        <w:t xml:space="preserve">5. Análisis de la comunicación con Wireshark</w:t>
      </w:r>
    </w:p>
    <w:p>
      <w:pPr>
        <w:pStyle w:val="Heading2"/>
        <w:spacing w:after="160" w:before="260"/>
      </w:pPr>
      <w:r>
        <w:rPr>
          <w:rFonts w:ascii="Times New Roman" w:cs="Times New Roman" w:eastAsia="Times New Roman" w:hAnsi="Times New Roman"/>
          <w:b/>
          <w:bCs/>
          <w:color w:val="000000"/>
          <w:sz w:val="26"/>
          <w:szCs w:val="26"/>
        </w:rPr>
        <w:t xml:space="preserve">5.1 Clasificación de los mensajes JSON-RPC</w:t>
      </w:r>
    </w:p>
    <w:p>
      <w:pPr>
        <w:spacing w:after="160" w:line="276"/>
        <w:jc w:val="both"/>
      </w:pPr>
      <w:r>
        <w:rPr>
          <w:rFonts w:ascii="Times New Roman" w:cs="Times New Roman" w:eastAsia="Times New Roman" w:hAnsi="Times New Roman"/>
          <w:sz w:val="24"/>
          <w:szCs w:val="24"/>
        </w:rPr>
        <w:t xml:space="preserve">La comunicación entre el anfitrión y el servidor remoto se compone de tres clases de mensaje. La tabla siguiente indica a qué clase corresponde cada uno y qué función cumple: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100"/>
        <w:gridCol w:w="3600"/>
      </w:tblGrid>
      <w:tr>
        <w:trPr>
          <w:cantSplit/>
          <w:tblHeader/>
        </w:trPr>
        <w:tc>
          <w:tcPr>
            <w:tcW w:type="dxa" w:w="17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Clase</w:t>
            </w:r>
          </w:p>
        </w:tc>
        <w:tc>
          <w:tcPr>
            <w:tcW w:type="dxa" w:w="26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Método o forma</w:t>
            </w:r>
          </w:p>
        </w:tc>
        <w:tc>
          <w:tcPr>
            <w:tcW w:type="dxa" w:w="11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Lleva </w:t>
            </w:r>
            <w:r>
              <w:rPr>
                <w:rFonts w:ascii="Courier New" w:cs="Courier New" w:eastAsia="Courier New" w:hAnsi="Courier New"/>
                <w:sz w:val="17"/>
                <w:szCs w:val="17"/>
              </w:rPr>
              <w:t xml:space="preserve">id</w:t>
            </w:r>
          </w:p>
        </w:tc>
        <w:tc>
          <w:tcPr>
            <w:tcW w:type="dxa" w:w="36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Función</w:t>
            </w:r>
          </w:p>
        </w:tc>
      </w:tr>
      <w:tr>
        <w:trPr>
          <w:cantSplit/>
        </w:trPr>
        <w:tc>
          <w:tcPr>
            <w:tcW w:type="dxa" w:w="17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Sincronización</w:t>
            </w:r>
          </w:p>
        </w:tc>
        <w:tc>
          <w:tcPr>
            <w:tcW w:type="dxa" w:w="2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initialize</w:t>
            </w:r>
          </w:p>
        </w:tc>
        <w:tc>
          <w:tcPr>
            <w:tcW w:type="dxa" w:w="11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Sí</w:t>
            </w:r>
          </w:p>
        </w:tc>
        <w:tc>
          <w:tcPr>
            <w:tcW w:type="dxa" w:w="3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Negocia versión del protocolo, capacidades e identidad</w:t>
            </w:r>
          </w:p>
        </w:tc>
      </w:tr>
      <w:tr>
        <w:trPr>
          <w:cantSplit/>
        </w:trPr>
        <w:tc>
          <w:tcPr>
            <w:tcW w:type="dxa" w:w="17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Sincronización</w:t>
            </w:r>
          </w:p>
        </w:tc>
        <w:tc>
          <w:tcPr>
            <w:tcW w:type="dxa" w:w="2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notifications/initialized</w:t>
            </w:r>
          </w:p>
        </w:tc>
        <w:tc>
          <w:tcPr>
            <w:tcW w:type="dxa" w:w="11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No</w:t>
            </w:r>
          </w:p>
        </w:tc>
        <w:tc>
          <w:tcPr>
            <w:tcW w:type="dxa" w:w="3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Confirma que el cliente terminó su inicialización</w:t>
            </w:r>
          </w:p>
        </w:tc>
      </w:tr>
      <w:tr>
        <w:trPr>
          <w:cantSplit/>
        </w:trPr>
        <w:tc>
          <w:tcPr>
            <w:tcW w:type="dxa" w:w="17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Solicitud</w:t>
            </w:r>
          </w:p>
        </w:tc>
        <w:tc>
          <w:tcPr>
            <w:tcW w:type="dxa" w:w="2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tools/list</w:t>
            </w:r>
          </w:p>
        </w:tc>
        <w:tc>
          <w:tcPr>
            <w:tcW w:type="dxa" w:w="11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Sí</w:t>
            </w:r>
          </w:p>
        </w:tc>
        <w:tc>
          <w:tcPr>
            <w:tcW w:type="dxa" w:w="3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Descubre las cinco herramientas y sus esquemas</w:t>
            </w:r>
          </w:p>
        </w:tc>
      </w:tr>
      <w:tr>
        <w:trPr>
          <w:cantSplit/>
        </w:trPr>
        <w:tc>
          <w:tcPr>
            <w:tcW w:type="dxa" w:w="17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Respuesta</w:t>
            </w:r>
          </w:p>
        </w:tc>
        <w:tc>
          <w:tcPr>
            <w:tcW w:type="dxa" w:w="2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result.tools</w:t>
            </w:r>
          </w:p>
        </w:tc>
        <w:tc>
          <w:tcPr>
            <w:tcW w:type="dxa" w:w="11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Mismo </w:t>
            </w:r>
            <w:r>
              <w:rPr>
                <w:rFonts w:ascii="Courier New" w:cs="Courier New" w:eastAsia="Courier New" w:hAnsi="Courier New"/>
                <w:sz w:val="17"/>
                <w:szCs w:val="17"/>
              </w:rPr>
              <w:t xml:space="preserve">id</w:t>
            </w:r>
          </w:p>
        </w:tc>
        <w:tc>
          <w:tcPr>
            <w:tcW w:type="dxa" w:w="3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Devuelve las definiciones de herramienta</w:t>
            </w:r>
          </w:p>
        </w:tc>
      </w:tr>
      <w:tr>
        <w:trPr>
          <w:cantSplit/>
        </w:trPr>
        <w:tc>
          <w:tcPr>
            <w:tcW w:type="dxa" w:w="17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Solicitud</w:t>
            </w:r>
          </w:p>
        </w:tc>
        <w:tc>
          <w:tcPr>
            <w:tcW w:type="dxa" w:w="2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tools/call</w:t>
            </w:r>
          </w:p>
        </w:tc>
        <w:tc>
          <w:tcPr>
            <w:tcW w:type="dxa" w:w="11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Sí</w:t>
            </w:r>
          </w:p>
        </w:tc>
        <w:tc>
          <w:tcPr>
            <w:tcW w:type="dxa" w:w="3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Invoca una herramienta con sus argumentos</w:t>
            </w:r>
          </w:p>
        </w:tc>
      </w:tr>
      <w:tr>
        <w:trPr>
          <w:cantSplit/>
        </w:trPr>
        <w:tc>
          <w:tcPr>
            <w:tcW w:type="dxa" w:w="17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Respuesta</w:t>
            </w:r>
          </w:p>
        </w:tc>
        <w:tc>
          <w:tcPr>
            <w:tcW w:type="dxa" w:w="2600"/>
            <w:tcMar>
              <w:top w:type="dxa" w:w="60"/>
              <w:left w:type="dxa" w:w="90"/>
              <w:bottom w:type="dxa" w:w="60"/>
              <w:right w:type="dxa" w:w="90"/>
            </w:tcMar>
          </w:tcPr>
          <w:p>
            <w:pPr>
              <w:keepNext w:val="false"/>
              <w:spacing w:after="0" w:line="240"/>
            </w:pPr>
            <w:r>
              <w:rPr>
                <w:rFonts w:ascii="Courier New" w:cs="Courier New" w:eastAsia="Courier New" w:hAnsi="Courier New"/>
                <w:sz w:val="17"/>
                <w:szCs w:val="17"/>
              </w:rPr>
              <w:t xml:space="preserve">result.content</w:t>
            </w:r>
          </w:p>
        </w:tc>
        <w:tc>
          <w:tcPr>
            <w:tcW w:type="dxa" w:w="11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Mismo </w:t>
            </w:r>
            <w:r>
              <w:rPr>
                <w:rFonts w:ascii="Courier New" w:cs="Courier New" w:eastAsia="Courier New" w:hAnsi="Courier New"/>
                <w:sz w:val="17"/>
                <w:szCs w:val="17"/>
              </w:rPr>
              <w:t xml:space="preserve">id</w:t>
            </w:r>
          </w:p>
        </w:tc>
        <w:tc>
          <w:tcPr>
            <w:tcW w:type="dxa" w:w="36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Devuelve texto y contenido estructurado</w:t>
            </w:r>
          </w:p>
        </w:tc>
      </w:tr>
    </w:tbl>
    <w:p>
      <w:pPr>
        <w:spacing w:after="20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Las dos primeras filas son los mensajes de sincronización: establecen la sesión antes de que cualquier herramienta pueda usarse. El servidor rechaza </w:t>
      </w:r>
      <w:r>
        <w:rPr>
          <w:rFonts w:ascii="Courier New" w:cs="Courier New" w:eastAsia="Courier New" w:hAnsi="Courier New"/>
          <w:sz w:val="21"/>
          <w:szCs w:val="21"/>
        </w:rPr>
        <w:t xml:space="preserve">tools/list</w:t>
      </w:r>
      <w:r>
        <w:rPr>
          <w:rFonts w:ascii="Times New Roman" w:cs="Times New Roman" w:eastAsia="Times New Roman" w:hAnsi="Times New Roman"/>
          <w:sz w:val="24"/>
          <w:szCs w:val="24"/>
        </w:rPr>
        <w:t xml:space="preserve"> y </w:t>
      </w:r>
      <w:r>
        <w:rPr>
          <w:rFonts w:ascii="Courier New" w:cs="Courier New" w:eastAsia="Courier New" w:hAnsi="Courier New"/>
          <w:sz w:val="21"/>
          <w:szCs w:val="21"/>
        </w:rPr>
        <w:t xml:space="preserve">tools/call</w:t>
      </w:r>
      <w:r>
        <w:rPr>
          <w:rFonts w:ascii="Times New Roman" w:cs="Times New Roman" w:eastAsia="Times New Roman" w:hAnsi="Times New Roman"/>
          <w:sz w:val="24"/>
          <w:szCs w:val="24"/>
        </w:rPr>
        <w:t xml:space="preserve"> si no ha recibido antes </w:t>
      </w:r>
      <w:r>
        <w:rPr>
          <w:rFonts w:ascii="Courier New" w:cs="Courier New" w:eastAsia="Courier New" w:hAnsi="Courier New"/>
          <w:sz w:val="21"/>
          <w:szCs w:val="21"/>
        </w:rPr>
        <w:t xml:space="preserve">notifications/initialized</w:t>
      </w:r>
      <w:r>
        <w:rPr>
          <w:rFonts w:ascii="Times New Roman" w:cs="Times New Roman" w:eastAsia="Times New Roman" w:hAnsi="Times New Roman"/>
          <w:sz w:val="24"/>
          <w:szCs w:val="24"/>
        </w:rPr>
        <w:t xml:space="preserve">.</w:t>
      </w:r>
    </w:p>
    <w:p>
      <w:pPr>
        <w:pStyle w:val="Heading2"/>
        <w:spacing w:after="160" w:before="260"/>
      </w:pPr>
      <w:r>
        <w:rPr>
          <w:rFonts w:ascii="Times New Roman" w:cs="Times New Roman" w:eastAsia="Times New Roman" w:hAnsi="Times New Roman"/>
          <w:b/>
          <w:bCs/>
          <w:color w:val="000000"/>
          <w:sz w:val="26"/>
          <w:szCs w:val="26"/>
        </w:rPr>
        <w:t xml:space="preserve">5.2 Metodología de captura</w:t>
      </w:r>
    </w:p>
    <w:p>
      <w:pPr>
        <w:spacing w:after="160" w:line="276"/>
        <w:jc w:val="both"/>
      </w:pPr>
      <w:r>
        <w:rPr>
          <w:rFonts w:ascii="Times New Roman" w:cs="Times New Roman" w:eastAsia="Times New Roman" w:hAnsi="Times New Roman"/>
          <w:sz w:val="24"/>
          <w:szCs w:val="24"/>
        </w:rPr>
        <w:t xml:space="preserve">El servidor remoto se sirve sobre HTTPS, de modo que una captura directa muestra únicamente registros TLS cifrados y no permite leer los cuerpos JSON-RPC. Para poder clasificar los mensajes por número de trama, la captura se realiza registrando las claves de sesión TLS y descifrando el flujo en Wireshark. El procedimiento es reproducible:</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Ejecutar </w:t>
      </w:r>
      <w:r>
        <w:rPr>
          <w:rFonts w:ascii="Courier New" w:cs="Courier New" w:eastAsia="Courier New" w:hAnsi="Courier New"/>
          <w:sz w:val="21"/>
          <w:szCs w:val="21"/>
        </w:rPr>
        <w:t xml:space="preserve">npm run demo:remote</w:t>
      </w:r>
      <w:r>
        <w:rPr>
          <w:rFonts w:ascii="Times New Roman" w:cs="Times New Roman" w:eastAsia="Times New Roman" w:hAnsi="Times New Roman"/>
          <w:sz w:val="24"/>
          <w:szCs w:val="24"/>
        </w:rPr>
        <w:t xml:space="preserve"> una vez para despertar el servicio de Render, que en el plan gratuito se suspende tras un periodo de inactividad.</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Iniciar la captura en Wireshark sobre la interfaz que tiene la ruta hacia Internet.</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Ejecutar </w:t>
      </w:r>
      <w:r>
        <w:rPr>
          <w:rFonts w:ascii="Courier New" w:cs="Courier New" w:eastAsia="Courier New" w:hAnsi="Courier New"/>
          <w:sz w:val="21"/>
          <w:szCs w:val="21"/>
        </w:rPr>
        <w:t xml:space="preserve">npm run capture:remote</w:t>
      </w:r>
      <w:r>
        <w:rPr>
          <w:rFonts w:ascii="Times New Roman" w:cs="Times New Roman" w:eastAsia="Times New Roman" w:hAnsi="Times New Roman"/>
          <w:sz w:val="24"/>
          <w:szCs w:val="24"/>
        </w:rPr>
        <w:t xml:space="preserve">. Es el mismo cliente contra el mismo servidor remoto, pero Node escribe los secretos de sesión TLS en </w:t>
      </w:r>
      <w:r>
        <w:rPr>
          <w:rFonts w:ascii="Courier New" w:cs="Courier New" w:eastAsia="Courier New" w:hAnsi="Courier New"/>
          <w:sz w:val="21"/>
          <w:szCs w:val="21"/>
        </w:rPr>
        <w:t xml:space="preserve">tmp/tls-keys.log</w:t>
      </w:r>
      <w:r>
        <w:rPr>
          <w:rFonts w:ascii="Times New Roman" w:cs="Times New Roman" w:eastAsia="Times New Roman" w:hAnsi="Times New Roman"/>
          <w:sz w:val="24"/>
          <w:szCs w:val="24"/>
        </w:rPr>
        <w:t xml:space="preserve">.</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Detener la captura y guardarla como </w:t>
      </w:r>
      <w:r>
        <w:rPr>
          <w:rFonts w:ascii="Courier New" w:cs="Courier New" w:eastAsia="Courier New" w:hAnsi="Courier New"/>
          <w:sz w:val="21"/>
          <w:szCs w:val="21"/>
        </w:rPr>
        <w:t xml:space="preserve">evidence/remote-mcp.pcapng</w:t>
      </w:r>
      <w:r>
        <w:rPr>
          <w:rFonts w:ascii="Times New Roman" w:cs="Times New Roman" w:eastAsia="Times New Roman" w:hAnsi="Times New Roman"/>
          <w:sz w:val="24"/>
          <w:szCs w:val="24"/>
        </w:rPr>
        <w:t xml:space="preserve">.</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En Wireshark, abrir Preferences &gt; Protocols &gt; TLS y fijar «(Pre)-Master-Secret log filename» en </w:t>
      </w:r>
      <w:r>
        <w:rPr>
          <w:rFonts w:ascii="Courier New" w:cs="Courier New" w:eastAsia="Courier New" w:hAnsi="Courier New"/>
          <w:sz w:val="21"/>
          <w:szCs w:val="21"/>
        </w:rPr>
        <w:t xml:space="preserve">tmp/tls-keys.log</w:t>
      </w:r>
      <w:r>
        <w:rPr>
          <w:rFonts w:ascii="Times New Roman" w:cs="Times New Roman" w:eastAsia="Times New Roman" w:hAnsi="Times New Roman"/>
          <w:sz w:val="24"/>
          <w:szCs w:val="24"/>
        </w:rPr>
        <w:t xml:space="preserve">.</w:t>
      </w:r>
    </w:p>
    <w:p>
      <w:pPr>
        <w:pStyle w:val="ListParagraph"/>
        <w:numPr>
          <w:ilvl w:val="0"/>
          <w:numId w:val="3"/>
        </w:numPr>
        <w:spacing w:after="100" w:line="276"/>
        <w:jc w:val="both"/>
      </w:pPr>
      <w:r>
        <w:rPr>
          <w:rFonts w:ascii="Times New Roman" w:cs="Times New Roman" w:eastAsia="Times New Roman" w:hAnsi="Times New Roman"/>
          <w:sz w:val="24"/>
          <w:szCs w:val="24"/>
        </w:rPr>
        <w:t xml:space="preserve">Aplicar el filtro de visualización y anotar, por número de trama, qué mensaje es de sincronización, cuál es solicitud y cuál es respuesta.</w:t>
      </w:r>
    </w:p>
    <w:p>
      <w:pPr>
        <w:spacing w:after="160" w:line="276"/>
        <w:jc w:val="both"/>
      </w:pPr>
      <w:r>
        <w:rPr>
          <w:rFonts w:ascii="Times New Roman" w:cs="Times New Roman" w:eastAsia="Times New Roman" w:hAnsi="Times New Roman"/>
          <w:sz w:val="24"/>
          <w:szCs w:val="24"/>
        </w:rPr>
        <w:t xml:space="preserve">El filtro utilizado para aislar el tráfico del servicio es:</w:t>
      </w:r>
    </w:p>
    <w:p>
      <w:pPr>
        <w:spacing w:after="0" w:line="240"/>
        <w:ind w:left="360"/>
      </w:pPr>
      <w:r>
        <w:rPr>
          <w:rFonts w:ascii="Courier New" w:cs="Courier New" w:eastAsia="Courier New" w:hAnsi="Courier New"/>
          <w:sz w:val="18"/>
          <w:szCs w:val="18"/>
        </w:rPr>
        <w:t xml:space="preserve">dns.qry.name contains "supply-control-mcp.onrender.com"</w:t>
      </w:r>
    </w:p>
    <w:p>
      <w:pPr>
        <w:spacing w:after="200" w:line="240"/>
        <w:ind w:left="360"/>
      </w:pPr>
      <w:r>
        <w:rPr>
          <w:rFonts w:ascii="Courier New" w:cs="Courier New" w:eastAsia="Courier New" w:hAnsi="Courier New"/>
          <w:sz w:val="18"/>
          <w:szCs w:val="18"/>
        </w:rPr>
        <w:t xml:space="preserve">  || ip.addr == 216.24.57.7</w:t>
      </w:r>
    </w:p>
    <w:p>
      <w:pPr>
        <w:spacing w:after="160" w:line="276"/>
        <w:jc w:val="both"/>
      </w:pPr>
      <w:r>
        <w:rPr>
          <w:rFonts w:ascii="Times New Roman" w:cs="Times New Roman" w:eastAsia="Times New Roman" w:hAnsi="Times New Roman"/>
          <w:sz w:val="24"/>
          <w:szCs w:val="24"/>
        </w:rPr>
        <w:t xml:space="preserve">El archivo de claves descifra únicamente esa captura, pero el tráfico descifrado incluye la cabecera </w:t>
      </w:r>
      <w:r>
        <w:rPr>
          <w:rFonts w:ascii="Courier New" w:cs="Courier New" w:eastAsia="Courier New" w:hAnsi="Courier New"/>
          <w:sz w:val="21"/>
          <w:szCs w:val="21"/>
        </w:rPr>
        <w:t xml:space="preserve">Authorization: Bearer</w:t>
      </w:r>
      <w:r>
        <w:rPr>
          <w:rFonts w:ascii="Times New Roman" w:cs="Times New Roman" w:eastAsia="Times New Roman" w:hAnsi="Times New Roman"/>
          <w:sz w:val="24"/>
          <w:szCs w:val="24"/>
        </w:rPr>
        <w:t xml:space="preserve">. Por eso el archivo no se publica en el repositorio y la credencial se rota después de la demostración.</w:t>
      </w:r>
    </w:p>
    <w:p>
      <w:pPr>
        <w:pStyle w:val="Heading2"/>
        <w:spacing w:after="160" w:before="260"/>
      </w:pPr>
      <w:r>
        <w:rPr>
          <w:rFonts w:ascii="Times New Roman" w:cs="Times New Roman" w:eastAsia="Times New Roman" w:hAnsi="Times New Roman"/>
          <w:b/>
          <w:bCs/>
          <w:color w:val="000000"/>
          <w:sz w:val="26"/>
          <w:szCs w:val="26"/>
        </w:rPr>
        <w:t xml:space="preserve">5.3 Evidencia observada</w:t>
      </w:r>
    </w:p>
    <w:p>
      <w:pPr>
        <w:spacing w:after="160" w:line="276"/>
        <w:jc w:val="both"/>
      </w:pPr>
      <w:r>
        <w:rPr>
          <w:rFonts w:ascii="Times New Roman" w:cs="Times New Roman" w:eastAsia="Times New Roman" w:hAnsi="Times New Roman"/>
          <w:sz w:val="24"/>
          <w:szCs w:val="24"/>
        </w:rPr>
        <w:t xml:space="preserve">La captura canónica contiene 102 paquetes y registra un intercambio completo contra el servicio autenticado en Render: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Elemento</w:t>
            </w:r>
          </w:p>
        </w:tc>
        <w:tc>
          <w:tcPr>
            <w:tcW w:type="dxa" w:w="58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Valor observado</w:t>
            </w:r>
          </w:p>
        </w:tc>
      </w:tr>
      <w:tr>
        <w:trPr>
          <w:cantSplit/>
        </w:trPr>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URL del servicio</w:t>
            </w:r>
          </w:p>
        </w:tc>
        <w:tc>
          <w:tcPr>
            <w:tcW w:type="dxa" w:w="58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https://supply-control-mcp.onrender.com/mcp</w:t>
            </w:r>
          </w:p>
        </w:tc>
      </w:tr>
      <w:tr>
        <w:trPr>
          <w:cantSplit/>
        </w:trPr>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Dirección del cliente</w:t>
            </w:r>
          </w:p>
        </w:tc>
        <w:tc>
          <w:tcPr>
            <w:tcW w:type="dxa" w:w="58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192.168.0.18</w:t>
            </w:r>
            <w:r>
              <w:rPr>
                <w:rFonts w:ascii="Times New Roman" w:cs="Times New Roman" w:eastAsia="Times New Roman" w:hAnsi="Times New Roman"/>
                <w:sz w:val="20"/>
                <w:szCs w:val="20"/>
              </w:rPr>
              <w:t xml:space="preserve"> (interfaz Wi-Fi)</w:t>
            </w:r>
          </w:p>
        </w:tc>
      </w:tr>
      <w:tr>
        <w:trPr>
          <w:cantSplit/>
        </w:trPr>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Dirección del servidor</w:t>
            </w:r>
          </w:p>
        </w:tc>
        <w:tc>
          <w:tcPr>
            <w:tcW w:type="dxa" w:w="58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216.24.57.7</w:t>
            </w:r>
            <w:r>
              <w:rPr>
                <w:rFonts w:ascii="Times New Roman" w:cs="Times New Roman" w:eastAsia="Times New Roman" w:hAnsi="Times New Roman"/>
                <w:sz w:val="20"/>
                <w:szCs w:val="20"/>
              </w:rPr>
              <w:t xml:space="preserve">, puerto TCP </w:t>
            </w:r>
            <w:r>
              <w:rPr>
                <w:rFonts w:ascii="Courier New" w:cs="Courier New" w:eastAsia="Courier New" w:hAnsi="Courier New"/>
                <w:sz w:val="17"/>
                <w:szCs w:val="17"/>
              </w:rPr>
              <w:t xml:space="preserve">443</w:t>
            </w:r>
          </w:p>
        </w:tc>
      </w:tr>
      <w:tr>
        <w:trPr>
          <w:cantSplit/>
        </w:trPr>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Consulta y respuesta DNS</w:t>
            </w:r>
          </w:p>
        </w:tc>
        <w:tc>
          <w:tcPr>
            <w:tcW w:type="dxa" w:w="58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Tramas 43–44</w:t>
            </w:r>
          </w:p>
        </w:tc>
      </w:tr>
      <w:tr>
        <w:trPr>
          <w:cantSplit/>
        </w:trPr>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Saludo TCP (SYN, SYN-ACK, ACK)</w:t>
            </w:r>
          </w:p>
        </w:tc>
        <w:tc>
          <w:tcPr>
            <w:tcW w:type="dxa" w:w="58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Tramas 45–47</w:t>
            </w:r>
          </w:p>
        </w:tc>
      </w:tr>
      <w:tr>
        <w:trPr>
          <w:cantSplit/>
        </w:trPr>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TLS ClientHello y ServerHello</w:t>
            </w:r>
          </w:p>
        </w:tc>
        <w:tc>
          <w:tcPr>
            <w:tcW w:type="dxa" w:w="58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Tramas 49 y 51</w:t>
            </w:r>
          </w:p>
        </w:tc>
      </w:tr>
      <w:tr>
        <w:trPr>
          <w:cantSplit/>
        </w:trPr>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Datos de aplicación de la demostración</w:t>
            </w:r>
          </w:p>
        </w:tc>
        <w:tc>
          <w:tcPr>
            <w:tcW w:type="dxa" w:w="58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Tramas 73–101</w:t>
            </w:r>
          </w:p>
        </w:tc>
      </w:tr>
      <w:tr>
        <w:trPr>
          <w:cantSplit/>
        </w:trPr>
        <w:tc>
          <w:tcPr>
            <w:tcW w:type="dxa" w:w="32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Cierre de la conexión HTTPS</w:t>
            </w:r>
          </w:p>
        </w:tc>
        <w:tc>
          <w:tcPr>
            <w:tcW w:type="dxa" w:w="58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Tramas 22, 24 y 25</w:t>
            </w:r>
          </w:p>
        </w:tc>
      </w:tr>
    </w:tbl>
    <w:p>
      <w:pPr>
        <w:spacing w:after="200"/>
      </w:pPr>
      <w:r>
        <w:rPr>
          <w:rFonts w:ascii="Times New Roman" w:cs="Times New Roman" w:eastAsia="Times New Roman" w:hAnsi="Times New Roman"/>
          <w:sz w:val="24"/>
          <w:szCs w:val="24"/>
        </w:rPr>
        <w:t xml:space="preserve"/>
      </w:r>
    </w:p>
    <w:p>
      <w:pPr>
        <w:spacing w:after="160" w:line="276"/>
        <w:jc w:val="both"/>
      </w:pPr>
      <w:r>
        <w:rPr>
          <w:rFonts w:ascii="Times New Roman" w:cs="Times New Roman" w:eastAsia="Times New Roman" w:hAnsi="Times New Roman"/>
          <w:sz w:val="24"/>
          <w:szCs w:val="24"/>
        </w:rPr>
        <w:t xml:space="preserve">A nivel de aplicación, la ejecución verificada produjo </w:t>
      </w:r>
      <w:r>
        <w:rPr>
          <w:rFonts w:ascii="Courier New" w:cs="Courier New" w:eastAsia="Courier New" w:hAnsi="Courier New"/>
          <w:sz w:val="21"/>
          <w:szCs w:val="21"/>
        </w:rPr>
        <w:t xml:space="preserve">initialize</w:t>
      </w:r>
      <w:r>
        <w:rPr>
          <w:rFonts w:ascii="Times New Roman" w:cs="Times New Roman" w:eastAsia="Times New Roman" w:hAnsi="Times New Roman"/>
          <w:sz w:val="24"/>
          <w:szCs w:val="24"/>
        </w:rPr>
        <w:t xml:space="preserve"> con HTTP 200 y creación de sesión MCP, </w:t>
      </w:r>
      <w:r>
        <w:rPr>
          <w:rFonts w:ascii="Courier New" w:cs="Courier New" w:eastAsia="Courier New" w:hAnsi="Courier New"/>
          <w:sz w:val="21"/>
          <w:szCs w:val="21"/>
        </w:rPr>
        <w:t xml:space="preserve">notifications/initialized</w:t>
      </w:r>
      <w:r>
        <w:rPr>
          <w:rFonts w:ascii="Times New Roman" w:cs="Times New Roman" w:eastAsia="Times New Roman" w:hAnsi="Times New Roman"/>
          <w:sz w:val="24"/>
          <w:szCs w:val="24"/>
        </w:rPr>
        <w:t xml:space="preserve"> con HTTP 202, </w:t>
      </w:r>
      <w:r>
        <w:rPr>
          <w:rFonts w:ascii="Courier New" w:cs="Courier New" w:eastAsia="Courier New" w:hAnsi="Courier New"/>
          <w:sz w:val="21"/>
          <w:szCs w:val="21"/>
        </w:rPr>
        <w:t xml:space="preserve">tools/list</w:t>
      </w:r>
      <w:r>
        <w:rPr>
          <w:rFonts w:ascii="Times New Roman" w:cs="Times New Roman" w:eastAsia="Times New Roman" w:hAnsi="Times New Roman"/>
          <w:sz w:val="24"/>
          <w:szCs w:val="24"/>
        </w:rPr>
        <w:t xml:space="preserve"> con HTTP 200 devolviendo cinco herramientas, y </w:t>
      </w:r>
      <w:r>
        <w:rPr>
          <w:rFonts w:ascii="Courier New" w:cs="Courier New" w:eastAsia="Courier New" w:hAnsi="Courier New"/>
          <w:sz w:val="21"/>
          <w:szCs w:val="21"/>
        </w:rPr>
        <w:t xml:space="preserve">tools/call</w:t>
      </w:r>
      <w:r>
        <w:rPr>
          <w:rFonts w:ascii="Times New Roman" w:cs="Times New Roman" w:eastAsia="Times New Roman" w:hAnsi="Times New Roman"/>
          <w:sz w:val="24"/>
          <w:szCs w:val="24"/>
        </w:rPr>
        <w:t xml:space="preserve"> sobre </w:t>
      </w:r>
      <w:r>
        <w:rPr>
          <w:rFonts w:ascii="Courier New" w:cs="Courier New" w:eastAsia="Courier New" w:hAnsi="Courier New"/>
          <w:sz w:val="21"/>
          <w:szCs w:val="21"/>
        </w:rPr>
        <w:t xml:space="preserve">get_supply_data_status</w:t>
      </w:r>
      <w:r>
        <w:rPr>
          <w:rFonts w:ascii="Times New Roman" w:cs="Times New Roman" w:eastAsia="Times New Roman" w:hAnsi="Times New Roman"/>
          <w:sz w:val="24"/>
          <w:szCs w:val="24"/>
        </w:rPr>
        <w:t xml:space="preserve"> con HTTP 200 sin error.</w:t>
      </w:r>
    </w:p>
    <w:p>
      <w:pPr>
        <w:spacing w:after="160" w:line="276"/>
        <w:jc w:val="both"/>
      </w:pPr>
      <w:r>
        <w:rPr>
          <w:rFonts w:ascii="Times New Roman" w:cs="Times New Roman" w:eastAsia="Times New Roman" w:hAnsi="Times New Roman"/>
          <w:sz w:val="24"/>
          <w:szCs w:val="24"/>
        </w:rPr>
        <w:t xml:space="preserve">Con el archivo de claves cargado, cada uno de esos mensajes queda localizado en una trama concreta de la captura: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00"/>
      </w:tblGrid>
      <w:tr>
        <w:trPr>
          <w:cantSplit/>
          <w:tblHeader/>
        </w:trPr>
        <w:tc>
          <w:tcPr>
            <w:tcW w:type="dxa" w:w="36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Mensaje</w:t>
            </w:r>
          </w:p>
        </w:tc>
        <w:tc>
          <w:tcPr>
            <w:tcW w:type="dxa" w:w="32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Clase</w:t>
            </w:r>
          </w:p>
        </w:tc>
        <w:tc>
          <w:tcPr>
            <w:tcW w:type="dxa" w:w="2200"/>
            <w:shd w:fill="E8E8E8" w:val="clear"/>
            <w:tcMar>
              <w:top w:type="dxa" w:w="60"/>
              <w:left w:type="dxa" w:w="90"/>
              <w:bottom w:type="dxa" w:w="60"/>
              <w:right w:type="dxa" w:w="90"/>
            </w:tcMar>
          </w:tcPr>
          <w:p>
            <w:pPr>
              <w:keepNext/>
              <w:spacing w:after="0" w:line="240"/>
            </w:pPr>
            <w:r>
              <w:rPr>
                <w:rFonts w:ascii="Times New Roman" w:cs="Times New Roman" w:eastAsia="Times New Roman" w:hAnsi="Times New Roman"/>
                <w:b/>
                <w:bCs/>
                <w:sz w:val="20"/>
                <w:szCs w:val="20"/>
              </w:rPr>
              <w:t xml:space="preserve">Trama</w:t>
            </w:r>
          </w:p>
        </w:tc>
      </w:tr>
      <w:tr>
        <w:trPr>
          <w:cantSplit/>
        </w:trPr>
        <w:tc>
          <w:tcPr>
            <w:tcW w:type="dxa" w:w="3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initialize</w:t>
            </w:r>
          </w:p>
        </w:tc>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Sincronización</w:t>
            </w:r>
          </w:p>
        </w:tc>
        <w:tc>
          <w:tcPr>
            <w:tcW w:type="dxa" w:w="2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__</w:t>
            </w:r>
          </w:p>
        </w:tc>
      </w:tr>
      <w:tr>
        <w:trPr>
          <w:cantSplit/>
        </w:trPr>
        <w:tc>
          <w:tcPr>
            <w:tcW w:type="dxa" w:w="3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Respuesta a </w:t>
            </w:r>
            <w:r>
              <w:rPr>
                <w:rFonts w:ascii="Courier New" w:cs="Courier New" w:eastAsia="Courier New" w:hAnsi="Courier New"/>
                <w:sz w:val="17"/>
                <w:szCs w:val="17"/>
              </w:rPr>
              <w:t xml:space="preserve">initialize</w:t>
            </w:r>
          </w:p>
        </w:tc>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Respuesta</w:t>
            </w:r>
          </w:p>
        </w:tc>
        <w:tc>
          <w:tcPr>
            <w:tcW w:type="dxa" w:w="2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__</w:t>
            </w:r>
          </w:p>
        </w:tc>
      </w:tr>
      <w:tr>
        <w:trPr>
          <w:cantSplit/>
        </w:trPr>
        <w:tc>
          <w:tcPr>
            <w:tcW w:type="dxa" w:w="3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notifications/initialized</w:t>
            </w:r>
          </w:p>
        </w:tc>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Sincronización</w:t>
            </w:r>
          </w:p>
        </w:tc>
        <w:tc>
          <w:tcPr>
            <w:tcW w:type="dxa" w:w="2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__</w:t>
            </w:r>
          </w:p>
        </w:tc>
      </w:tr>
      <w:tr>
        <w:trPr>
          <w:cantSplit/>
        </w:trPr>
        <w:tc>
          <w:tcPr>
            <w:tcW w:type="dxa" w:w="3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tools/list</w:t>
            </w:r>
          </w:p>
        </w:tc>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Solicitud</w:t>
            </w:r>
          </w:p>
        </w:tc>
        <w:tc>
          <w:tcPr>
            <w:tcW w:type="dxa" w:w="2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__</w:t>
            </w:r>
          </w:p>
        </w:tc>
      </w:tr>
      <w:tr>
        <w:trPr>
          <w:cantSplit/>
        </w:trPr>
        <w:tc>
          <w:tcPr>
            <w:tcW w:type="dxa" w:w="36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Respuesta a </w:t>
            </w:r>
            <w:r>
              <w:rPr>
                <w:rFonts w:ascii="Courier New" w:cs="Courier New" w:eastAsia="Courier New" w:hAnsi="Courier New"/>
                <w:sz w:val="17"/>
                <w:szCs w:val="17"/>
              </w:rPr>
              <w:t xml:space="preserve">tools/list</w:t>
            </w:r>
          </w:p>
        </w:tc>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Respuesta</w:t>
            </w:r>
          </w:p>
        </w:tc>
        <w:tc>
          <w:tcPr>
            <w:tcW w:type="dxa" w:w="2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__</w:t>
            </w:r>
          </w:p>
        </w:tc>
      </w:tr>
      <w:tr>
        <w:trPr>
          <w:cantSplit/>
        </w:trPr>
        <w:tc>
          <w:tcPr>
            <w:tcW w:type="dxa" w:w="3600"/>
            <w:tcMar>
              <w:top w:type="dxa" w:w="60"/>
              <w:left w:type="dxa" w:w="90"/>
              <w:bottom w:type="dxa" w:w="60"/>
              <w:right w:type="dxa" w:w="90"/>
            </w:tcMar>
          </w:tcPr>
          <w:p>
            <w:pPr>
              <w:keepNext/>
              <w:spacing w:after="0" w:line="240"/>
            </w:pPr>
            <w:r>
              <w:rPr>
                <w:rFonts w:ascii="Courier New" w:cs="Courier New" w:eastAsia="Courier New" w:hAnsi="Courier New"/>
                <w:sz w:val="17"/>
                <w:szCs w:val="17"/>
              </w:rPr>
              <w:t xml:space="preserve">tools/call</w:t>
            </w:r>
          </w:p>
        </w:tc>
        <w:tc>
          <w:tcPr>
            <w:tcW w:type="dxa" w:w="3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Solicitud</w:t>
            </w:r>
          </w:p>
        </w:tc>
        <w:tc>
          <w:tcPr>
            <w:tcW w:type="dxa" w:w="2200"/>
            <w:tcMar>
              <w:top w:type="dxa" w:w="60"/>
              <w:left w:type="dxa" w:w="90"/>
              <w:bottom w:type="dxa" w:w="60"/>
              <w:right w:type="dxa" w:w="90"/>
            </w:tcMar>
          </w:tcPr>
          <w:p>
            <w:pPr>
              <w:keepNext/>
              <w:spacing w:after="0" w:line="240"/>
            </w:pPr>
            <w:r>
              <w:rPr>
                <w:rFonts w:ascii="Times New Roman" w:cs="Times New Roman" w:eastAsia="Times New Roman" w:hAnsi="Times New Roman"/>
                <w:sz w:val="20"/>
                <w:szCs w:val="20"/>
              </w:rPr>
              <w:t xml:space="preserve">__</w:t>
            </w:r>
          </w:p>
        </w:tc>
      </w:tr>
      <w:tr>
        <w:trPr>
          <w:cantSplit/>
        </w:trPr>
        <w:tc>
          <w:tcPr>
            <w:tcW w:type="dxa" w:w="36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Respuesta a </w:t>
            </w:r>
            <w:r>
              <w:rPr>
                <w:rFonts w:ascii="Courier New" w:cs="Courier New" w:eastAsia="Courier New" w:hAnsi="Courier New"/>
                <w:sz w:val="17"/>
                <w:szCs w:val="17"/>
              </w:rPr>
              <w:t xml:space="preserve">tools/call</w:t>
            </w:r>
          </w:p>
        </w:tc>
        <w:tc>
          <w:tcPr>
            <w:tcW w:type="dxa" w:w="32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Respuesta</w:t>
            </w:r>
          </w:p>
        </w:tc>
        <w:tc>
          <w:tcPr>
            <w:tcW w:type="dxa" w:w="2200"/>
            <w:tcMar>
              <w:top w:type="dxa" w:w="60"/>
              <w:left w:type="dxa" w:w="90"/>
              <w:bottom w:type="dxa" w:w="60"/>
              <w:right w:type="dxa" w:w="90"/>
            </w:tcMar>
          </w:tcPr>
          <w:p>
            <w:pPr>
              <w:keepNext w:val="false"/>
              <w:spacing w:after="0" w:line="240"/>
            </w:pPr>
            <w:r>
              <w:rPr>
                <w:rFonts w:ascii="Times New Roman" w:cs="Times New Roman" w:eastAsia="Times New Roman" w:hAnsi="Times New Roman"/>
                <w:sz w:val="20"/>
                <w:szCs w:val="20"/>
              </w:rPr>
              <w:t xml:space="preserve">__</w:t>
            </w:r>
          </w:p>
        </w:tc>
      </w:tr>
    </w:tbl>
    <w:p>
      <w:pPr>
        <w:pBdr>
          <w:top w:val="single" w:color="BF8F00" w:sz="6"/>
          <w:bottom w:val="single" w:color="BF8F00" w:sz="6"/>
          <w:left w:val="single" w:color="BF8F00" w:sz="6"/>
          <w:right w:val="single" w:color="BF8F00" w:sz="6"/>
        </w:pBdr>
        <w:shd w:fill="FFF2CC" w:val="clear"/>
        <w:spacing w:after="200" w:before="160" w:line="276"/>
        <w:ind w:left="200" w:right="200"/>
        <w:jc w:val="both"/>
      </w:pPr>
      <w:r>
        <w:rPr>
          <w:rFonts w:ascii="Times New Roman" w:cs="Times New Roman" w:eastAsia="Times New Roman" w:hAnsi="Times New Roman"/>
          <w:b/>
          <w:bCs/>
          <w:color w:val="7F6000"/>
          <w:sz w:val="21"/>
          <w:szCs w:val="21"/>
        </w:rPr>
        <w:t xml:space="preserve">PENDIENTE: completar la columna «Trama» ejecutando npm run capture:remote, cargando tmp/tls-keys.log en Wireshark y leyendo los números de trama de los mensajes descifrados. Sustituir también la Figura 3 por una captura de pantalla con los cuerpos JSON-RPC visibles. Eliminar esta nota antes de entregar.</w:t>
      </w:r>
    </w:p>
    <w:p>
      <w:pPr>
        <w:spacing w:after="80" w:before="160"/>
        <w:jc w:val="center"/>
      </w:pPr>
      <w:r>
        <w:drawing>
          <wp:inline distT="0" distB="0" distL="0" distR="0">
            <wp:extent cx="40957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241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3. Correlación de la captura: resolución DNS, establecimiento TCP, negociación TLS e intercambio de aplicación con el servidor remoto.</w:t>
      </w:r>
    </w:p>
    <w:p>
      <w:pPr>
        <w:pStyle w:val="Heading2"/>
        <w:spacing w:after="160" w:before="260"/>
      </w:pPr>
      <w:r>
        <w:rPr>
          <w:rFonts w:ascii="Times New Roman" w:cs="Times New Roman" w:eastAsia="Times New Roman" w:hAnsi="Times New Roman"/>
          <w:b/>
          <w:bCs/>
          <w:color w:val="000000"/>
          <w:sz w:val="26"/>
          <w:szCs w:val="26"/>
        </w:rPr>
        <w:t xml:space="preserve">5.4 Capa de enlace</w:t>
      </w:r>
    </w:p>
    <w:p>
      <w:pPr>
        <w:spacing w:after="160" w:line="276"/>
        <w:jc w:val="both"/>
      </w:pPr>
      <w:r>
        <w:rPr>
          <w:rFonts w:ascii="Times New Roman" w:cs="Times New Roman" w:eastAsia="Times New Roman" w:hAnsi="Times New Roman"/>
          <w:sz w:val="24"/>
          <w:szCs w:val="24"/>
        </w:rPr>
        <w:t xml:space="preserve">En la red local, la trama transporta el paquete IP hacia el siguiente salto. Sobre Ethernet y Wi-Fi contiene las direcciones MAC de origen y destino y un EtherType que identifica IPv4 o IPv6. Es importante notar que la MAC de destino observada corresponde al gateway local y no al servidor de Render: la dirección física solo tiene alcance dentro del enlace, y se reescribe en cada salto del camino. La captura se realizó sobre la interfaz Wi-Fi activa, y Npcap entregó a Wireshark las tramas observables de esa interfaz.</w:t>
      </w:r>
    </w:p>
    <w:p>
      <w:pPr>
        <w:pStyle w:val="Heading2"/>
        <w:spacing w:after="160" w:before="260"/>
      </w:pPr>
      <w:r>
        <w:rPr>
          <w:rFonts w:ascii="Times New Roman" w:cs="Times New Roman" w:eastAsia="Times New Roman" w:hAnsi="Times New Roman"/>
          <w:b/>
          <w:bCs/>
          <w:color w:val="000000"/>
          <w:sz w:val="26"/>
          <w:szCs w:val="26"/>
        </w:rPr>
        <w:t xml:space="preserve">5.5 Capa de red</w:t>
      </w:r>
    </w:p>
    <w:p>
      <w:pPr>
        <w:spacing w:after="160" w:line="276"/>
        <w:jc w:val="both"/>
      </w:pPr>
      <w:r>
        <w:rPr>
          <w:rFonts w:ascii="Times New Roman" w:cs="Times New Roman" w:eastAsia="Times New Roman" w:hAnsi="Times New Roman"/>
          <w:sz w:val="24"/>
          <w:szCs w:val="24"/>
        </w:rPr>
        <w:t xml:space="preserve">IP proporciona el direccionamiento y el encaminamiento entre el cliente y el frontend de Render. Cada paquete lleva las direcciones IP de origen y destino, un límite de saltos y el identificador del protocolo de transporte. Antes de cualquier conexión, DNS resuelve el nombre del servicio a una dirección alcanzable, lo que en la captura aparece como el primer intercambio útil. La dirección observada pertenece a infraestructura compartida de Render y puede cambiar entre ejecuciones, por lo que el filtro se ancla también al nombre consultado por DNS.</w:t>
      </w:r>
    </w:p>
    <w:p>
      <w:pPr>
        <w:pStyle w:val="Heading2"/>
        <w:spacing w:after="160" w:before="260"/>
      </w:pPr>
      <w:r>
        <w:rPr>
          <w:rFonts w:ascii="Times New Roman" w:cs="Times New Roman" w:eastAsia="Times New Roman" w:hAnsi="Times New Roman"/>
          <w:b/>
          <w:bCs/>
          <w:color w:val="000000"/>
          <w:sz w:val="26"/>
          <w:szCs w:val="26"/>
        </w:rPr>
        <w:t xml:space="preserve">5.6 Capa de transporte</w:t>
      </w:r>
    </w:p>
    <w:p>
      <w:pPr>
        <w:spacing w:after="160" w:line="276"/>
        <w:jc w:val="both"/>
      </w:pPr>
      <w:r>
        <w:rPr>
          <w:rFonts w:ascii="Times New Roman" w:cs="Times New Roman" w:eastAsia="Times New Roman" w:hAnsi="Times New Roman"/>
          <w:sz w:val="24"/>
          <w:szCs w:val="24"/>
        </w:rPr>
        <w:t xml:space="preserve">TCP establece una conexión confiable mediante el saludo de tres vías. Los números de secuencia y las confirmaciones ordenan los bytes y permiten detectar pérdidas; la ventana regula el flujo. El puerto destino es 443 y el puerto origen es efímero. Sobre TCP se ejecuta TLS, que no es una capa del modelo pero sí determina lo que resulta visible: a partir del intercambio de claves, todo el contenido de aplicación viaja cifrado, y el análisis de la capa superior solo es posible con las claves de sesión registradas.</w:t>
      </w:r>
    </w:p>
    <w:p>
      <w:pPr>
        <w:pStyle w:val="Heading2"/>
        <w:spacing w:after="160" w:before="260"/>
      </w:pPr>
      <w:r>
        <w:rPr>
          <w:rFonts w:ascii="Times New Roman" w:cs="Times New Roman" w:eastAsia="Times New Roman" w:hAnsi="Times New Roman"/>
          <w:b/>
          <w:bCs/>
          <w:color w:val="000000"/>
          <w:sz w:val="26"/>
          <w:szCs w:val="26"/>
        </w:rPr>
        <w:t xml:space="preserve">5.7 Capa de aplicación</w:t>
      </w:r>
    </w:p>
    <w:p>
      <w:pPr>
        <w:spacing w:after="160" w:line="276"/>
        <w:jc w:val="both"/>
      </w:pPr>
      <w:r>
        <w:rPr>
          <w:rFonts w:ascii="Times New Roman" w:cs="Times New Roman" w:eastAsia="Times New Roman" w:hAnsi="Times New Roman"/>
          <w:sz w:val="24"/>
          <w:szCs w:val="24"/>
        </w:rPr>
        <w:t xml:space="preserve">HTTP transporta cada mensaje MCP como un </w:t>
      </w:r>
      <w:r>
        <w:rPr>
          <w:rFonts w:ascii="Courier New" w:cs="Courier New" w:eastAsia="Courier New" w:hAnsi="Courier New"/>
          <w:sz w:val="21"/>
          <w:szCs w:val="21"/>
        </w:rPr>
        <w:t xml:space="preserve">POST /mcp</w:t>
      </w:r>
      <w:r>
        <w:rPr>
          <w:rFonts w:ascii="Times New Roman" w:cs="Times New Roman" w:eastAsia="Times New Roman" w:hAnsi="Times New Roman"/>
          <w:sz w:val="24"/>
          <w:szCs w:val="24"/>
        </w:rPr>
        <w:t xml:space="preserve"> con cuerpo </w:t>
      </w:r>
      <w:r>
        <w:rPr>
          <w:rFonts w:ascii="Courier New" w:cs="Courier New" w:eastAsia="Courier New" w:hAnsi="Courier New"/>
          <w:sz w:val="21"/>
          <w:szCs w:val="21"/>
        </w:rPr>
        <w:t xml:space="preserve">application/json</w:t>
      </w:r>
      <w:r>
        <w:rPr>
          <w:rFonts w:ascii="Times New Roman" w:cs="Times New Roman" w:eastAsia="Times New Roman" w:hAnsi="Times New Roman"/>
          <w:sz w:val="24"/>
          <w:szCs w:val="24"/>
        </w:rPr>
        <w:t xml:space="preserve">. Dentro de ese cuerpo viaja un único objeto JSON-RPC 2.0. HTTPS protege tanto las cabeceras sensibles, incluida la de autorización, como el contenido JSON-RPC. La correlación entre solicitud y respuesta no depende del orden de llegada de los paquetes sino del campo </w:t>
      </w:r>
      <w:r>
        <w:rPr>
          <w:rFonts w:ascii="Courier New" w:cs="Courier New" w:eastAsia="Courier New" w:hAnsi="Courier New"/>
          <w:sz w:val="21"/>
          <w:szCs w:val="21"/>
        </w:rPr>
        <w:t xml:space="preserve">id</w:t>
      </w:r>
      <w:r>
        <w:rPr>
          <w:rFonts w:ascii="Times New Roman" w:cs="Times New Roman" w:eastAsia="Times New Roman" w:hAnsi="Times New Roman"/>
          <w:sz w:val="24"/>
          <w:szCs w:val="24"/>
        </w:rPr>
        <w:t xml:space="preserve">, que el servidor devuelve sin modificar; esta es justamente la función que JSON-RPC añade sobre el transporte. En paralelo, el registro de auditoría conserva las solicitudes, notificaciones y respuestas completas con marca de tiempo, lo que permite contrastar lo capturado en la red con lo que el anfitrión creyó enviar y recibir.</w:t>
      </w:r>
    </w:p>
    <w:p>
      <w:pPr>
        <w:pStyle w:val="Heading1"/>
        <w:spacing w:after="200" w:before="320"/>
      </w:pPr>
      <w:r>
        <w:rPr>
          <w:rFonts w:ascii="Times New Roman" w:cs="Times New Roman" w:eastAsia="Times New Roman" w:hAnsi="Times New Roman"/>
          <w:b/>
          <w:bCs/>
          <w:color w:val="000000"/>
          <w:sz w:val="28"/>
          <w:szCs w:val="28"/>
        </w:rPr>
        <w:t xml:space="preserve">6. Dificultades y soluciones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Reutilizar la misma lógica en local y en remoto. Se resolvió separando el protocolo del transporte, de modo que el ciclo MCP es idéntico sobre </w:t>
      </w:r>
      <w:r>
        <w:rPr>
          <w:rFonts w:ascii="Courier New" w:cs="Courier New" w:eastAsia="Courier New" w:hAnsi="Courier New"/>
          <w:sz w:val="21"/>
          <w:szCs w:val="21"/>
        </w:rPr>
        <w:t xml:space="preserve">stdio</w:t>
      </w:r>
      <w:r>
        <w:rPr>
          <w:rFonts w:ascii="Times New Roman" w:cs="Times New Roman" w:eastAsia="Times New Roman" w:hAnsi="Times New Roman"/>
          <w:sz w:val="24"/>
          <w:szCs w:val="24"/>
        </w:rPr>
        <w:t xml:space="preserve"> y sobre HTTP.</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Colisión de nombres entre servidores. Los servidores oficiales publican herramientas distintas, así que se antepone el nombre del servidor a cada herramienta descubierta.</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El servidor Git oficial no implementa </w:t>
      </w:r>
      <w:r>
        <w:rPr>
          <w:rFonts w:ascii="Courier New" w:cs="Courier New" w:eastAsia="Courier New" w:hAnsi="Courier New"/>
          <w:sz w:val="21"/>
          <w:szCs w:val="21"/>
        </w:rPr>
        <w:t xml:space="preserve">git_init</w:t>
      </w:r>
      <w:r>
        <w:rPr>
          <w:rFonts w:ascii="Times New Roman" w:cs="Times New Roman" w:eastAsia="Times New Roman" w:hAnsi="Times New Roman"/>
          <w:sz w:val="24"/>
          <w:szCs w:val="24"/>
        </w:rPr>
        <w:t xml:space="preserve">. El escenario prepara un repositorio descartable y ejecuta por MCP las operaciones que sí evalúa el enunciado.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El transporte remoto requiere estado de sesión, que </w:t>
      </w:r>
      <w:r>
        <w:rPr>
          <w:rFonts w:ascii="Courier New" w:cs="Courier New" w:eastAsia="Courier New" w:hAnsi="Courier New"/>
          <w:sz w:val="21"/>
          <w:szCs w:val="21"/>
        </w:rPr>
        <w:t xml:space="preserve">stdio</w:t>
      </w:r>
      <w:r>
        <w:rPr>
          <w:rFonts w:ascii="Times New Roman" w:cs="Times New Roman" w:eastAsia="Times New Roman" w:hAnsi="Times New Roman"/>
          <w:sz w:val="24"/>
          <w:szCs w:val="24"/>
        </w:rPr>
        <w:t xml:space="preserve"> no necesita. Se añadió la cabecera </w:t>
      </w:r>
      <w:r>
        <w:rPr>
          <w:rFonts w:ascii="Courier New" w:cs="Courier New" w:eastAsia="Courier New" w:hAnsi="Courier New"/>
          <w:sz w:val="21"/>
          <w:szCs w:val="21"/>
        </w:rPr>
        <w:t xml:space="preserve">Mcp-Session-Id</w:t>
      </w:r>
      <w:r>
        <w:rPr>
          <w:rFonts w:ascii="Times New Roman" w:cs="Times New Roman" w:eastAsia="Times New Roman" w:hAnsi="Times New Roman"/>
          <w:sz w:val="24"/>
          <w:szCs w:val="24"/>
        </w:rPr>
        <w:t xml:space="preserve"> y se acotó el despliegue a una instancia, con caducidad y límite de sesiones para no acumular estado indefinidamente.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Los errores HTTP dejaban al cliente esperando. Ahora un código de error falla de inmediato en lugar de agotar el tiempo de espera.</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El plan gratuito de Render suspende el servicio y el primer contacto puede tardar cerca de un minuto. La demostración remota ahora sondea </w:t>
      </w:r>
      <w:r>
        <w:rPr>
          <w:rFonts w:ascii="Courier New" w:cs="Courier New" w:eastAsia="Courier New" w:hAnsi="Courier New"/>
          <w:sz w:val="21"/>
          <w:szCs w:val="21"/>
        </w:rPr>
        <w:t xml:space="preserve">/healthz</w:t>
      </w:r>
      <w:r>
        <w:rPr>
          <w:rFonts w:ascii="Times New Roman" w:cs="Times New Roman" w:eastAsia="Times New Roman" w:hAnsi="Times New Roman"/>
          <w:sz w:val="24"/>
          <w:szCs w:val="24"/>
        </w:rPr>
        <w:t xml:space="preserve"> hasta que el servicio responde antes de medir el protocolo.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HTTPS impedía clasificar los mensajes en la captura. Se resolvió registrando las claves de sesión TLS con </w:t>
      </w:r>
      <w:r>
        <w:rPr>
          <w:rFonts w:ascii="Courier New" w:cs="Courier New" w:eastAsia="Courier New" w:hAnsi="Courier New"/>
          <w:sz w:val="21"/>
          <w:szCs w:val="21"/>
        </w:rPr>
        <w:t xml:space="preserve">--tls-keylog</w:t>
      </w:r>
      <w:r>
        <w:rPr>
          <w:rFonts w:ascii="Times New Roman" w:cs="Times New Roman" w:eastAsia="Times New Roman" w:hAnsi="Times New Roman"/>
          <w:sz w:val="24"/>
          <w:szCs w:val="24"/>
        </w:rPr>
        <w:t xml:space="preserve"> y descifrando en Wireshark, en lugar de renunciar al análisis o afirmar contenidos no observados.</w:t>
      </w:r>
    </w:p>
    <w:p>
      <w:pPr>
        <w:pStyle w:val="Heading1"/>
        <w:spacing w:after="200" w:before="320"/>
      </w:pPr>
      <w:r>
        <w:rPr>
          <w:rFonts w:ascii="Times New Roman" w:cs="Times New Roman" w:eastAsia="Times New Roman" w:hAnsi="Times New Roman"/>
          <w:b/>
          <w:bCs/>
          <w:color w:val="000000"/>
          <w:sz w:val="28"/>
          <w:szCs w:val="28"/>
        </w:rPr>
        <w:t xml:space="preserve">7. Conclusiones y comentarios</w:t>
      </w:r>
    </w:p>
    <w:p>
      <w:pPr>
        <w:spacing w:after="160" w:line="276"/>
        <w:jc w:val="both"/>
      </w:pPr>
      <w:r>
        <w:rPr>
          <w:rFonts w:ascii="Times New Roman" w:cs="Times New Roman" w:eastAsia="Times New Roman" w:hAnsi="Times New Roman"/>
          <w:sz w:val="24"/>
          <w:szCs w:val="24"/>
        </w:rPr>
        <w:t xml:space="preserve">MCP cumple su propósito: permite que un anfitrión coordine herramientas heterogéneas sin acoplar la lógica del modelo a cada servidor. El mismo chatbot usa los servidores oficiales de Filesystem y Git y un servidor propio sin contener una sola línea específica para ninguno de ellos, porque todo lo que necesita saber lo obtiene en tiempo de ejecución mediante </w:t>
      </w:r>
      <w:r>
        <w:rPr>
          <w:rFonts w:ascii="Courier New" w:cs="Courier New" w:eastAsia="Courier New" w:hAnsi="Courier New"/>
          <w:sz w:val="21"/>
          <w:szCs w:val="21"/>
        </w:rPr>
        <w:t xml:space="preserve">initialize</w:t>
      </w:r>
      <w:r>
        <w:rPr>
          <w:rFonts w:ascii="Times New Roman" w:cs="Times New Roman" w:eastAsia="Times New Roman" w:hAnsi="Times New Roman"/>
          <w:sz w:val="24"/>
          <w:szCs w:val="24"/>
        </w:rPr>
        <w:t xml:space="preserve"> y </w:t>
      </w:r>
      <w:r>
        <w:rPr>
          <w:rFonts w:ascii="Courier New" w:cs="Courier New" w:eastAsia="Courier New" w:hAnsi="Courier New"/>
          <w:sz w:val="21"/>
          <w:szCs w:val="21"/>
        </w:rPr>
        <w:t xml:space="preserve">tools/list</w:t>
      </w:r>
      <w:r>
        <w:rPr>
          <w:rFonts w:ascii="Times New Roman" w:cs="Times New Roman" w:eastAsia="Times New Roman" w:hAnsi="Times New Roman"/>
          <w:sz w:val="24"/>
          <w:szCs w:val="24"/>
        </w:rPr>
        <w:t xml:space="preserve">.</w:t>
      </w:r>
    </w:p>
    <w:p>
      <w:pPr>
        <w:spacing w:after="160" w:line="276"/>
        <w:jc w:val="both"/>
      </w:pPr>
      <w:r>
        <w:rPr>
          <w:rFonts w:ascii="Times New Roman" w:cs="Times New Roman" w:eastAsia="Times New Roman" w:hAnsi="Times New Roman"/>
          <w:sz w:val="24"/>
          <w:szCs w:val="24"/>
        </w:rPr>
        <w:t xml:space="preserve">La división de responsabilidades entre JSON-RPC y el transporte resultó ser la lección de diseño más valiosa. JSON-RPC resuelve la correlación entre solicitudes y respuestas mediante el campo </w:t>
      </w:r>
      <w:r>
        <w:rPr>
          <w:rFonts w:ascii="Courier New" w:cs="Courier New" w:eastAsia="Courier New" w:hAnsi="Courier New"/>
          <w:sz w:val="21"/>
          <w:szCs w:val="21"/>
        </w:rPr>
        <w:t xml:space="preserve">id</w:t>
      </w:r>
      <w:r>
        <w:rPr>
          <w:rFonts w:ascii="Times New Roman" w:cs="Times New Roman" w:eastAsia="Times New Roman" w:hAnsi="Times New Roman"/>
          <w:sz w:val="24"/>
          <w:szCs w:val="24"/>
        </w:rPr>
        <w:t xml:space="preserve">; el transporte solo resuelve el movimiento de bytes. Esa frontera es lo que hizo posible pasar de un proceso local a un servicio HTTPS en la nube sin modificar el ciclo del protocolo, y explica por qué el mismo servidor funciona en ambos modos.</w:t>
      </w:r>
    </w:p>
    <w:p>
      <w:pPr>
        <w:spacing w:after="160" w:line="276"/>
        <w:jc w:val="both"/>
      </w:pPr>
      <w:r>
        <w:rPr>
          <w:rFonts w:ascii="Times New Roman" w:cs="Times New Roman" w:eastAsia="Times New Roman" w:hAnsi="Times New Roman"/>
          <w:sz w:val="24"/>
          <w:szCs w:val="24"/>
        </w:rPr>
        <w:t xml:space="preserve">Implementar el protocolo manualmente, sin SDK, obligó a leer la especificación con detalle y expuso aspectos que una biblioteca habría ocultado: la diferencia entre solicitud y notificación, la obligación de no responder a una notificación, la negociación de versión y la necesidad de estado de sesión en cuanto el transporte deja de ser un proceso hijo.</w:t>
      </w:r>
    </w:p>
    <w:p>
      <w:pPr>
        <w:spacing w:after="160" w:line="276"/>
        <w:jc w:val="both"/>
      </w:pPr>
      <w:r>
        <w:rPr>
          <w:rFonts w:ascii="Times New Roman" w:cs="Times New Roman" w:eastAsia="Times New Roman" w:hAnsi="Times New Roman"/>
          <w:sz w:val="24"/>
          <w:szCs w:val="24"/>
        </w:rPr>
        <w:t xml:space="preserve">Desde la perspectiva de redes, el ejercicio dejó claro que la observabilidad de una aplicación distribuida depende de la capa en la que se mire. Un analizador de paquetes muestra con precisión el enlace, la red y el transporte, pero frente a TLS la capa de aplicación es opaca por diseño. La conclusión honesta no es que el análisis sea imposible, sino que requiere una decisión explícita: registrar las claves de sesión y descifrar, o correlacionar con los registros de la aplicación. Afirmar que un paquete cifrado contiene un método concreto, sin ninguna de esas dos cosas, sería una inferencia y no una observación.</w:t>
      </w:r>
    </w:p>
    <w:p>
      <w:pPr>
        <w:spacing w:after="160" w:line="276"/>
        <w:jc w:val="both"/>
      </w:pPr>
      <w:r>
        <w:rPr>
          <w:rFonts w:ascii="Times New Roman" w:cs="Times New Roman" w:eastAsia="Times New Roman" w:hAnsi="Times New Roman"/>
          <w:sz w:val="24"/>
          <w:szCs w:val="24"/>
        </w:rPr>
        <w:t xml:space="preserve">Finalmente, exponer un servicio a Internet cambió las prioridades del código. Un servidor que en local solo debía ser correcto pasó a necesitar autenticación comparada en tiempo constante, caducidad de sesiones, límites de tamaño de solicitud y apagado ordenado. Ninguna de esas preocupaciones existe cuando el servidor es un proceso hijo en la misma máquina.</w:t>
      </w:r>
    </w:p>
    <w:p>
      <w:pPr>
        <w:pStyle w:val="Heading1"/>
        <w:spacing w:after="200" w:before="320"/>
      </w:pPr>
      <w:r>
        <w:rPr>
          <w:rFonts w:ascii="Times New Roman" w:cs="Times New Roman" w:eastAsia="Times New Roman" w:hAnsi="Times New Roman"/>
          <w:b/>
          <w:bCs/>
          <w:color w:val="000000"/>
          <w:sz w:val="28"/>
          <w:szCs w:val="28"/>
        </w:rPr>
        <w:t xml:space="preserve">8. Referencias</w:t>
      </w:r>
    </w:p>
    <w:p>
      <w:pPr>
        <w:spacing w:after="120" w:line="276"/>
        <w:jc w:val="left"/>
      </w:pPr>
      <w:r>
        <w:rPr>
          <w:rFonts w:ascii="Times New Roman" w:cs="Times New Roman" w:eastAsia="Times New Roman" w:hAnsi="Times New Roman"/>
          <w:sz w:val="24"/>
          <w:szCs w:val="24"/>
        </w:rPr>
        <w:t xml:space="preserve">JSON-RPC Working Group. (2010). JSON-RPC 2.0 Specification. https://www.jsonrpc.org/specification</w:t>
      </w:r>
    </w:p>
    <w:p>
      <w:pPr>
        <w:spacing w:after="120" w:line="276"/>
        <w:jc w:val="left"/>
      </w:pPr>
      <w:r>
        <w:rPr>
          <w:rFonts w:ascii="Times New Roman" w:cs="Times New Roman" w:eastAsia="Times New Roman" w:hAnsi="Times New Roman"/>
          <w:sz w:val="24"/>
          <w:szCs w:val="24"/>
        </w:rPr>
        <w:t xml:space="preserve">Anthropic. (2025). Model Context Protocol — Architecture. https://modelcontextprotocol.io/docs/learn/architecture</w:t>
      </w:r>
    </w:p>
    <w:p>
      <w:pPr>
        <w:spacing w:after="120" w:line="276"/>
        <w:jc w:val="left"/>
      </w:pPr>
      <w:r>
        <w:rPr>
          <w:rFonts w:ascii="Times New Roman" w:cs="Times New Roman" w:eastAsia="Times New Roman" w:hAnsi="Times New Roman"/>
          <w:sz w:val="24"/>
          <w:szCs w:val="24"/>
        </w:rPr>
        <w:t xml:space="preserve">Anthropic. (2025). Model Context Protocol Specification, revisión 2025-11-25. https://modelcontextprotocol.io/specification/2025-11-25</w:t>
      </w:r>
    </w:p>
    <w:p>
      <w:pPr>
        <w:spacing w:after="120" w:line="276"/>
        <w:jc w:val="left"/>
      </w:pPr>
      <w:r>
        <w:rPr>
          <w:rFonts w:ascii="Times New Roman" w:cs="Times New Roman" w:eastAsia="Times New Roman" w:hAnsi="Times New Roman"/>
          <w:sz w:val="24"/>
          <w:szCs w:val="24"/>
        </w:rPr>
        <w:t xml:space="preserve">Model Context Protocol. (2025). Reference servers. GitHub. https://github.com/modelcontextprotocol/servers</w:t>
      </w:r>
    </w:p>
    <w:p>
      <w:pPr>
        <w:spacing w:after="120" w:line="276"/>
        <w:jc w:val="left"/>
      </w:pPr>
      <w:r>
        <w:rPr>
          <w:rFonts w:ascii="Times New Roman" w:cs="Times New Roman" w:eastAsia="Times New Roman" w:hAnsi="Times New Roman"/>
          <w:sz w:val="24"/>
          <w:szCs w:val="24"/>
        </w:rPr>
        <w:t xml:space="preserve">Anthropic. (2025). Messages API. https://docs.anthropic.com/en/api/messages</w:t>
      </w:r>
    </w:p>
    <w:p>
      <w:pPr>
        <w:spacing w:after="120" w:line="276"/>
        <w:jc w:val="left"/>
      </w:pPr>
      <w:r>
        <w:rPr>
          <w:rFonts w:ascii="Times New Roman" w:cs="Times New Roman" w:eastAsia="Times New Roman" w:hAnsi="Times New Roman"/>
          <w:sz w:val="24"/>
          <w:szCs w:val="24"/>
        </w:rPr>
        <w:t xml:space="preserve">Wireshark Foundation. (2026). TLS decryption using a pre-master secret log. https://wiki.wireshark.org/TLS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1efa5b3bb245db01fbdd5ff534be573c3d0952.png"/><Relationship Id="rId9" Type="http://schemas.openxmlformats.org/officeDocument/2006/relationships/image" Target="media/a25693cbd0e85912e0830c64c4f488d8affdb863.png"/><Relationship Id="rId10" Type="http://schemas.openxmlformats.org/officeDocument/2006/relationships/image" Target="media/3a541dcc4009e782928717f8b0f6d32caa61900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2026-09-15T06:34:24.453Z</dcterms:created>
  <dcterms:modified xsi:type="dcterms:W3CDTF">2026-09-15T06:34:24.454Z</dcterms:modified>
</cp:coreProperties>
</file>

<file path=docProps/custom.xml><?xml version="1.0" encoding="utf-8"?>
<Properties xmlns="http://schemas.openxmlformats.org/officeDocument/2006/custom-properties" xmlns:vt="http://schemas.openxmlformats.org/officeDocument/2006/docPropsVTypes"/>
</file>