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start="0" w:end="0"/>
        <w:jc w:val="start"/>
        <w:rPr/>
      </w:pPr>
      <w:bookmarkStart w:id="0" w:name="plataforma-web-interactiva-para-consulta"/>
      <w:bookmarkEnd w:id="0"/>
      <w:r>
        <w:rPr/>
        <w:t>Plataforma web interactiva para consultar estadísticas del Registro Nacional de Cáncer de Cuba</w:t>
      </w:r>
    </w:p>
    <w:p>
      <w:pPr>
        <w:pStyle w:val="BodyText"/>
        <w:bidi w:val="0"/>
        <w:jc w:val="start"/>
        <w:rPr/>
      </w:pPr>
      <w:r>
        <w:rPr>
          <w:rStyle w:val="Strong"/>
        </w:rPr>
        <w:t>Borrador de informe de Prácticas II y base del trabajo de diploma</w:t>
      </w:r>
      <w:r>
        <w:rPr/>
        <w:br/>
        <w:t>Autor: Danny Fiallo Muñoz</w:t>
        <w:br/>
        <w:t>Facultad de Ingeniería Informática, Universidad Tecnológica de La Habana «José Antonio Echeverría»</w:t>
        <w:br/>
        <w:t>Corte documental: 15 de octubre de 2026 Estado: borrador de trabajo; revisar título, tutoría, problema, objetivos y estructura con los tutores antes de entregar.</w:t>
      </w:r>
    </w:p>
    <w:p>
      <w:pPr>
        <w:pStyle w:val="BlockQuotation"/>
        <w:bidi w:val="0"/>
        <w:jc w:val="start"/>
        <w:rPr/>
      </w:pPr>
      <w:r>
        <w:rPr/>
        <w:t xml:space="preserve">Este es el texto maestro editable. Los pasajes marcados </w:t>
      </w:r>
      <w:r>
        <w:rPr>
          <w:rStyle w:val="Strong"/>
        </w:rPr>
        <w:t>PENDIENTE</w:t>
      </w:r>
      <w:r>
        <w:rPr/>
        <w:t xml:space="preserve"> requieren resultados propios, datos del RNC o una decisión de tutoría. Las referencias entre corchetes siguen una numeración provisional uniforme; antes de la entrega se normalizarán todos los metadatos en el estilo acordado. El material de </w:t>
      </w:r>
      <w:r>
        <w:rPr>
          <w:rStyle w:val="SourceText"/>
        </w:rPr>
        <w:t>rnc-research</w:t>
      </w:r>
      <w:r>
        <w:rPr/>
        <w:t xml:space="preserve"> permite fundamentar el documento, pero no reemplaza la validación de métodos ni los resultados del software.</w:t>
      </w:r>
    </w:p>
    <w:p>
      <w:pPr>
        <w:pStyle w:val="Heading2"/>
        <w:bidi w:val="0"/>
        <w:ind w:hanging="0" w:start="0" w:end="0"/>
        <w:jc w:val="start"/>
        <w:rPr/>
      </w:pPr>
      <w:bookmarkStart w:id="1" w:name="resumen-y-abstract"/>
      <w:bookmarkEnd w:id="1"/>
      <w:r>
        <w:rPr/>
        <w:t>Resumen y Abstract</w:t>
      </w:r>
    </w:p>
    <w:p>
      <w:pPr>
        <w:pStyle w:val="BodyText"/>
        <w:bidi w:val="0"/>
        <w:jc w:val="start"/>
        <w:rPr/>
      </w:pPr>
      <w:r>
        <w:rPr>
          <w:rStyle w:val="Strong"/>
        </w:rPr>
        <w:t>PENDIENTE DE RESULTADOS.</w:t>
      </w:r>
      <w:r>
        <w:rPr/>
        <w:t xml:space="preserve"> La guía académica [15] pide un resumen en español y otro en inglés, de hasta 250 palabras, con necesidad, objetivo, resultados e importancia. Redactarlos cuando existan resultados verificables; no anticipar que la plataforma ya fue implementada o evaluada.</w:t>
      </w:r>
    </w:p>
    <w:p>
      <w:pPr>
        <w:pStyle w:val="Heading2"/>
        <w:bidi w:val="0"/>
        <w:ind w:hanging="0" w:start="0" w:end="0"/>
        <w:jc w:val="start"/>
        <w:rPr/>
      </w:pPr>
      <w:bookmarkStart w:id="2" w:name="introduccion"/>
      <w:bookmarkEnd w:id="2"/>
      <w:r>
        <w:rPr/>
        <w:t>Introducción</w:t>
      </w:r>
    </w:p>
    <w:p>
      <w:pPr>
        <w:pStyle w:val="BodyText"/>
        <w:bidi w:val="0"/>
        <w:jc w:val="start"/>
        <w:rPr/>
      </w:pPr>
      <w:r>
        <w:rPr/>
        <w:t>El Registro Nacional de Cáncer (RNC) de Cuba es un registro poblacional de alcance nacional que reúne información sobre tumores diagnosticados en residentes permanentes. Su manual de procedimientos describe una red de unidades informantes, estructuras territoriales y una oficina central que revisa, valida, consolida y analiza los datos [3]. Las estadísticas resultantes apoyan el conocimiento epidemiológico del cáncer, la planificación sanitaria y la investigación [1], [3].</w:t>
      </w:r>
    </w:p>
    <w:p>
      <w:pPr>
        <w:pStyle w:val="BodyText"/>
        <w:bidi w:val="0"/>
        <w:jc w:val="start"/>
        <w:rPr/>
      </w:pPr>
      <w:r>
        <w:rPr/>
        <w:t>La Propuesta de Trabajo del proyecto identifica una limitación en la forma de difusión: los resultados disponibles se consultan principalmente mediante documentos PDF, lo que dificulta combinar dinámicamente año, territorio, sexo, edad y localización tumoral para responder preguntas específicas [1]. El Anuario Estadístico de Salud 2024 muestra que Cuba ya publica conteos y tasas de incidencia, incluidas tasas ajustadas por edad, pero las cifras de incidencia de 2022 allí recogidas están marcadas como preliminares [5]. La futura plataforma pública, según la dirección actual del proyecto, consultará exclusivamente cortes identificados como definitivos [17].</w:t>
      </w:r>
    </w:p>
    <w:p>
      <w:pPr>
        <w:pStyle w:val="BodyText"/>
        <w:bidi w:val="0"/>
        <w:jc w:val="start"/>
        <w:rPr/>
      </w:pPr>
      <w:r>
        <w:rPr/>
        <w:t>La necesidad de consulta dinámica tiene antecedentes internacionales, aunque esos sistemas responden a poblaciones y métodos propios. SEER*Explorer permite obtener gráficos, tablas y descargas a partir de dimensiones estadísticas [6]; Cancer Today facilita comparaciones internacionales mediante distintas visualizaciones [7]; ECIS distingue series históricas observadas de estimaciones y proyecciones [8]. Estos ejemplos orientan el diseño, pero sus poblaciones estándar, clasificaciones, reglas de publicación y métodos de cálculo no se trasladan automáticamente al RNC cubano.</w:t>
      </w:r>
    </w:p>
    <w:p>
      <w:pPr>
        <w:pStyle w:val="BodyText"/>
        <w:bidi w:val="0"/>
        <w:jc w:val="start"/>
        <w:rPr/>
      </w:pPr>
      <w:r>
        <w:rPr>
          <w:rStyle w:val="Strong"/>
        </w:rPr>
        <w:t>Situación problemática documentada.</w:t>
      </w:r>
      <w:r>
        <w:rPr/>
        <w:t xml:space="preserve"> Existe información epidemiológica oficial, pero la vía de publicación descrita en la propuesta limita la exploración interactiva y la obtención de resultados según combinaciones de variables de interés [1]. Para desarrollar una alternativa confiable hay que preservar la definición cubana de caso, la correspondencia entre casos y población, la confidencialidad de los registros individuales y la trazabilidad de los cortes publicados [3], [17], [18]. Ya se dispone de una muestra que permite documentar la estructura estable del CSV; aún faltan los cortes definitivos autorizados para el desarrollo, el diccionario semántico, las series ONEI detalladas y ejemplos oficiales de cálculo con que comprobar la aplicación de la estándar mundial.</w:t>
      </w:r>
    </w:p>
    <w:p>
      <w:pPr>
        <w:pStyle w:val="BodyText"/>
        <w:bidi w:val="0"/>
        <w:jc w:val="start"/>
        <w:rPr/>
      </w:pPr>
      <w:r>
        <w:rPr>
          <w:rStyle w:val="Strong"/>
        </w:rPr>
        <w:t>Problema de investigación propuesto; validar con tutores.</w:t>
      </w:r>
      <w:r>
        <w:rPr/>
        <w:t xml:space="preserve"> ¿Cómo facilitar la consulta pública e interactiva de estadísticas definitivas del RNC de Cuba y el cálculo reproducible de indicadores de incidencia a partir de datos y reglas aprobados por el registro?</w:t>
      </w:r>
    </w:p>
    <w:p>
      <w:pPr>
        <w:pStyle w:val="BodyText"/>
        <w:bidi w:val="0"/>
        <w:jc w:val="start"/>
        <w:rPr/>
      </w:pPr>
      <w:r>
        <w:rPr>
          <w:rStyle w:val="Strong"/>
        </w:rPr>
        <w:t>Objeto de estudio propuesto; validar con tutores.</w:t>
      </w:r>
      <w:r>
        <w:rPr/>
        <w:t xml:space="preserve"> La difusión y el análisis de estadísticas de registros poblacionales de cáncer mediante sistemas informáticos.</w:t>
      </w:r>
    </w:p>
    <w:p>
      <w:pPr>
        <w:pStyle w:val="BodyText"/>
        <w:bidi w:val="0"/>
        <w:jc w:val="start"/>
        <w:rPr/>
      </w:pPr>
      <w:r>
        <w:rPr>
          <w:rStyle w:val="Strong"/>
        </w:rPr>
        <w:t>Campo de acción propuesto; validar con tutores.</w:t>
      </w:r>
      <w:r>
        <w:rPr/>
        <w:t xml:space="preserve"> El diseño de una plataforma web para consultar y calcular estadísticas agregadas de incidencia del RNC de Cuba.</w:t>
      </w:r>
    </w:p>
    <w:p>
      <w:pPr>
        <w:pStyle w:val="BodyText"/>
        <w:bidi w:val="0"/>
        <w:jc w:val="start"/>
        <w:rPr/>
      </w:pPr>
      <w:r>
        <w:rPr>
          <w:rStyle w:val="Strong"/>
        </w:rPr>
        <w:t>Objetivo general del proyecto.</w:t>
      </w:r>
      <w:r>
        <w:rPr/>
        <w:t xml:space="preserve"> Desarrollar una plataforma web interactiva para consultar estadísticas de incidencia del RNC y calcular tasas crudas, específicas y ajustadas, de acuerdo con los datos y métodos aprobados [1], [2]. El verbo y el alcance exactos del objetivo académico deben acordarse con los tutores.</w:t>
      </w:r>
    </w:p>
    <w:p>
      <w:pPr>
        <w:pStyle w:val="BodyText"/>
        <w:bidi w:val="0"/>
        <w:jc w:val="start"/>
        <w:rPr/>
      </w:pPr>
      <w:r>
        <w:rPr>
          <w:rStyle w:val="Strong"/>
        </w:rPr>
        <w:t>Objetivos específicos de trabajo, propuestos para el informe:</w:t>
      </w:r>
    </w:p>
    <w:p>
      <w:pPr>
        <w:pStyle w:val="BodyText"/>
        <w:numPr>
          <w:ilvl w:val="0"/>
          <w:numId w:val="1"/>
        </w:numPr>
        <w:tabs>
          <w:tab w:val="clear" w:pos="1134"/>
          <w:tab w:val="left" w:pos="709" w:leader="none"/>
        </w:tabs>
        <w:bidi w:val="0"/>
        <w:spacing w:before="0" w:after="0"/>
        <w:ind w:hanging="283" w:start="709"/>
        <w:jc w:val="start"/>
        <w:rPr/>
      </w:pPr>
      <w:r>
        <w:rPr/>
        <w:t xml:space="preserve">Caracterizar el proceso estadístico del RNC, los indicadores necesarios y las soluciones comparables. </w:t>
      </w:r>
    </w:p>
    <w:p>
      <w:pPr>
        <w:pStyle w:val="BodyText"/>
        <w:numPr>
          <w:ilvl w:val="0"/>
          <w:numId w:val="1"/>
        </w:numPr>
        <w:tabs>
          <w:tab w:val="clear" w:pos="1134"/>
          <w:tab w:val="left" w:pos="709" w:leader="none"/>
        </w:tabs>
        <w:bidi w:val="0"/>
        <w:spacing w:before="0" w:after="0"/>
        <w:ind w:hanging="283" w:start="709"/>
        <w:jc w:val="start"/>
        <w:rPr/>
      </w:pPr>
      <w:r>
        <w:rPr/>
        <w:t xml:space="preserve">Definir los requisitos y el diseño de la plataforma a partir de las fuentes cubanas y la validación con especialistas. </w:t>
      </w:r>
    </w:p>
    <w:p>
      <w:pPr>
        <w:pStyle w:val="BodyText"/>
        <w:numPr>
          <w:ilvl w:val="0"/>
          <w:numId w:val="1"/>
        </w:numPr>
        <w:tabs>
          <w:tab w:val="clear" w:pos="1134"/>
          <w:tab w:val="left" w:pos="709" w:leader="none"/>
        </w:tabs>
        <w:bidi w:val="0"/>
        <w:spacing w:before="0" w:after="0"/>
        <w:ind w:hanging="283" w:start="709"/>
        <w:jc w:val="start"/>
        <w:rPr/>
      </w:pPr>
      <w:r>
        <w:rPr/>
        <w:t xml:space="preserve">Desarrollar el núcleo de consulta, cálculo y exportación previsto para Prácticas II. </w:t>
      </w:r>
    </w:p>
    <w:p>
      <w:pPr>
        <w:pStyle w:val="BodyText"/>
        <w:numPr>
          <w:ilvl w:val="0"/>
          <w:numId w:val="1"/>
        </w:numPr>
        <w:tabs>
          <w:tab w:val="clear" w:pos="1134"/>
          <w:tab w:val="left" w:pos="709" w:leader="none"/>
        </w:tabs>
        <w:bidi w:val="0"/>
        <w:ind w:hanging="283" w:start="709"/>
        <w:jc w:val="start"/>
        <w:rPr/>
      </w:pPr>
      <w:r>
        <w:rPr/>
        <w:t xml:space="preserve">Evaluar la corrección de los cálculos y la adecuación de las funciones implementadas mediante casos verificables. </w:t>
      </w:r>
    </w:p>
    <w:p>
      <w:pPr>
        <w:pStyle w:val="BodyText"/>
        <w:bidi w:val="0"/>
        <w:jc w:val="start"/>
        <w:rPr/>
      </w:pPr>
      <w:r>
        <w:rPr>
          <w:rStyle w:val="Strong"/>
        </w:rPr>
        <w:t>Tareas del trabajo, organizadas para hacer verificables los objetivos y sujetas al calendario del Anexo A [2]:</w:t>
      </w:r>
    </w:p>
    <w:tbl>
      <w:tblPr>
        <w:tblW w:w="8250" w:type="dxa"/>
        <w:jc w:val="start"/>
        <w:tblInd w:w="0" w:type="dxa"/>
        <w:tblLayout w:type="fixed"/>
        <w:tblCellMar>
          <w:top w:w="28" w:type="dxa"/>
          <w:start w:w="28" w:type="dxa"/>
          <w:bottom w:w="28" w:type="dxa"/>
          <w:end w:w="28" w:type="dxa"/>
        </w:tblCellMar>
      </w:tblPr>
      <w:tblGrid>
        <w:gridCol w:w="1021"/>
        <w:gridCol w:w="4459"/>
        <w:gridCol w:w="2770"/>
      </w:tblGrid>
      <w:tr>
        <w:trPr>
          <w:tblHeader w:val="true"/>
        </w:trPr>
        <w:tc>
          <w:tcPr>
            <w:tcW w:w="1021" w:type="dxa"/>
            <w:tcBorders/>
            <w:vAlign w:val="center"/>
          </w:tcPr>
          <w:p>
            <w:pPr>
              <w:pStyle w:val="TableHeading"/>
              <w:suppressLineNumbers/>
              <w:shd w:fill="D9EAF7" w:val="clear"/>
              <w:bidi w:val="0"/>
              <w:spacing w:before="0" w:after="140"/>
              <w:jc w:val="center"/>
              <w:rPr/>
            </w:pPr>
            <w:r>
              <w:rPr/>
              <w:t>Objetivo</w:t>
            </w:r>
          </w:p>
        </w:tc>
        <w:tc>
          <w:tcPr>
            <w:tcW w:w="4459" w:type="dxa"/>
            <w:tcBorders/>
            <w:vAlign w:val="center"/>
          </w:tcPr>
          <w:p>
            <w:pPr>
              <w:pStyle w:val="TableHeading"/>
              <w:suppressLineNumbers/>
              <w:shd w:fill="D9EAF7" w:val="clear"/>
              <w:bidi w:val="0"/>
              <w:spacing w:before="0" w:after="140"/>
              <w:jc w:val="center"/>
              <w:rPr/>
            </w:pPr>
            <w:r>
              <w:rPr/>
              <w:t>Tareas asociadas</w:t>
            </w:r>
          </w:p>
        </w:tc>
        <w:tc>
          <w:tcPr>
            <w:tcW w:w="2770" w:type="dxa"/>
            <w:tcBorders/>
            <w:vAlign w:val="center"/>
          </w:tcPr>
          <w:p>
            <w:pPr>
              <w:pStyle w:val="TableHeading"/>
              <w:suppressLineNumbers/>
              <w:shd w:fill="D9EAF7" w:val="clear"/>
              <w:bidi w:val="0"/>
              <w:spacing w:before="0" w:after="140"/>
              <w:jc w:val="center"/>
              <w:rPr/>
            </w:pPr>
            <w:r>
              <w:rPr/>
              <w:t>Evidencia que se documentará</w:t>
            </w:r>
          </w:p>
        </w:tc>
      </w:tr>
      <w:tr>
        <w:trPr/>
        <w:tc>
          <w:tcPr>
            <w:tcW w:w="1021" w:type="dxa"/>
            <w:tcBorders/>
            <w:vAlign w:val="center"/>
          </w:tcPr>
          <w:p>
            <w:pPr>
              <w:pStyle w:val="TableContents"/>
              <w:bidi w:val="0"/>
              <w:spacing w:before="0" w:after="140"/>
              <w:jc w:val="start"/>
              <w:rPr/>
            </w:pPr>
            <w:r>
              <w:rPr/>
              <w:t>1</w:t>
            </w:r>
          </w:p>
        </w:tc>
        <w:tc>
          <w:tcPr>
            <w:tcW w:w="4459" w:type="dxa"/>
            <w:tcBorders/>
            <w:vAlign w:val="center"/>
          </w:tcPr>
          <w:p>
            <w:pPr>
              <w:pStyle w:val="TableContents"/>
              <w:bidi w:val="0"/>
              <w:spacing w:before="0" w:after="140"/>
              <w:jc w:val="start"/>
              <w:rPr/>
            </w:pPr>
            <w:r>
              <w:rPr/>
              <w:t>1.1 Analizar el proceso del RNC, sus publicaciones y conceptos epidemiológicos. 1.2 Comparar plataformas y estudios pertinentes, identificando aportes y límites.</w:t>
            </w:r>
          </w:p>
        </w:tc>
        <w:tc>
          <w:tcPr>
            <w:tcW w:w="2770" w:type="dxa"/>
            <w:tcBorders/>
            <w:vAlign w:val="center"/>
          </w:tcPr>
          <w:p>
            <w:pPr>
              <w:pStyle w:val="TableContents"/>
              <w:bidi w:val="0"/>
              <w:spacing w:before="0" w:after="140"/>
              <w:jc w:val="start"/>
              <w:rPr/>
            </w:pPr>
            <w:r>
              <w:rPr/>
              <w:t>Capítulo 1: síntesis del Manual, definiciones, análisis crítico del benchmark y preguntas abiertas.</w:t>
            </w:r>
          </w:p>
        </w:tc>
      </w:tr>
      <w:tr>
        <w:trPr/>
        <w:tc>
          <w:tcPr>
            <w:tcW w:w="1021" w:type="dxa"/>
            <w:tcBorders/>
            <w:vAlign w:val="center"/>
          </w:tcPr>
          <w:p>
            <w:pPr>
              <w:pStyle w:val="TableContents"/>
              <w:bidi w:val="0"/>
              <w:spacing w:before="0" w:after="140"/>
              <w:jc w:val="start"/>
              <w:rPr/>
            </w:pPr>
            <w:r>
              <w:rPr/>
              <w:t>2</w:t>
            </w:r>
          </w:p>
        </w:tc>
        <w:tc>
          <w:tcPr>
            <w:tcW w:w="4459" w:type="dxa"/>
            <w:tcBorders/>
            <w:vAlign w:val="center"/>
          </w:tcPr>
          <w:p>
            <w:pPr>
              <w:pStyle w:val="TableContents"/>
              <w:bidi w:val="0"/>
              <w:spacing w:before="0" w:after="140"/>
              <w:jc w:val="start"/>
              <w:rPr/>
            </w:pPr>
            <w:r>
              <w:rPr/>
              <w:t>2.1 Precisar requisitos funcionales y de calidad a partir de fuentes y reuniones. 2.2 Elaborar el modelo conceptual y las vistas de diseño. 2.3 Comparar tecnologías y construir prototipos de consulta y administración.</w:t>
            </w:r>
          </w:p>
        </w:tc>
        <w:tc>
          <w:tcPr>
            <w:tcW w:w="2770" w:type="dxa"/>
            <w:tcBorders/>
            <w:vAlign w:val="center"/>
          </w:tcPr>
          <w:p>
            <w:pPr>
              <w:pStyle w:val="TableContents"/>
              <w:bidi w:val="0"/>
              <w:spacing w:before="0" w:after="140"/>
              <w:jc w:val="start"/>
              <w:rPr/>
            </w:pPr>
            <w:r>
              <w:rPr/>
              <w:t>Capítulo 2: matriz trazable de requisitos, diagramas, prototipos, comparación y decisiones justificadas.</w:t>
            </w:r>
          </w:p>
        </w:tc>
      </w:tr>
      <w:tr>
        <w:trPr/>
        <w:tc>
          <w:tcPr>
            <w:tcW w:w="1021" w:type="dxa"/>
            <w:tcBorders/>
            <w:vAlign w:val="center"/>
          </w:tcPr>
          <w:p>
            <w:pPr>
              <w:pStyle w:val="TableContents"/>
              <w:bidi w:val="0"/>
              <w:spacing w:before="0" w:after="140"/>
              <w:jc w:val="start"/>
              <w:rPr/>
            </w:pPr>
            <w:r>
              <w:rPr/>
              <w:t>3</w:t>
            </w:r>
          </w:p>
        </w:tc>
        <w:tc>
          <w:tcPr>
            <w:tcW w:w="4459" w:type="dxa"/>
            <w:tcBorders/>
            <w:vAlign w:val="center"/>
          </w:tcPr>
          <w:p>
            <w:pPr>
              <w:pStyle w:val="TableContents"/>
              <w:bidi w:val="0"/>
              <w:spacing w:before="0" w:after="140"/>
              <w:jc w:val="start"/>
              <w:rPr/>
            </w:pPr>
            <w:r>
              <w:rPr/>
              <w:t>3.1 Implementar las capacidades previstas de cálculo, consulta, frecuencias y exportación, de acuerdo con reglas y datos disponibles.</w:t>
            </w:r>
          </w:p>
        </w:tc>
        <w:tc>
          <w:tcPr>
            <w:tcW w:w="2770" w:type="dxa"/>
            <w:tcBorders/>
            <w:vAlign w:val="center"/>
          </w:tcPr>
          <w:p>
            <w:pPr>
              <w:pStyle w:val="TableContents"/>
              <w:bidi w:val="0"/>
              <w:spacing w:before="0" w:after="140"/>
              <w:jc w:val="start"/>
              <w:rPr/>
            </w:pPr>
            <w:r>
              <w:rPr/>
              <w:t>Capítulo 3: descripción de componentes y versión realmente desarrollada.</w:t>
            </w:r>
          </w:p>
        </w:tc>
      </w:tr>
      <w:tr>
        <w:trPr/>
        <w:tc>
          <w:tcPr>
            <w:tcW w:w="1021" w:type="dxa"/>
            <w:tcBorders/>
            <w:vAlign w:val="center"/>
          </w:tcPr>
          <w:p>
            <w:pPr>
              <w:pStyle w:val="TableContents"/>
              <w:bidi w:val="0"/>
              <w:spacing w:before="0" w:after="140"/>
              <w:jc w:val="start"/>
              <w:rPr/>
            </w:pPr>
            <w:r>
              <w:rPr/>
              <w:t>4</w:t>
            </w:r>
          </w:p>
        </w:tc>
        <w:tc>
          <w:tcPr>
            <w:tcW w:w="4459" w:type="dxa"/>
            <w:tcBorders/>
            <w:vAlign w:val="center"/>
          </w:tcPr>
          <w:p>
            <w:pPr>
              <w:pStyle w:val="TableContents"/>
              <w:bidi w:val="0"/>
              <w:spacing w:before="0" w:after="140"/>
              <w:jc w:val="start"/>
              <w:rPr/>
            </w:pPr>
            <w:r>
              <w:rPr/>
              <w:t>4.1 Diseñar y ejecutar casos de verificación con resultados de referencia aprobados. 4.2 Evaluar las tareas de los prototipos según perfiles y criterios acordados.</w:t>
            </w:r>
          </w:p>
        </w:tc>
        <w:tc>
          <w:tcPr>
            <w:tcW w:w="2770" w:type="dxa"/>
            <w:tcBorders/>
            <w:vAlign w:val="center"/>
          </w:tcPr>
          <w:p>
            <w:pPr>
              <w:pStyle w:val="TableContents"/>
              <w:bidi w:val="0"/>
              <w:spacing w:before="0" w:after="140"/>
              <w:jc w:val="start"/>
              <w:rPr/>
            </w:pPr>
            <w:r>
              <w:rPr/>
              <w:t>Capítulo 3: escenarios, parámetros, resultados observados, incidencias y límites de la evaluación.</w:t>
            </w:r>
          </w:p>
        </w:tc>
      </w:tr>
    </w:tbl>
    <w:p>
      <w:pPr>
        <w:pStyle w:val="BodyText"/>
        <w:bidi w:val="0"/>
        <w:jc w:val="start"/>
        <w:rPr/>
      </w:pPr>
      <w:r>
        <w:rPr/>
        <w:t>La tabla organiza el plan documental; no declara que las tareas estén concluidas. La implementación segura del panel, la migración histórica y las pruebas integrales de seguridad, rendimiento y usabilidad pertenecen a etapas posteriores según el Anexo. El prototipo administrativo sí forma parte del diseño de Prácticas II.</w:t>
      </w:r>
    </w:p>
    <w:p>
      <w:pPr>
        <w:pStyle w:val="BodyText"/>
        <w:bidi w:val="0"/>
        <w:jc w:val="start"/>
        <w:rPr/>
      </w:pPr>
      <w:r>
        <w:rPr>
          <w:rStyle w:val="Strong"/>
        </w:rPr>
        <w:t>Valor práctico esperado.</w:t>
      </w:r>
      <w:r>
        <w:rPr/>
        <w:t xml:space="preserve"> Una consulta pública que presente estadísticas definitivas con filtros, contexto metodológico y opciones de exportación puede reducir el trabajo manual necesario para explorar las tablas actuales. Es un valor esperado del proyecto; su magnitud solo podrá afirmarse después de evaluar el producto con usuarios y datos reales.</w:t>
      </w:r>
    </w:p>
    <w:p>
      <w:pPr>
        <w:pStyle w:val="BodyText"/>
        <w:bidi w:val="0"/>
        <w:jc w:val="start"/>
        <w:rPr/>
      </w:pPr>
      <w:r>
        <w:rPr/>
        <w:t>El informe se organiza en tres capítulos. El primero expone fundamentos del registro, indicadores, publicaciones y referentes de diseño. El segundo describe requisitos y la solución propuesta. El tercero documentará la implementación y la validación realmente realizadas durante la práctica. La estructura puede ajustarse con los tutores conforme a la guía académica [15].</w:t>
      </w:r>
    </w:p>
    <w:p>
      <w:pPr>
        <w:pStyle w:val="Heading1"/>
        <w:bidi w:val="0"/>
        <w:ind w:hanging="0" w:start="0" w:end="0"/>
        <w:jc w:val="start"/>
        <w:rPr/>
      </w:pPr>
      <w:bookmarkStart w:id="3" w:name="capitulo-1-fundamentos-y-antecedentes"/>
      <w:bookmarkEnd w:id="3"/>
      <w:r>
        <w:rPr/>
        <w:t>Capítulo 1. Fundamentos y antecedentes</w:t>
      </w:r>
    </w:p>
    <w:p>
      <w:pPr>
        <w:pStyle w:val="Heading2"/>
        <w:bidi w:val="0"/>
        <w:ind w:hanging="0" w:start="0" w:end="0"/>
        <w:jc w:val="start"/>
        <w:rPr/>
      </w:pPr>
      <w:bookmarkStart w:id="4" w:name="introduccion-del-capitulo"/>
      <w:bookmarkEnd w:id="4"/>
      <w:r>
        <w:rPr/>
        <w:t>Introducción del capítulo</w:t>
      </w:r>
    </w:p>
    <w:p>
      <w:pPr>
        <w:pStyle w:val="BodyText"/>
        <w:bidi w:val="0"/>
        <w:jc w:val="start"/>
        <w:rPr/>
      </w:pPr>
      <w:r>
        <w:rPr/>
        <w:t>Se presentan los conceptos y fuentes necesarios para diseñar la plataforma: el proceso del RNC, las medidas de incidencia, la naturaleza de los datos publicados, las experiencias de otros sistemas y los criterios de usabilidad y accesibilidad. La revisión delimita qué afirmaciones son reglas documentadas de Cuba y cuáles son patrones externos por evaluar.</w:t>
      </w:r>
    </w:p>
    <w:p>
      <w:pPr>
        <w:pStyle w:val="Heading2"/>
        <w:bidi w:val="0"/>
        <w:ind w:hanging="0" w:start="0" w:end="0"/>
        <w:jc w:val="start"/>
        <w:rPr/>
      </w:pPr>
      <w:bookmarkStart w:id="5" w:name="11-el-registro-poblacional-y-el-proceso-"/>
      <w:bookmarkEnd w:id="5"/>
      <w:r>
        <w:rPr/>
        <w:t>1.1. El registro poblacional y el proceso cubano</w:t>
      </w:r>
    </w:p>
    <w:p>
      <w:pPr>
        <w:pStyle w:val="BodyText"/>
        <w:bidi w:val="0"/>
        <w:jc w:val="start"/>
        <w:rPr/>
      </w:pPr>
      <w:r>
        <w:rPr/>
        <w:t>El Manual de Procedimientos del RNC, versión VII de 2024, describe un registro poblacional que integra reportes de distintas fuentes sanitarias y territoriales. Las unidades informantes notifican tumores; los niveles territoriales revisan y completan la información; y la oficina central realiza controles, consolida los registros y prepara estadísticas. El proceso documentado incluye codificación, evaluación de completitud y consistencia, búsqueda de duplicados y múltiples primarios, pareamiento con mortalidad y cierres periódicos [3]. Esta descripción se toma como evidencia de la versión VII; el RNC debe confirmar si continúa vigente para el trabajo.</w:t>
      </w:r>
    </w:p>
    <w:p>
      <w:pPr>
        <w:pStyle w:val="BodyText"/>
        <w:bidi w:val="0"/>
        <w:jc w:val="start"/>
        <w:rPr/>
      </w:pPr>
      <w:r>
        <w:rPr/>
        <w:t>Esta cadena establece una frontera importante para el proyecto. La plataforma propuesta es una capa de consulta y difusión de estadísticas provenientes de cortes que el sistema interno ya entrega como definitivos. No sustituye el registro, la investigación de casos, la codificación clínica ni la deduplicación. El Anexo A contempla un prototipo de incorporación técnica, mientras que la aclaración del proyecto indica que el portal no debe corregir los casos ni cambiar su estado epidemiológico [2], [18].</w:t>
      </w:r>
    </w:p>
    <w:p>
      <w:pPr>
        <w:pStyle w:val="BodyText"/>
        <w:bidi w:val="0"/>
        <w:jc w:val="start"/>
        <w:rPr/>
      </w:pPr>
      <w:r>
        <w:rPr/>
        <w:t>La unidad epidemiológica debe declararse en cada resultado. El Manual establece un reporte por cada tumor primario registrable y describe reglas para tumores múltiples [3]. En una aclaración del 15 de octubre, el estudiante comunicó que cada fila del archivo representa un tumor de una persona y que los identificadores permiten reconocer a quienes tienen varios tumores y contar personas sin duplicarlos [35]. Esta aclaración responde el grano comunicado, pero no reemplaza el diccionario autorizado ni identifica qué columna constituye la clave de persona. El diseño debe distinguir conteos de tumores y de personas, registrar cuál produjo la cifra y mantener los identificadores fuera de la interfaz pública. La estructura estable de 84 columnas permite validar el formato; autorización, semántica y contrato siguen pendientes [24], [35].</w:t>
      </w:r>
    </w:p>
    <w:p>
      <w:pPr>
        <w:pStyle w:val="BodyText"/>
        <w:bidi w:val="0"/>
        <w:jc w:val="start"/>
        <w:rPr/>
      </w:pPr>
      <w:r>
        <w:rPr/>
        <w:t>Para los denominadores, se requiere población oficial de ONEI con desglose compatible de año, territorio, sexo y edad. El Manual define población residente media como semisuma de la población al inicio y al final del año; ONEI distingue población media de efectiva [3], [19]. ONEI informa que la población efectiva se calcula anualmente por ecuación compensadora, por lo que no equivale a realizar un censo cada uno o dos años. El Anuario Demográfico 2024 ofrece cuadros resumidos y declara que hay tabulaciones y bases adicionales disponibles para quienes las requieran; la matriz exacta por municipio y edad simple no se localizó como descarga abierta. ONEI anunció además sus indicadores demográficos de 2025 [36]. Por tanto, la fuente y el método anual están confirmados, pero siguen por identificar la tabla/edición, el canal de acceso a la desagregación requerida y si cada tasa utilizará población media o efectiva [19], [35], [36].</w:t>
      </w:r>
    </w:p>
    <w:p>
      <w:pPr>
        <w:pStyle w:val="BodyText"/>
        <w:bidi w:val="0"/>
        <w:jc w:val="start"/>
        <w:rPr/>
      </w:pPr>
      <w:r>
        <w:rPr/>
        <w:t>Las clasificaciones también cumplen funciones diferentes. El Manual indica el uso de CIE-O-3 para topografía y morfología de personas de 20 años o más diagnosticadas desde 2007 y de ICCC-3 para menores de 20 años; las tablas generales del Anuario presentan categorías CIE-10 y las infantiles ICCC-3 [3], [5]. Una interfaz debe declarar qué clasificación y versión sustentan cada filtro o salida. La correspondencia entre códigos de registro y categorías de publicación debe seguir las reglas que confirme el RNC.</w:t>
      </w:r>
    </w:p>
    <w:p>
      <w:pPr>
        <w:pStyle w:val="BodyText"/>
        <w:bidi w:val="0"/>
        <w:jc w:val="start"/>
        <w:rPr/>
      </w:pPr>
      <w:r>
        <w:rPr/>
        <w:t>La confidencialidad se aplica tanto a los registros fuente como a las salidas. El Manual limita la custodia y comunicación de información nominal; la normativa cubana consultada establece principios de protección de datos personales [3], [20]. La documentación disponible no determina un umbral de supresión para consultas públicas. Por eso, cualquier regla de celdas pequeñas, combinaciones de filtros y exportaciones se considera una decisión institucional pendiente, no un valor que pueda copiarse de un referente extranjero.</w:t>
      </w:r>
    </w:p>
    <w:p>
      <w:pPr>
        <w:pStyle w:val="Heading2"/>
        <w:bidi w:val="0"/>
        <w:ind w:hanging="0" w:start="0" w:end="0"/>
        <w:jc w:val="start"/>
        <w:rPr/>
      </w:pPr>
      <w:bookmarkStart w:id="6" w:name="12-medidas-de-incidencia-y-comparabilida"/>
      <w:bookmarkEnd w:id="6"/>
      <w:r>
        <w:rPr/>
        <w:t>1.2. Medidas de incidencia y comparabilidad</w:t>
      </w:r>
    </w:p>
    <w:p>
      <w:pPr>
        <w:pStyle w:val="BodyText"/>
        <w:bidi w:val="0"/>
        <w:jc w:val="start"/>
        <w:rPr/>
      </w:pPr>
      <w:r>
        <w:rPr/>
        <w:t>El Anexo A incluye tasas crudas, específicas por edad, ajustadas por métodos directo e indirecto e intervalos de confianza [2]. Antes de implementarlas, el informe distingue tres denominadores que suelen confundirse: el total de casos que sirve de base a una frecuencia relativa, la población residente usada en una tasa y la población estándar cuyos pesos se usan para el ajuste.</w:t>
      </w:r>
    </w:p>
    <w:p>
      <w:pPr>
        <w:pStyle w:val="BodyText"/>
        <w:bidi w:val="0"/>
        <w:jc w:val="start"/>
        <w:rPr/>
      </w:pPr>
      <w:r>
        <w:rPr/>
        <w:t xml:space="preserve">La </w:t>
      </w:r>
      <w:r>
        <w:rPr>
          <w:rStyle w:val="Strong"/>
        </w:rPr>
        <w:t>frecuencia absoluta</w:t>
      </w:r>
      <w:r>
        <w:rPr/>
        <w:t xml:space="preserve"> cuenta la unidad declarada en una selección. La </w:t>
      </w:r>
      <w:r>
        <w:rPr>
          <w:rStyle w:val="Strong"/>
        </w:rPr>
        <w:t>frecuencia relativa</w:t>
      </w:r>
      <w:r>
        <w:rPr/>
        <w:t xml:space="preserve"> expresa una parte respecto de un universo definido y no es una tasa poblacional. El Manual RNC incluye la emisión de frecuencias absolutas y relativas entre sus objetivos [3]. Un artículo basado en datos del RNC ilustra universos distintos: presenta la proporción de tumores digestivos sobre el total de cánceres y una distribución de etapa por sitio que conserva la categoría sin etapa [37]. Esto prueba el uso y publicación de porcentajes, pero no especifica una regla común para todas las tablas. El denominador, el tratamiento de desconocidos y el redondeo deben acompañar cada indicador; los conteos por tumor y por persona deben rotularse por separado [35], [37]. La tabla citada contiene una nota de exclusión de códigos que debe aclararse antes de usarla como patrón exacto de cálculo.</w:t>
      </w:r>
    </w:p>
    <w:p>
      <w:pPr>
        <w:pStyle w:val="BodyText"/>
        <w:bidi w:val="0"/>
        <w:jc w:val="start"/>
        <w:rPr/>
      </w:pPr>
      <w:r>
        <w:rPr/>
        <w:t xml:space="preserve">La </w:t>
      </w:r>
      <w:r>
        <w:rPr>
          <w:rStyle w:val="Strong"/>
        </w:rPr>
        <w:t>tasa cruda</w:t>
      </w:r>
      <w:r>
        <w:rPr/>
        <w:t xml:space="preserve"> relaciona el total de casos nuevos con la población correspondiente al mismo periodo y se expresa aquí como tasa anual por 100 000 habitantes:</w:t>
      </w:r>
    </w:p>
    <w:p>
      <w:pPr>
        <w:pStyle w:val="PreformattedText"/>
        <w:bidi w:val="0"/>
        <w:spacing w:before="0" w:after="283"/>
        <w:jc w:val="start"/>
        <w:rPr/>
      </w:pPr>
      <w:r>
        <w:rPr>
          <w:rStyle w:val="SourceText"/>
        </w:rPr>
        <w:t>Tasa cruda = (casos nuevos del periodo / población correspondiente) × 100 000</w:t>
      </w:r>
    </w:p>
    <w:p>
      <w:pPr>
        <w:pStyle w:val="BodyText"/>
        <w:bidi w:val="0"/>
        <w:jc w:val="start"/>
        <w:rPr/>
      </w:pPr>
      <w:r>
        <w:rPr/>
        <w:t xml:space="preserve">La </w:t>
      </w:r>
      <w:r>
        <w:rPr>
          <w:rStyle w:val="Strong"/>
        </w:rPr>
        <w:t>tasa específica</w:t>
      </w:r>
      <w:r>
        <w:rPr/>
        <w:t xml:space="preserve"> aplica la relación dentro de un estrato compatible, por ejemplo, sexo, territorio y grupo de edad:</w:t>
      </w:r>
    </w:p>
    <w:p>
      <w:pPr>
        <w:pStyle w:val="PreformattedText"/>
        <w:bidi w:val="0"/>
        <w:spacing w:before="0" w:after="283"/>
        <w:jc w:val="start"/>
        <w:rPr/>
      </w:pPr>
      <w:r>
        <w:rPr>
          <w:rStyle w:val="SourceText"/>
        </w:rPr>
        <w:t>Tasa específicaᵢ = (casos nuevosᵢ / poblaciónᵢ) × 100 000</w:t>
      </w:r>
    </w:p>
    <w:p>
      <w:pPr>
        <w:pStyle w:val="BodyText"/>
        <w:bidi w:val="0"/>
        <w:jc w:val="start"/>
        <w:rPr/>
      </w:pPr>
      <w:r>
        <w:rPr/>
        <w:t>Estas expresiones son definiciones generales para orientar el análisis. La fecha que determina el año de incidencia, la elección entre población media o efectiva, el manejo de estratos sin denominador y el redondeo aún requieren una especificación reproducible y un ejemplo aceptado por el RNC [3]–[5], [19].</w:t>
      </w:r>
    </w:p>
    <w:p>
      <w:pPr>
        <w:pStyle w:val="BodyText"/>
        <w:bidi w:val="0"/>
        <w:jc w:val="start"/>
        <w:rPr/>
      </w:pPr>
      <w:r>
        <w:rPr/>
        <w:t xml:space="preserve">La </w:t>
      </w:r>
      <w:r>
        <w:rPr>
          <w:rStyle w:val="Strong"/>
        </w:rPr>
        <w:t>estandarización directa por edad</w:t>
      </w:r>
      <w:r>
        <w:rPr/>
        <w:t xml:space="preserve"> resume tasas específicas aplicándolas a una distribución estándar. Manual RNC y Anuario cubano se refieren a la población estándar mundial [3], [5]. La aclaración del estudiante precisa que la población residente cubana/ONEI proporciona los denominadores y que para cáncer se seguirá la metodología internacional [21]. IARC/CI5 XII documenta la población Segi modificada por Doll, con 18 grupos quinquenales desde 0–4 hasta 85+ y pesos que suman 100 000 [10], [22]. La expresión reproducible es:</w:t>
      </w:r>
    </w:p>
    <w:p>
      <w:pPr>
        <w:pStyle w:val="PreformattedText"/>
        <w:bidi w:val="0"/>
        <w:spacing w:before="0" w:after="283"/>
        <w:jc w:val="start"/>
        <w:rPr/>
      </w:pPr>
      <w:r>
        <w:rPr>
          <w:rStyle w:val="SourceText"/>
        </w:rPr>
        <w:t>ASR = Σ (peso estándarᵢ × casosᵢ / poblaciónᵢ)</w:t>
      </w:r>
    </w:p>
    <w:p>
      <w:pPr>
        <w:pStyle w:val="BodyText"/>
        <w:bidi w:val="0"/>
        <w:jc w:val="start"/>
        <w:rPr/>
      </w:pPr>
      <w:r>
        <w:rPr/>
        <w:t>cuando se usan los pesos absolutos de Segi–Doll y tasas específicas expresadas como casos por persona-año. Equivalentemente, se ponderan las tasas específicas por 100 000 con los pesos normalizados. Casos y población ONEI deben corresponder a los mismos estratos. La estándar no es el denominador de la tasa ni una estimación de la estructura demográfica cubana [10], [22].</w:t>
      </w:r>
    </w:p>
    <w:p>
      <w:pPr>
        <w:pStyle w:val="BodyText"/>
        <w:bidi w:val="0"/>
        <w:jc w:val="start"/>
        <w:rPr/>
      </w:pPr>
      <w:r>
        <w:rPr/>
        <w:t>La referencia Segi–Doll permite desarrollar y revisar una lógica piloto, pero todavía no autoriza a presentar el resultado como el método validado por el RNC. Se necesita reproducir una cifra cubana con los casos, denominadores, grupos etarios y redondeo usados en la publicación correspondiente. Además, la compatibilidad de edades desconocidas y de grupos nuevos con el estándar debe resolverse explícitamente. Las edades simples de ONEI permiten formar grupos nuevos, pero no justifican subdividir automáticamente un quinquenio de la población estándar [4], [22].</w:t>
      </w:r>
    </w:p>
    <w:p>
      <w:pPr>
        <w:pStyle w:val="BodyText"/>
        <w:bidi w:val="0"/>
        <w:jc w:val="start"/>
        <w:rPr/>
      </w:pPr>
      <w:r>
        <w:rPr/>
        <w:t xml:space="preserve">El </w:t>
      </w:r>
      <w:r>
        <w:rPr>
          <w:rStyle w:val="Strong"/>
        </w:rPr>
        <w:t>ajuste indirecto</w:t>
      </w:r>
      <w:r>
        <w:rPr/>
        <w:t xml:space="preserve"> forma parte del Anexo, pero las fuentes cubanas consultadas aún no definen qué indicador indirecto, población de referencia, supuestos o interpretación se espera. No se presenta aquí una fórmula cerrada; se requiere una especificación y un ejemplo aprobados antes de implementarlo o compararlo con el método directo [2], [16].</w:t>
      </w:r>
    </w:p>
    <w:p>
      <w:pPr>
        <w:pStyle w:val="BodyText"/>
        <w:bidi w:val="0"/>
        <w:jc w:val="start"/>
        <w:rPr/>
      </w:pPr>
      <w:r>
        <w:rPr/>
        <w:t xml:space="preserve">Los </w:t>
      </w:r>
      <w:r>
        <w:rPr>
          <w:rStyle w:val="Strong"/>
        </w:rPr>
        <w:t>intervalos de confianza</w:t>
      </w:r>
      <w:r>
        <w:rPr/>
        <w:t xml:space="preserve"> también están en el Anexo como tarea prevista. El RNC no los utiliza actualmente según la aclaración del estudiante [18], [35]. El equipo propone incorporarlos con método y nivel de confianza documentados por indicador, y ajustar la decisión si el RNC indica una convención; esta es una propuesta estadística, no una salida vigente del Registro. CI5 XII proporciona un error estándar para el ASR bajo supuestos de Poisson, pero ese error no determina por sí solo un intervalo. Ceros, pocos casos y tasas ajustadas requieren un método defendible y una validación reproducible antes de publicar cifras [10], [22], [35].</w:t>
      </w:r>
    </w:p>
    <w:p>
      <w:pPr>
        <w:pStyle w:val="BodyText"/>
        <w:bidi w:val="0"/>
        <w:jc w:val="start"/>
        <w:rPr/>
      </w:pPr>
      <w:r>
        <w:rPr/>
        <w:t>Las tablas clásicas conservarán los grupos estáticos quinquenales de 0–4 a 85+. El estudiante propone que el futuro panel admita agrupaciones adicionales por rango, como nomencladores, sin sustituir ni restringir los grupos clásicos [4], [35]. El diseño puede conservar cada definición con nombre, límites, inclusividad y versión; permitir rangos personalizados no implica que cualquier partición sea válida para tasas ajustadas. Las tasas requieren denominadores compatibles, y el ajuste directo requiere una correspondencia válida con los grupos de la estándar. Hasta definirla, los rangos nuevos pueden describir conteos/frecuencias, mientras las tasas que no puedan calcularse con denominadores/pesos compatibles deben mostrarse como no disponibles.</w:t>
      </w:r>
    </w:p>
    <w:p>
      <w:pPr>
        <w:pStyle w:val="Heading2"/>
        <w:bidi w:val="0"/>
        <w:ind w:hanging="0" w:start="0" w:end="0"/>
        <w:jc w:val="start"/>
        <w:rPr/>
      </w:pPr>
      <w:bookmarkStart w:id="7" w:name="13-calidad-oportunidad-y-naturaleza-del-"/>
      <w:bookmarkEnd w:id="7"/>
      <w:r>
        <w:rPr/>
        <w:t>1.3. Calidad, oportunidad y naturaleza del dato</w:t>
      </w:r>
    </w:p>
    <w:p>
      <w:pPr>
        <w:pStyle w:val="BodyText"/>
        <w:bidi w:val="0"/>
        <w:jc w:val="start"/>
        <w:rPr/>
      </w:pPr>
      <w:r>
        <w:rPr/>
        <w:t>El Manual del RNC describe controles de exhaustividad, completitud, validez y consistencia, y documenta indicadores internos de calidad [3]. CI5 XII trata comparabilidad y calidad como condiciones para interpretar estadísticas entre registros [10]. Para esta plataforma conviene separar al menos cuatro etapas que pueden introducir problemas distintos: calidad del proceso de registro, integridad técnica del archivo recibido, corrección de transformaciones/cálculos y claridad de la salida pública.</w:t>
      </w:r>
    </w:p>
    <w:p>
      <w:pPr>
        <w:pStyle w:val="BodyText"/>
        <w:bidi w:val="0"/>
        <w:jc w:val="start"/>
        <w:rPr/>
      </w:pPr>
      <w:r>
        <w:rPr/>
        <w:t>El archivo estructural observado habilita una comprobación preliminar de codificación, separador, encabezados y orden. No basta para definir reglas de tipo, dominio, campos obligatorios, integridad entre entidades o reconciliación de conteos: se necesita un diccionario autorizado y conocer el grano. Una discrepancia técnica puede impedir la carga, pero la herramienta no debe intentar corregir el contenido clínico. La fuente del corte, fecha, identificador y huella del archivo son metadatos propuestos para poder explicar qué conjunto produjo un resultado; su contrato exacto debe revisarse con el RNC [18], [24].</w:t>
      </w:r>
    </w:p>
    <w:p>
      <w:pPr>
        <w:pStyle w:val="BodyText"/>
        <w:bidi w:val="0"/>
        <w:jc w:val="start"/>
        <w:rPr/>
      </w:pPr>
      <w:r>
        <w:rPr/>
        <w:t>También deben distinguirse el año de diagnóstico, la fecha de corte/publicación y la fecha de incorporación al portal. El Anuario Estadístico de Salud 2024 presenta la incidencia de 2022 como preliminar [5], mientras la dirección de producto indicó que la plataforma recibirá archivos definitivos [18]. No se ha demostrado que ambos conjuntos correspondan al mismo corte. En consecuencia, una cifra preliminar del Anuario sirve como contexto publicado, no como sustituto automático del archivo definitivo. ECIS aporta un ejemplo de etiquetado diferenciado para datos históricos, estimaciones y proyecciones; sus estados no definen los estados del RNC [8].</w:t>
      </w:r>
    </w:p>
    <w:p>
      <w:pPr>
        <w:pStyle w:val="Heading2"/>
        <w:bidi w:val="0"/>
        <w:ind w:hanging="0" w:start="0" w:end="0"/>
        <w:jc w:val="start"/>
        <w:rPr/>
      </w:pPr>
      <w:bookmarkStart w:id="8" w:name="14-sistemas-y-estudios-comparables"/>
      <w:bookmarkEnd w:id="8"/>
      <w:r>
        <w:rPr/>
        <w:t>1.4. Sistemas y estudios comparables</w:t>
      </w:r>
    </w:p>
    <w:p>
      <w:pPr>
        <w:pStyle w:val="BodyText"/>
        <w:bidi w:val="0"/>
        <w:jc w:val="start"/>
        <w:rPr/>
      </w:pPr>
      <w:r>
        <w:rPr/>
        <w:t>El benchmark se organiza por tareas que una persona puede realizar, naturaleza de los datos y transparencia metodológica. Se examinan soluciones para reconocer patrones de interfaz y riesgos, no para declarar equivalentes sus estadísticas a las del RNC [6]–[9], [14].</w:t>
      </w:r>
    </w:p>
    <w:tbl>
      <w:tblPr>
        <w:tblW w:w="8250" w:type="dxa"/>
        <w:jc w:val="start"/>
        <w:tblInd w:w="0" w:type="dxa"/>
        <w:tblLayout w:type="fixed"/>
        <w:tblCellMar>
          <w:top w:w="28" w:type="dxa"/>
          <w:start w:w="28" w:type="dxa"/>
          <w:bottom w:w="28" w:type="dxa"/>
          <w:end w:w="28" w:type="dxa"/>
        </w:tblCellMar>
      </w:tblPr>
      <w:tblGrid>
        <w:gridCol w:w="1354"/>
        <w:gridCol w:w="3612"/>
        <w:gridCol w:w="3284"/>
      </w:tblGrid>
      <w:tr>
        <w:trPr>
          <w:tblHeader w:val="true"/>
        </w:trPr>
        <w:tc>
          <w:tcPr>
            <w:tcW w:w="1354" w:type="dxa"/>
            <w:tcBorders/>
            <w:vAlign w:val="center"/>
          </w:tcPr>
          <w:p>
            <w:pPr>
              <w:pStyle w:val="TableHeading"/>
              <w:suppressLineNumbers/>
              <w:shd w:fill="D9EAF7" w:val="clear"/>
              <w:bidi w:val="0"/>
              <w:spacing w:before="0" w:after="140"/>
              <w:jc w:val="center"/>
              <w:rPr/>
            </w:pPr>
            <w:r>
              <w:rPr/>
              <w:t>Referente</w:t>
            </w:r>
          </w:p>
        </w:tc>
        <w:tc>
          <w:tcPr>
            <w:tcW w:w="3612" w:type="dxa"/>
            <w:tcBorders/>
            <w:vAlign w:val="center"/>
          </w:tcPr>
          <w:p>
            <w:pPr>
              <w:pStyle w:val="TableHeading"/>
              <w:suppressLineNumbers/>
              <w:shd w:fill="D9EAF7" w:val="clear"/>
              <w:bidi w:val="0"/>
              <w:spacing w:before="0" w:after="140"/>
              <w:jc w:val="center"/>
              <w:rPr/>
            </w:pPr>
            <w:r>
              <w:rPr/>
              <w:t>Aporte observado</w:t>
            </w:r>
          </w:p>
        </w:tc>
        <w:tc>
          <w:tcPr>
            <w:tcW w:w="3284" w:type="dxa"/>
            <w:tcBorders/>
            <w:vAlign w:val="center"/>
          </w:tcPr>
          <w:p>
            <w:pPr>
              <w:pStyle w:val="TableHeading"/>
              <w:suppressLineNumbers/>
              <w:shd w:fill="D9EAF7" w:val="clear"/>
              <w:bidi w:val="0"/>
              <w:spacing w:before="0" w:after="140"/>
              <w:jc w:val="center"/>
              <w:rPr/>
            </w:pPr>
            <w:r>
              <w:rPr/>
              <w:t>Riesgo o límite de transferencia</w:t>
            </w:r>
          </w:p>
        </w:tc>
      </w:tr>
      <w:tr>
        <w:trPr/>
        <w:tc>
          <w:tcPr>
            <w:tcW w:w="1354" w:type="dxa"/>
            <w:tcBorders/>
            <w:vAlign w:val="center"/>
          </w:tcPr>
          <w:p>
            <w:pPr>
              <w:pStyle w:val="TableContents"/>
              <w:bidi w:val="0"/>
              <w:spacing w:before="0" w:after="140"/>
              <w:jc w:val="start"/>
              <w:rPr/>
            </w:pPr>
            <w:r>
              <w:rPr/>
              <w:t>SEER*Explorer [6]</w:t>
            </w:r>
          </w:p>
        </w:tc>
        <w:tc>
          <w:tcPr>
            <w:tcW w:w="3612" w:type="dxa"/>
            <w:tcBorders/>
            <w:vAlign w:val="center"/>
          </w:tcPr>
          <w:p>
            <w:pPr>
              <w:pStyle w:val="TableContents"/>
              <w:bidi w:val="0"/>
              <w:spacing w:before="0" w:after="140"/>
              <w:jc w:val="start"/>
              <w:rPr/>
            </w:pPr>
            <w:r>
              <w:rPr/>
              <w:t>Explorar estadísticas con dimensiones, tablas, gráficos, descargas y notas metodológicas.</w:t>
            </w:r>
          </w:p>
        </w:tc>
        <w:tc>
          <w:tcPr>
            <w:tcW w:w="3284" w:type="dxa"/>
            <w:tcBorders/>
            <w:vAlign w:val="center"/>
          </w:tcPr>
          <w:p>
            <w:pPr>
              <w:pStyle w:val="TableContents"/>
              <w:bidi w:val="0"/>
              <w:spacing w:before="0" w:after="140"/>
              <w:jc w:val="start"/>
              <w:rPr/>
            </w:pPr>
            <w:r>
              <w:rPr/>
              <w:t>Población, cobertura, clasificaciones y políticas de EE. UU.; no define filtros ni cálculos cubanos.</w:t>
            </w:r>
          </w:p>
        </w:tc>
      </w:tr>
      <w:tr>
        <w:trPr/>
        <w:tc>
          <w:tcPr>
            <w:tcW w:w="1354" w:type="dxa"/>
            <w:tcBorders/>
            <w:vAlign w:val="center"/>
          </w:tcPr>
          <w:p>
            <w:pPr>
              <w:pStyle w:val="TableContents"/>
              <w:bidi w:val="0"/>
              <w:spacing w:before="0" w:after="140"/>
              <w:jc w:val="start"/>
              <w:rPr/>
            </w:pPr>
            <w:r>
              <w:rPr/>
              <w:t>Cancer Today / GCO [7]</w:t>
            </w:r>
          </w:p>
        </w:tc>
        <w:tc>
          <w:tcPr>
            <w:tcW w:w="3612" w:type="dxa"/>
            <w:tcBorders/>
            <w:vAlign w:val="center"/>
          </w:tcPr>
          <w:p>
            <w:pPr>
              <w:pStyle w:val="TableContents"/>
              <w:bidi w:val="0"/>
              <w:spacing w:before="0" w:after="140"/>
              <w:jc w:val="start"/>
              <w:rPr/>
            </w:pPr>
            <w:r>
              <w:rPr/>
              <w:t>Comparar estadísticas por país, sexo, localización y medida con vistas gráficas y tabulares. Es el referente explícito de visualización señalado para el proyecto [1].</w:t>
            </w:r>
          </w:p>
        </w:tc>
        <w:tc>
          <w:tcPr>
            <w:tcW w:w="3284" w:type="dxa"/>
            <w:tcBorders/>
            <w:vAlign w:val="center"/>
          </w:tcPr>
          <w:p>
            <w:pPr>
              <w:pStyle w:val="TableContents"/>
              <w:bidi w:val="0"/>
              <w:spacing w:before="0" w:after="140"/>
              <w:jc w:val="start"/>
              <w:rPr/>
            </w:pPr>
            <w:r>
              <w:rPr/>
              <w:t>Sus estimaciones internacionales y métodos no equivalen a los cortes observados y definitivos del RNC.</w:t>
            </w:r>
          </w:p>
        </w:tc>
      </w:tr>
      <w:tr>
        <w:trPr/>
        <w:tc>
          <w:tcPr>
            <w:tcW w:w="1354" w:type="dxa"/>
            <w:tcBorders/>
            <w:vAlign w:val="center"/>
          </w:tcPr>
          <w:p>
            <w:pPr>
              <w:pStyle w:val="TableContents"/>
              <w:bidi w:val="0"/>
              <w:spacing w:before="0" w:after="140"/>
              <w:jc w:val="start"/>
              <w:rPr/>
            </w:pPr>
            <w:r>
              <w:rPr/>
              <w:t>ECIS [8]</w:t>
            </w:r>
          </w:p>
        </w:tc>
        <w:tc>
          <w:tcPr>
            <w:tcW w:w="3612" w:type="dxa"/>
            <w:tcBorders/>
            <w:vAlign w:val="center"/>
          </w:tcPr>
          <w:p>
            <w:pPr>
              <w:pStyle w:val="TableContents"/>
              <w:bidi w:val="0"/>
              <w:spacing w:before="0" w:after="140"/>
              <w:jc w:val="start"/>
              <w:rPr/>
            </w:pPr>
            <w:r>
              <w:rPr/>
              <w:t>Diferenciar observaciones históricas de estimaciones/proyecciones y aportar contexto metodológico.</w:t>
            </w:r>
          </w:p>
        </w:tc>
        <w:tc>
          <w:tcPr>
            <w:tcW w:w="3284" w:type="dxa"/>
            <w:tcBorders/>
            <w:vAlign w:val="center"/>
          </w:tcPr>
          <w:p>
            <w:pPr>
              <w:pStyle w:val="TableContents"/>
              <w:bidi w:val="0"/>
              <w:spacing w:before="0" w:after="140"/>
              <w:jc w:val="start"/>
              <w:rPr/>
            </w:pPr>
            <w:r>
              <w:rPr/>
              <w:t>Sus estados, territorios y métodos no establecen una política cubana.</w:t>
            </w:r>
          </w:p>
        </w:tc>
      </w:tr>
      <w:tr>
        <w:trPr/>
        <w:tc>
          <w:tcPr>
            <w:tcW w:w="1354" w:type="dxa"/>
            <w:tcBorders/>
            <w:vAlign w:val="center"/>
          </w:tcPr>
          <w:p>
            <w:pPr>
              <w:pStyle w:val="TableContents"/>
              <w:bidi w:val="0"/>
              <w:spacing w:before="0" w:after="140"/>
              <w:jc w:val="start"/>
              <w:rPr/>
            </w:pPr>
            <w:r>
              <w:rPr/>
              <w:t>U.S. Cancer Statistics [9]</w:t>
            </w:r>
          </w:p>
        </w:tc>
        <w:tc>
          <w:tcPr>
            <w:tcW w:w="3612" w:type="dxa"/>
            <w:tcBorders/>
            <w:vAlign w:val="center"/>
          </w:tcPr>
          <w:p>
            <w:pPr>
              <w:pStyle w:val="TableContents"/>
              <w:bidi w:val="0"/>
              <w:spacing w:before="0" w:after="140"/>
              <w:jc w:val="start"/>
              <w:rPr/>
            </w:pPr>
            <w:r>
              <w:rPr/>
              <w:t>Notas técnicas, descarga y documentación sobre incertidumbre y supresión.</w:t>
            </w:r>
          </w:p>
        </w:tc>
        <w:tc>
          <w:tcPr>
            <w:tcW w:w="3284" w:type="dxa"/>
            <w:tcBorders/>
            <w:vAlign w:val="center"/>
          </w:tcPr>
          <w:p>
            <w:pPr>
              <w:pStyle w:val="TableContents"/>
              <w:bidi w:val="0"/>
              <w:spacing w:before="0" w:after="140"/>
              <w:jc w:val="start"/>
              <w:rPr/>
            </w:pPr>
            <w:r>
              <w:rPr/>
              <w:t>Sus umbrales de publicación responden a su jurisdicción y no se copiarán para Cuba.</w:t>
            </w:r>
          </w:p>
        </w:tc>
      </w:tr>
      <w:tr>
        <w:trPr/>
        <w:tc>
          <w:tcPr>
            <w:tcW w:w="1354" w:type="dxa"/>
            <w:tcBorders/>
            <w:vAlign w:val="center"/>
          </w:tcPr>
          <w:p>
            <w:pPr>
              <w:pStyle w:val="TableContents"/>
              <w:bidi w:val="0"/>
              <w:spacing w:before="0" w:after="140"/>
              <w:jc w:val="start"/>
              <w:rPr/>
            </w:pPr>
            <w:r>
              <w:rPr/>
              <w:t>CaRDO [14]</w:t>
            </w:r>
          </w:p>
        </w:tc>
        <w:tc>
          <w:tcPr>
            <w:tcW w:w="3612" w:type="dxa"/>
            <w:tcBorders/>
            <w:vAlign w:val="center"/>
          </w:tcPr>
          <w:p>
            <w:pPr>
              <w:pStyle w:val="TableContents"/>
              <w:bidi w:val="0"/>
              <w:spacing w:before="0" w:after="140"/>
              <w:jc w:val="start"/>
              <w:rPr/>
            </w:pPr>
            <w:r>
              <w:rPr/>
              <w:t>Ejemplo de herramienta para que registros publiquen estadísticas poblacionales a partir de una estructura de datos definida.</w:t>
            </w:r>
          </w:p>
        </w:tc>
        <w:tc>
          <w:tcPr>
            <w:tcW w:w="3284" w:type="dxa"/>
            <w:tcBorders/>
            <w:vAlign w:val="center"/>
          </w:tcPr>
          <w:p>
            <w:pPr>
              <w:pStyle w:val="TableContents"/>
              <w:bidi w:val="0"/>
              <w:spacing w:before="0" w:after="140"/>
              <w:jc w:val="start"/>
              <w:rPr/>
            </w:pPr>
            <w:r>
              <w:rPr/>
              <w:t>La compatibilidad con el CSV, grupos, métodos y condiciones institucionales del RNC requiere evaluación antes de escoger tecnología.</w:t>
            </w:r>
          </w:p>
        </w:tc>
      </w:tr>
    </w:tbl>
    <w:p>
      <w:pPr>
        <w:pStyle w:val="BodyText"/>
        <w:bidi w:val="0"/>
        <w:jc w:val="start"/>
        <w:rPr/>
      </w:pPr>
      <w:r>
        <w:rPr/>
        <w:t>La literatura examinada refuerza que la presencia de visualizaciones no demuestra utilidad. Una revisión exploratoria de 89 publicaciones sobre dashboards de salud pública informó que 42 estaban accesibles durante su revisión y 26 estudios comunicaban una evaluación de usabilidad [12]. Otro estudio analizó 210 dashboards estadounidenses y distinguió usabilidad de utilidad analítica [13]. Esos resultados describen sus respectivas muestras; no son métricas de la futura plataforma cubana. Sí justifican documentar tareas de usuario y evaluar si los resultados pueden encontrarse, interpretarse y exportarse.</w:t>
      </w:r>
    </w:p>
    <w:p>
      <w:pPr>
        <w:pStyle w:val="BodyText"/>
        <w:bidi w:val="0"/>
        <w:jc w:val="start"/>
        <w:rPr/>
      </w:pPr>
      <w:r>
        <w:rPr/>
        <w:t>La síntesis del benchmark identifica patrones útiles para estudiar: exploración multidimensional, presentación conjunta de tabla y gráfico, notas metodológicas visibles, identificación de la naturaleza/estado de los datos, consideración de pocos casos y evaluación con tareas reales [6]–[9], [12]–[14]. Cada patrón debe convertirse en una pregunta de diseño y contrastarse con necesidades del RNC; por ejemplo, el control de celdas pequeñas debe motivar una consulta institucional, no la adopción del umbral de USCS.</w:t>
      </w:r>
    </w:p>
    <w:p>
      <w:pPr>
        <w:pStyle w:val="Heading2"/>
        <w:bidi w:val="0"/>
        <w:ind w:hanging="0" w:start="0" w:end="0"/>
        <w:jc w:val="start"/>
        <w:rPr/>
      </w:pPr>
      <w:bookmarkStart w:id="9" w:name="15-experiencia-de-uso-accesibilidad-y-co"/>
      <w:bookmarkEnd w:id="9"/>
      <w:r>
        <w:rPr/>
        <w:t>1.5. Experiencia de uso, accesibilidad y conectividad</w:t>
      </w:r>
    </w:p>
    <w:p>
      <w:pPr>
        <w:pStyle w:val="BodyText"/>
        <w:bidi w:val="0"/>
        <w:jc w:val="start"/>
        <w:rPr/>
      </w:pPr>
      <w:r>
        <w:rPr/>
        <w:t>El producto se proyecta como una web pública para perfiles diversos, entre ellos público general, profesionales de salud e investigadores [1], [17]. Estos perfiles no deben confundirse con roles autenticados del panel, que siguen sin especificación. La interfaz debería ayudar a seleccionar filtros, comprender qué población y periodo representa cada resultado, distinguir una frecuencia de una tasa y obtener el resultado en una tabla o descarga. Estas son necesidades derivadas del análisis y deberán priorizarse con tareas observadas o confirmadas por usuarios.</w:t>
      </w:r>
    </w:p>
    <w:p>
      <w:pPr>
        <w:pStyle w:val="BodyText"/>
        <w:bidi w:val="0"/>
        <w:jc w:val="start"/>
        <w:rPr/>
      </w:pPr>
      <w:r>
        <w:rPr/>
        <w:t>WCAG 2.2 proporciona criterios internacionales de accesibilidad web que orientan el diseño [11]. Aún no se ha acordado nivel de conformidad ni método de evaluación. Como criterios de diseño iniciales se consideran navegación completa por teclado, foco visible, etiquetas asociadas a controles, contraste suficiente, alternativas textuales para gráficos y disponibilidad de la información tabular equivalente. Cada criterio deberá asociarse luego a una comprobación concreta y a un criterio de aceptación.</w:t>
      </w:r>
    </w:p>
    <w:p>
      <w:pPr>
        <w:pStyle w:val="BodyText"/>
        <w:bidi w:val="0"/>
        <w:jc w:val="start"/>
        <w:rPr/>
      </w:pPr>
      <w:r>
        <w:rPr/>
        <w:t>La conectividad limitada en Cuba es una condición de producto recogida por el proyecto [1], [17]. En esta fase se propone priorizar páginas y gráficos ligeros, evitar descargas innecesarias y ofrecer tablas que sigan siendo útiles cuando una visualización no se cargue. No se fija aún un tiempo objetivo: antes se deben acordar dispositivos, tamaño de datos, infraestructura y perfiles de conexión para que una medición futura sea interpretable.</w:t>
      </w:r>
    </w:p>
    <w:p>
      <w:pPr>
        <w:pStyle w:val="Heading2"/>
        <w:bidi w:val="0"/>
        <w:ind w:hanging="0" w:start="0" w:end="0"/>
        <w:jc w:val="start"/>
        <w:rPr/>
      </w:pPr>
      <w:bookmarkStart w:id="10" w:name="16-sintesis-de-fundamentos-y-criterios-p"/>
      <w:bookmarkEnd w:id="10"/>
      <w:r>
        <w:rPr/>
        <w:t>1.6. Síntesis de fundamentos y criterios para la solución</w:t>
      </w:r>
    </w:p>
    <w:p>
      <w:pPr>
        <w:pStyle w:val="BodyText"/>
        <w:bidi w:val="0"/>
        <w:jc w:val="start"/>
        <w:rPr/>
      </w:pPr>
      <w:r>
        <w:rPr/>
        <w:t>La revisión conduce a criterios de diseño preliminares. Cada uno deberá convertirse en requisito trazable y validarse en la fase correspondiente:</w:t>
      </w:r>
    </w:p>
    <w:p>
      <w:pPr>
        <w:pStyle w:val="BodyText"/>
        <w:numPr>
          <w:ilvl w:val="0"/>
          <w:numId w:val="2"/>
        </w:numPr>
        <w:tabs>
          <w:tab w:val="clear" w:pos="1134"/>
          <w:tab w:val="left" w:pos="709" w:leader="none"/>
        </w:tabs>
        <w:bidi w:val="0"/>
        <w:spacing w:before="0" w:after="0"/>
        <w:ind w:hanging="283" w:start="709"/>
        <w:jc w:val="start"/>
        <w:rPr/>
      </w:pPr>
      <w:r>
        <w:rPr/>
        <w:t xml:space="preserve">Separar la consulta pública y la incorporación técnica de la captura, depuración clínica y decisión de definitividad que realiza el sistema interno. </w:t>
      </w:r>
    </w:p>
    <w:p>
      <w:pPr>
        <w:pStyle w:val="BodyText"/>
        <w:numPr>
          <w:ilvl w:val="0"/>
          <w:numId w:val="2"/>
        </w:numPr>
        <w:tabs>
          <w:tab w:val="clear" w:pos="1134"/>
          <w:tab w:val="left" w:pos="709" w:leader="none"/>
        </w:tabs>
        <w:bidi w:val="0"/>
        <w:spacing w:before="0" w:after="0"/>
        <w:ind w:hanging="283" w:start="709"/>
        <w:jc w:val="start"/>
        <w:rPr/>
      </w:pPr>
      <w:r>
        <w:rPr/>
        <w:t xml:space="preserve">Asociar cada resultado con fuente/corte, periodo, territorio, clasificación, grupo etario, denominador, estándar de ajuste y método aplicable. </w:t>
      </w:r>
    </w:p>
    <w:p>
      <w:pPr>
        <w:pStyle w:val="BodyText"/>
        <w:numPr>
          <w:ilvl w:val="0"/>
          <w:numId w:val="2"/>
        </w:numPr>
        <w:tabs>
          <w:tab w:val="clear" w:pos="1134"/>
          <w:tab w:val="left" w:pos="709" w:leader="none"/>
        </w:tabs>
        <w:bidi w:val="0"/>
        <w:spacing w:before="0" w:after="0"/>
        <w:ind w:hanging="283" w:start="709"/>
        <w:jc w:val="start"/>
        <w:rPr/>
      </w:pPr>
      <w:r>
        <w:rPr/>
        <w:t xml:space="preserve">Preservar las bandas quinquenales clásicas y permitir estudiar agrupaciones adicionales sin inventar reglas de cálculo. </w:t>
      </w:r>
    </w:p>
    <w:p>
      <w:pPr>
        <w:pStyle w:val="BodyText"/>
        <w:numPr>
          <w:ilvl w:val="0"/>
          <w:numId w:val="2"/>
        </w:numPr>
        <w:tabs>
          <w:tab w:val="clear" w:pos="1134"/>
          <w:tab w:val="left" w:pos="709" w:leader="none"/>
        </w:tabs>
        <w:bidi w:val="0"/>
        <w:spacing w:before="0" w:after="0"/>
        <w:ind w:hanging="283" w:start="709"/>
        <w:jc w:val="start"/>
        <w:rPr/>
      </w:pPr>
      <w:r>
        <w:rPr/>
        <w:t xml:space="preserve">Presentar conteos, tasas, unidades y contexto metodológico mediante tabla y visualización accesibles. </w:t>
      </w:r>
    </w:p>
    <w:p>
      <w:pPr>
        <w:pStyle w:val="BodyText"/>
        <w:numPr>
          <w:ilvl w:val="0"/>
          <w:numId w:val="2"/>
        </w:numPr>
        <w:tabs>
          <w:tab w:val="clear" w:pos="1134"/>
          <w:tab w:val="left" w:pos="709" w:leader="none"/>
        </w:tabs>
        <w:bidi w:val="0"/>
        <w:spacing w:before="0" w:after="0"/>
        <w:ind w:hanging="283" w:start="709"/>
        <w:jc w:val="start"/>
        <w:rPr/>
      </w:pPr>
      <w:r>
        <w:rPr/>
        <w:t xml:space="preserve">Comprobar el cálculo con ejemplos aprobados antes de publicar resultados estadísticos. </w:t>
      </w:r>
    </w:p>
    <w:p>
      <w:pPr>
        <w:pStyle w:val="BodyText"/>
        <w:numPr>
          <w:ilvl w:val="0"/>
          <w:numId w:val="2"/>
        </w:numPr>
        <w:tabs>
          <w:tab w:val="clear" w:pos="1134"/>
          <w:tab w:val="left" w:pos="709" w:leader="none"/>
        </w:tabs>
        <w:bidi w:val="0"/>
        <w:spacing w:before="0" w:after="0"/>
        <w:ind w:hanging="283" w:start="709"/>
        <w:jc w:val="start"/>
        <w:rPr/>
      </w:pPr>
      <w:r>
        <w:rPr/>
        <w:t xml:space="preserve">Validar la estructura CSV conocida sin deducir significado o grano desde nombres abreviados de columnas. </w:t>
      </w:r>
    </w:p>
    <w:p>
      <w:pPr>
        <w:pStyle w:val="BodyText"/>
        <w:numPr>
          <w:ilvl w:val="0"/>
          <w:numId w:val="2"/>
        </w:numPr>
        <w:tabs>
          <w:tab w:val="clear" w:pos="1134"/>
          <w:tab w:val="left" w:pos="709" w:leader="none"/>
        </w:tabs>
        <w:bidi w:val="0"/>
        <w:spacing w:before="0" w:after="0"/>
        <w:ind w:hanging="283" w:start="709"/>
        <w:jc w:val="start"/>
        <w:rPr/>
      </w:pPr>
      <w:r>
        <w:rPr/>
        <w:t xml:space="preserve">Separar la validez técnica de un archivo de su autorización de publicación en cada nivel de desglose. </w:t>
      </w:r>
    </w:p>
    <w:p>
      <w:pPr>
        <w:pStyle w:val="BodyText"/>
        <w:numPr>
          <w:ilvl w:val="0"/>
          <w:numId w:val="2"/>
        </w:numPr>
        <w:tabs>
          <w:tab w:val="clear" w:pos="1134"/>
          <w:tab w:val="left" w:pos="709" w:leader="none"/>
        </w:tabs>
        <w:bidi w:val="0"/>
        <w:spacing w:before="0" w:after="0"/>
        <w:ind w:hanging="283" w:start="709"/>
        <w:jc w:val="start"/>
        <w:rPr/>
      </w:pPr>
      <w:r>
        <w:rPr/>
        <w:t xml:space="preserve">Definir con el RNC la protección de resultados, combinaciones de filtros y exportaciones. </w:t>
      </w:r>
    </w:p>
    <w:p>
      <w:pPr>
        <w:pStyle w:val="BodyText"/>
        <w:numPr>
          <w:ilvl w:val="0"/>
          <w:numId w:val="2"/>
        </w:numPr>
        <w:tabs>
          <w:tab w:val="clear" w:pos="1134"/>
          <w:tab w:val="left" w:pos="709" w:leader="none"/>
        </w:tabs>
        <w:bidi w:val="0"/>
        <w:ind w:hanging="283" w:start="709"/>
        <w:jc w:val="start"/>
        <w:rPr/>
      </w:pPr>
      <w:r>
        <w:rPr/>
        <w:t xml:space="preserve">Diseñar la interfaz para tareas reales, teclado y conectividad limitada, y evaluar el producto con escenarios acordados. </w:t>
      </w:r>
    </w:p>
    <w:p>
      <w:pPr>
        <w:pStyle w:val="Heading2"/>
        <w:bidi w:val="0"/>
        <w:ind w:hanging="0" w:start="0" w:end="0"/>
        <w:jc w:val="start"/>
        <w:rPr/>
      </w:pPr>
      <w:bookmarkStart w:id="11" w:name="conclusiones-parciales-del-capitulo-1"/>
      <w:bookmarkEnd w:id="11"/>
      <w:r>
        <w:rPr/>
        <w:t>Conclusiones parciales del capítulo 1</w:t>
      </w:r>
    </w:p>
    <w:p>
      <w:pPr>
        <w:pStyle w:val="BodyText"/>
        <w:bidi w:val="0"/>
        <w:jc w:val="start"/>
        <w:rPr/>
      </w:pPr>
      <w:r>
        <w:rPr/>
        <w:t>La revisión documental permite describir el proceso del registro y delimitar la plataforma como una capa de consulta de cortes definitivos. También permite fundamentar la distinción entre numerador, población ONEI denominadora y estándar mundial, así como anticipar la necesidad de trazabilidad, accesibilidad y una vista tabular junto con la gráfica. La estructura estable del CSV permite adelantar una validación sintáctica, pero no determina el significado de sus filas o columnas. El método indirecto, la política de intervalos, la temporalidad de los denominadores y la publicación de celdas pequeñas siguen dependiendo de aclaraciones. Por tanto, el capítulo establece fundamentos y criterios de diseño, pero no demuestra todavía la corrección estadística de una implementación.</w:t>
      </w:r>
    </w:p>
    <w:p>
      <w:pPr>
        <w:pStyle w:val="Heading1"/>
        <w:bidi w:val="0"/>
        <w:ind w:hanging="0" w:start="0" w:end="0"/>
        <w:jc w:val="start"/>
        <w:rPr/>
      </w:pPr>
      <w:bookmarkStart w:id="12" w:name="capitulo-2-requisitos-y-propuesta-de-sol"/>
      <w:bookmarkEnd w:id="12"/>
      <w:r>
        <w:rPr/>
        <w:t>Capítulo 2. Requisitos y propuesta de solución</w:t>
      </w:r>
    </w:p>
    <w:p>
      <w:pPr>
        <w:pStyle w:val="Heading2"/>
        <w:bidi w:val="0"/>
        <w:ind w:hanging="0" w:start="0" w:end="0"/>
        <w:jc w:val="start"/>
        <w:rPr/>
      </w:pPr>
      <w:bookmarkStart w:id="13" w:name="introduccion-del-capitulo_1"/>
      <w:bookmarkEnd w:id="13"/>
      <w:r>
        <w:rPr/>
        <w:t>Introducción del capítulo</w:t>
      </w:r>
    </w:p>
    <w:p>
      <w:pPr>
        <w:pStyle w:val="BodyText"/>
        <w:bidi w:val="0"/>
        <w:jc w:val="start"/>
        <w:rPr/>
      </w:pPr>
      <w:r>
        <w:rPr/>
        <w:t>Este capítulo traduce el alcance de Prácticas II a una propuesta de solución verificable. Primero delimita qué capacidades pertenecen a esta etapa; después organiza requisitos, datos, arquitectura, prototipos y alternativas tecnológicas. Las figuras muestran el diseño que se está elaborando y se acompañan de explicación textual. La línea base y los diagramas son insumos de trabajo: su aceptación requiere revisión de tutoría y, cuando afecta reglas o procesos del RNC, validación institucional.</w:t>
      </w:r>
    </w:p>
    <w:p>
      <w:pPr>
        <w:pStyle w:val="Heading2"/>
        <w:bidi w:val="0"/>
        <w:ind w:hanging="0" w:start="0" w:end="0"/>
        <w:jc w:val="start"/>
        <w:rPr/>
      </w:pPr>
      <w:bookmarkStart w:id="14" w:name="21-alcance-de-practicas-ii"/>
      <w:bookmarkEnd w:id="14"/>
      <w:r>
        <w:rPr/>
        <w:t>2.1. Alcance de Prácticas II</w:t>
      </w:r>
    </w:p>
    <w:p>
      <w:pPr>
        <w:pStyle w:val="BodyText"/>
        <w:bidi w:val="0"/>
        <w:jc w:val="start"/>
        <w:rPr/>
      </w:pPr>
      <w:r>
        <w:rPr/>
        <w:t>El Anexo A [2] plantea para Prácticas II el análisis comparativo, los fundamentos estadísticos, la identificación de requisitos, el modelo de datos, los artefactos de diseño, la selección tecnológica, los prototipos de consulta y administración y una primera implementación del motor, las consultas, frecuencias e informes exportables. La secuencia prevista incluye revisar los capítulos durante el desarrollo y presentar una versión final de práctica. La Propuesta [1] describe el producto general; cuando difiere del calendario de etapas, este informe sigue el Anexo A [2].</w:t>
      </w:r>
    </w:p>
    <w:p>
      <w:pPr>
        <w:pStyle w:val="BodyText"/>
        <w:bidi w:val="0"/>
        <w:jc w:val="start"/>
        <w:rPr/>
      </w:pPr>
      <w:r>
        <w:rPr/>
        <w:t>El Anexo también planifica tareas posteriores: dashboards avanzados, mapas y series temporales, implementación segura del panel, roles y auditoría, migración histórica, pruebas consolidadas, capacitación y tesis. El panel aparece en Prácticas II como prototipo, no como módulo seguro ya implementado. La frontera evita atribuir a esta práctica resultados que el propio plan ubica en la tesis.</w:t>
      </w:r>
    </w:p>
    <w:p>
      <w:pPr>
        <w:pStyle w:val="BodyText"/>
        <w:bidi w:val="0"/>
        <w:jc w:val="start"/>
        <w:rPr/>
      </w:pPr>
      <w:r>
        <w:rPr/>
        <w:t>La primera incorporación se prevé a partir de archivos que produce un sistema interno del RNC y entrega como definitivos; la conexión directa con su base de datos se estudiará más adelante [18]. La estructura observada es CSV UTF-8 separado por comas, con 84 encabezados estables [24]. Según la aclaración más reciente, cada fila representa un tumor y las claves permiten contar personas distintas sin duplicar a quienes tienen tumores múltiples [35]. Esto define la unidad comunicada, pero faltan el diccionario autorizado y la clave exacta para vincular filas por persona. No autoriza a reproducir valores del archivo. La plataforma deberá separar el rechazo técnico de cualquier corrección clínica, que queda fuera de su flujo.</w:t>
      </w:r>
    </w:p>
    <w:p>
      <w:pPr>
        <w:pStyle w:val="Heading2"/>
        <w:bidi w:val="0"/>
        <w:ind w:hanging="0" w:start="0" w:end="0"/>
        <w:jc w:val="start"/>
        <w:rPr/>
      </w:pPr>
      <w:bookmarkStart w:id="15" w:name="22-requisitos-documentados-y-cuestiones-"/>
      <w:bookmarkEnd w:id="15"/>
      <w:r>
        <w:rPr/>
        <w:t>2.2. Requisitos documentados y cuestiones abiertas</w:t>
      </w:r>
    </w:p>
    <w:p>
      <w:pPr>
        <w:pStyle w:val="BodyText"/>
        <w:bidi w:val="0"/>
        <w:jc w:val="start"/>
        <w:rPr/>
      </w:pPr>
      <w:r>
        <w:rPr/>
        <w:t>La línea base del proyecto organiza funciones, datos y atributos de calidad derivados del Anexo A, la Propuesta y las aclaraciones disponibles [16]. El cuadro resume las capacidades relevantes para el informe y el estado de su fundamento:</w:t>
      </w:r>
    </w:p>
    <w:tbl>
      <w:tblPr>
        <w:tblW w:w="8250" w:type="dxa"/>
        <w:jc w:val="start"/>
        <w:tblInd w:w="0" w:type="dxa"/>
        <w:tblLayout w:type="fixed"/>
        <w:tblCellMar>
          <w:top w:w="28" w:type="dxa"/>
          <w:start w:w="28" w:type="dxa"/>
          <w:bottom w:w="28" w:type="dxa"/>
          <w:end w:w="28" w:type="dxa"/>
        </w:tblCellMar>
      </w:tblPr>
      <w:tblGrid>
        <w:gridCol w:w="2269"/>
        <w:gridCol w:w="2334"/>
        <w:gridCol w:w="3647"/>
      </w:tblGrid>
      <w:tr>
        <w:trPr>
          <w:tblHeader w:val="true"/>
        </w:trPr>
        <w:tc>
          <w:tcPr>
            <w:tcW w:w="2269" w:type="dxa"/>
            <w:tcBorders/>
            <w:vAlign w:val="center"/>
          </w:tcPr>
          <w:p>
            <w:pPr>
              <w:pStyle w:val="TableHeading"/>
              <w:suppressLineNumbers/>
              <w:shd w:fill="D9EAF7" w:val="clear"/>
              <w:bidi w:val="0"/>
              <w:spacing w:before="0" w:after="140"/>
              <w:jc w:val="center"/>
              <w:rPr/>
            </w:pPr>
            <w:r>
              <w:rPr/>
              <w:t>Capacidad</w:t>
            </w:r>
          </w:p>
        </w:tc>
        <w:tc>
          <w:tcPr>
            <w:tcW w:w="2334" w:type="dxa"/>
            <w:tcBorders/>
            <w:vAlign w:val="center"/>
          </w:tcPr>
          <w:p>
            <w:pPr>
              <w:pStyle w:val="TableHeading"/>
              <w:suppressLineNumbers/>
              <w:shd w:fill="D9EAF7" w:val="clear"/>
              <w:bidi w:val="0"/>
              <w:spacing w:before="0" w:after="140"/>
              <w:jc w:val="center"/>
              <w:rPr/>
            </w:pPr>
            <w:r>
              <w:rPr/>
              <w:t>Fundamento disponible</w:t>
            </w:r>
          </w:p>
        </w:tc>
        <w:tc>
          <w:tcPr>
            <w:tcW w:w="3647" w:type="dxa"/>
            <w:tcBorders/>
            <w:vAlign w:val="center"/>
          </w:tcPr>
          <w:p>
            <w:pPr>
              <w:pStyle w:val="TableHeading"/>
              <w:suppressLineNumbers/>
              <w:shd w:fill="D9EAF7" w:val="clear"/>
              <w:bidi w:val="0"/>
              <w:spacing w:before="0" w:after="140"/>
              <w:jc w:val="center"/>
              <w:rPr/>
            </w:pPr>
            <w:r>
              <w:rPr/>
              <w:t>Estado para el diseño</w:t>
            </w:r>
          </w:p>
        </w:tc>
      </w:tr>
      <w:tr>
        <w:trPr/>
        <w:tc>
          <w:tcPr>
            <w:tcW w:w="2269" w:type="dxa"/>
            <w:tcBorders/>
            <w:vAlign w:val="center"/>
          </w:tcPr>
          <w:p>
            <w:pPr>
              <w:pStyle w:val="TableContents"/>
              <w:bidi w:val="0"/>
              <w:spacing w:before="0" w:after="140"/>
              <w:jc w:val="start"/>
              <w:rPr/>
            </w:pPr>
            <w:r>
              <w:rPr/>
              <w:t>Consulta pública por año, territorio, sexo, edad y localización</w:t>
            </w:r>
          </w:p>
        </w:tc>
        <w:tc>
          <w:tcPr>
            <w:tcW w:w="2334" w:type="dxa"/>
            <w:tcBorders/>
            <w:vAlign w:val="center"/>
          </w:tcPr>
          <w:p>
            <w:pPr>
              <w:pStyle w:val="TableContents"/>
              <w:bidi w:val="0"/>
              <w:spacing w:before="0" w:after="140"/>
              <w:jc w:val="start"/>
              <w:rPr/>
            </w:pPr>
            <w:r>
              <w:rPr/>
              <w:t>Anexo A, Propuesta y aclaración de acceso público [1], [2], [17]</w:t>
            </w:r>
          </w:p>
        </w:tc>
        <w:tc>
          <w:tcPr>
            <w:tcW w:w="3647" w:type="dxa"/>
            <w:tcBorders/>
            <w:vAlign w:val="center"/>
          </w:tcPr>
          <w:p>
            <w:pPr>
              <w:pStyle w:val="TableContents"/>
              <w:bidi w:val="0"/>
              <w:spacing w:before="0" w:after="140"/>
              <w:jc w:val="start"/>
              <w:rPr/>
            </w:pPr>
            <w:r>
              <w:rPr/>
              <w:t>Alcance funcional documentado; filtros/catálogos y tareas prioritarias por detallar.</w:t>
            </w:r>
          </w:p>
        </w:tc>
      </w:tr>
      <w:tr>
        <w:trPr/>
        <w:tc>
          <w:tcPr>
            <w:tcW w:w="2269" w:type="dxa"/>
            <w:tcBorders/>
            <w:vAlign w:val="center"/>
          </w:tcPr>
          <w:p>
            <w:pPr>
              <w:pStyle w:val="TableContents"/>
              <w:bidi w:val="0"/>
              <w:spacing w:before="0" w:after="140"/>
              <w:jc w:val="start"/>
              <w:rPr/>
            </w:pPr>
            <w:r>
              <w:rPr/>
              <w:t>Frecuencias absolutas y relativas</w:t>
            </w:r>
          </w:p>
        </w:tc>
        <w:tc>
          <w:tcPr>
            <w:tcW w:w="2334" w:type="dxa"/>
            <w:tcBorders/>
            <w:vAlign w:val="center"/>
          </w:tcPr>
          <w:p>
            <w:pPr>
              <w:pStyle w:val="TableContents"/>
              <w:bidi w:val="0"/>
              <w:spacing w:before="0" w:after="140"/>
              <w:jc w:val="start"/>
              <w:rPr/>
            </w:pPr>
            <w:r>
              <w:rPr/>
              <w:t>Anexo A y objetivos del Manual RNC [2], [3]</w:t>
            </w:r>
          </w:p>
        </w:tc>
        <w:tc>
          <w:tcPr>
            <w:tcW w:w="3647" w:type="dxa"/>
            <w:tcBorders/>
            <w:vAlign w:val="center"/>
          </w:tcPr>
          <w:p>
            <w:pPr>
              <w:pStyle w:val="TableContents"/>
              <w:bidi w:val="0"/>
              <w:spacing w:before="0" w:after="140"/>
              <w:jc w:val="start"/>
              <w:rPr/>
            </w:pPr>
            <w:r>
              <w:rPr/>
              <w:t>Uso institucional documentado; unidad (tumor/persona), universo, desconocidos y redondeo por salida pendientes.</w:t>
            </w:r>
          </w:p>
        </w:tc>
      </w:tr>
      <w:tr>
        <w:trPr/>
        <w:tc>
          <w:tcPr>
            <w:tcW w:w="2269" w:type="dxa"/>
            <w:tcBorders/>
            <w:vAlign w:val="center"/>
          </w:tcPr>
          <w:p>
            <w:pPr>
              <w:pStyle w:val="TableContents"/>
              <w:bidi w:val="0"/>
              <w:spacing w:before="0" w:after="140"/>
              <w:jc w:val="start"/>
              <w:rPr/>
            </w:pPr>
            <w:r>
              <w:rPr/>
              <w:t>Tasas crudas y específicas</w:t>
            </w:r>
          </w:p>
        </w:tc>
        <w:tc>
          <w:tcPr>
            <w:tcW w:w="2334" w:type="dxa"/>
            <w:tcBorders/>
            <w:vAlign w:val="center"/>
          </w:tcPr>
          <w:p>
            <w:pPr>
              <w:pStyle w:val="TableContents"/>
              <w:bidi w:val="0"/>
              <w:spacing w:before="0" w:after="140"/>
              <w:jc w:val="start"/>
              <w:rPr/>
            </w:pPr>
            <w:r>
              <w:rPr/>
              <w:t>Anexo, Manual y fuente de población ONEI [2]–[4]</w:t>
            </w:r>
          </w:p>
        </w:tc>
        <w:tc>
          <w:tcPr>
            <w:tcW w:w="3647" w:type="dxa"/>
            <w:tcBorders/>
            <w:vAlign w:val="center"/>
          </w:tcPr>
          <w:p>
            <w:pPr>
              <w:pStyle w:val="TableContents"/>
              <w:bidi w:val="0"/>
              <w:spacing w:before="0" w:after="140"/>
              <w:jc w:val="start"/>
              <w:rPr/>
            </w:pPr>
            <w:r>
              <w:rPr/>
              <w:t>Previstas; periodo, serie ONEI y ejemplos numéricos por validar.</w:t>
            </w:r>
          </w:p>
        </w:tc>
      </w:tr>
      <w:tr>
        <w:trPr/>
        <w:tc>
          <w:tcPr>
            <w:tcW w:w="2269" w:type="dxa"/>
            <w:tcBorders/>
            <w:vAlign w:val="center"/>
          </w:tcPr>
          <w:p>
            <w:pPr>
              <w:pStyle w:val="TableContents"/>
              <w:bidi w:val="0"/>
              <w:spacing w:before="0" w:after="140"/>
              <w:jc w:val="start"/>
              <w:rPr/>
            </w:pPr>
            <w:r>
              <w:rPr/>
              <w:t>Ajuste directo e indirecto e intervalos</w:t>
            </w:r>
          </w:p>
        </w:tc>
        <w:tc>
          <w:tcPr>
            <w:tcW w:w="2334" w:type="dxa"/>
            <w:tcBorders/>
            <w:vAlign w:val="center"/>
          </w:tcPr>
          <w:p>
            <w:pPr>
              <w:pStyle w:val="TableContents"/>
              <w:bidi w:val="0"/>
              <w:spacing w:before="0" w:after="140"/>
              <w:jc w:val="start"/>
              <w:rPr/>
            </w:pPr>
            <w:r>
              <w:rPr/>
              <w:t>Anexo A; referencia CI5 para parte del ajuste directo [2], [10], [22]</w:t>
            </w:r>
          </w:p>
        </w:tc>
        <w:tc>
          <w:tcPr>
            <w:tcW w:w="3647" w:type="dxa"/>
            <w:tcBorders/>
            <w:vAlign w:val="center"/>
          </w:tcPr>
          <w:p>
            <w:pPr>
              <w:pStyle w:val="TableContents"/>
              <w:bidi w:val="0"/>
              <w:spacing w:before="0" w:after="140"/>
              <w:jc w:val="start"/>
              <w:rPr/>
            </w:pPr>
            <w:r>
              <w:rPr/>
              <w:t>Alcance académico previsto; indirecto e intervalos sin especificación RNC aprobada.</w:t>
            </w:r>
          </w:p>
        </w:tc>
      </w:tr>
      <w:tr>
        <w:trPr/>
        <w:tc>
          <w:tcPr>
            <w:tcW w:w="2269" w:type="dxa"/>
            <w:tcBorders/>
            <w:vAlign w:val="center"/>
          </w:tcPr>
          <w:p>
            <w:pPr>
              <w:pStyle w:val="TableContents"/>
              <w:bidi w:val="0"/>
              <w:spacing w:before="0" w:after="140"/>
              <w:jc w:val="start"/>
              <w:rPr/>
            </w:pPr>
            <w:r>
              <w:rPr/>
              <w:t>Exportación CSV, Excel y PDF</w:t>
            </w:r>
          </w:p>
        </w:tc>
        <w:tc>
          <w:tcPr>
            <w:tcW w:w="2334" w:type="dxa"/>
            <w:tcBorders/>
            <w:vAlign w:val="center"/>
          </w:tcPr>
          <w:p>
            <w:pPr>
              <w:pStyle w:val="TableContents"/>
              <w:bidi w:val="0"/>
              <w:spacing w:before="0" w:after="140"/>
              <w:jc w:val="start"/>
              <w:rPr/>
            </w:pPr>
            <w:r>
              <w:rPr/>
              <w:t>Anexo A [2]</w:t>
            </w:r>
          </w:p>
        </w:tc>
        <w:tc>
          <w:tcPr>
            <w:tcW w:w="3647" w:type="dxa"/>
            <w:tcBorders/>
            <w:vAlign w:val="center"/>
          </w:tcPr>
          <w:p>
            <w:pPr>
              <w:pStyle w:val="TableContents"/>
              <w:bidi w:val="0"/>
              <w:spacing w:before="0" w:after="140"/>
              <w:jc w:val="start"/>
              <w:rPr/>
            </w:pPr>
            <w:r>
              <w:rPr/>
              <w:t>Prevista; contenido, metadatos y diseño de cada formato pendientes.</w:t>
            </w:r>
          </w:p>
        </w:tc>
      </w:tr>
      <w:tr>
        <w:trPr/>
        <w:tc>
          <w:tcPr>
            <w:tcW w:w="2269" w:type="dxa"/>
            <w:tcBorders/>
            <w:vAlign w:val="center"/>
          </w:tcPr>
          <w:p>
            <w:pPr>
              <w:pStyle w:val="TableContents"/>
              <w:bidi w:val="0"/>
              <w:spacing w:before="0" w:after="140"/>
              <w:jc w:val="start"/>
              <w:rPr/>
            </w:pPr>
            <w:r>
              <w:rPr/>
              <w:t>Incorporación técnica de archivos definitivos</w:t>
            </w:r>
          </w:p>
        </w:tc>
        <w:tc>
          <w:tcPr>
            <w:tcW w:w="2334" w:type="dxa"/>
            <w:tcBorders/>
            <w:vAlign w:val="center"/>
          </w:tcPr>
          <w:p>
            <w:pPr>
              <w:pStyle w:val="TableContents"/>
              <w:bidi w:val="0"/>
              <w:spacing w:before="0" w:after="140"/>
              <w:jc w:val="start"/>
              <w:rPr/>
            </w:pPr>
            <w:r>
              <w:rPr/>
              <w:t>Aclaraciones del proyecto y estructura estable observada [18], [24], [35]</w:t>
            </w:r>
          </w:p>
        </w:tc>
        <w:tc>
          <w:tcPr>
            <w:tcW w:w="3647" w:type="dxa"/>
            <w:tcBorders/>
            <w:vAlign w:val="center"/>
          </w:tcPr>
          <w:p>
            <w:pPr>
              <w:pStyle w:val="TableContents"/>
              <w:bidi w:val="0"/>
              <w:spacing w:before="0" w:after="140"/>
              <w:jc w:val="start"/>
              <w:rPr/>
            </w:pPr>
            <w:r>
              <w:rPr/>
              <w:t>Grano comunicado: una fila por tumor; clave persona, diccionario, autorización y metadatos pendientes.</w:t>
            </w:r>
          </w:p>
        </w:tc>
      </w:tr>
      <w:tr>
        <w:trPr/>
        <w:tc>
          <w:tcPr>
            <w:tcW w:w="2269" w:type="dxa"/>
            <w:tcBorders/>
            <w:vAlign w:val="center"/>
          </w:tcPr>
          <w:p>
            <w:pPr>
              <w:pStyle w:val="TableContents"/>
              <w:bidi w:val="0"/>
              <w:spacing w:before="0" w:after="140"/>
              <w:jc w:val="start"/>
              <w:rPr/>
            </w:pPr>
            <w:r>
              <w:rPr/>
              <w:t>Prototipo de administración</w:t>
            </w:r>
          </w:p>
        </w:tc>
        <w:tc>
          <w:tcPr>
            <w:tcW w:w="2334" w:type="dxa"/>
            <w:tcBorders/>
            <w:vAlign w:val="center"/>
          </w:tcPr>
          <w:p>
            <w:pPr>
              <w:pStyle w:val="TableContents"/>
              <w:bidi w:val="0"/>
              <w:spacing w:before="0" w:after="140"/>
              <w:jc w:val="start"/>
              <w:rPr/>
            </w:pPr>
            <w:r>
              <w:rPr/>
              <w:t>Anexo y descripción del producto [1], [2]</w:t>
            </w:r>
          </w:p>
        </w:tc>
        <w:tc>
          <w:tcPr>
            <w:tcW w:w="3647" w:type="dxa"/>
            <w:tcBorders/>
            <w:vAlign w:val="center"/>
          </w:tcPr>
          <w:p>
            <w:pPr>
              <w:pStyle w:val="TableContents"/>
              <w:bidi w:val="0"/>
              <w:spacing w:before="0" w:after="140"/>
              <w:jc w:val="start"/>
              <w:rPr/>
            </w:pPr>
            <w:r>
              <w:rPr/>
              <w:t>Se diseña en la práctica; roles/permisos no confirmados y panel seguro fuera de esta etapa.</w:t>
            </w:r>
          </w:p>
        </w:tc>
      </w:tr>
      <w:tr>
        <w:trPr/>
        <w:tc>
          <w:tcPr>
            <w:tcW w:w="2269" w:type="dxa"/>
            <w:tcBorders/>
            <w:vAlign w:val="center"/>
          </w:tcPr>
          <w:p>
            <w:pPr>
              <w:pStyle w:val="TableContents"/>
              <w:bidi w:val="0"/>
              <w:spacing w:before="0" w:after="140"/>
              <w:jc w:val="start"/>
              <w:rPr/>
            </w:pPr>
            <w:r>
              <w:rPr/>
              <w:t>Protección y publicación de agregados</w:t>
            </w:r>
          </w:p>
        </w:tc>
        <w:tc>
          <w:tcPr>
            <w:tcW w:w="2334" w:type="dxa"/>
            <w:tcBorders/>
            <w:vAlign w:val="center"/>
          </w:tcPr>
          <w:p>
            <w:pPr>
              <w:pStyle w:val="TableContents"/>
              <w:bidi w:val="0"/>
              <w:spacing w:before="0" w:after="140"/>
              <w:jc w:val="start"/>
              <w:rPr/>
            </w:pPr>
            <w:r>
              <w:rPr/>
              <w:t>Manual, normativa de datos y preguntas abiertas [3], [20], [35]</w:t>
            </w:r>
          </w:p>
        </w:tc>
        <w:tc>
          <w:tcPr>
            <w:tcW w:w="3647" w:type="dxa"/>
            <w:tcBorders/>
            <w:vAlign w:val="center"/>
          </w:tcPr>
          <w:p>
            <w:pPr>
              <w:pStyle w:val="TableContents"/>
              <w:bidi w:val="0"/>
              <w:spacing w:before="0" w:after="140"/>
              <w:jc w:val="start"/>
              <w:rPr/>
            </w:pPr>
            <w:r>
              <w:rPr/>
              <w:t>El Manual protege microdatos y regula acceso/entrega disociada; política de celdas pequeñas y filtros del nuevo portal aún requiere decisión del RNC.</w:t>
            </w:r>
          </w:p>
        </w:tc>
      </w:tr>
      <w:tr>
        <w:trPr/>
        <w:tc>
          <w:tcPr>
            <w:tcW w:w="2269" w:type="dxa"/>
            <w:tcBorders/>
            <w:vAlign w:val="center"/>
          </w:tcPr>
          <w:p>
            <w:pPr>
              <w:pStyle w:val="TableContents"/>
              <w:bidi w:val="0"/>
              <w:spacing w:before="0" w:after="140"/>
              <w:jc w:val="start"/>
              <w:rPr/>
            </w:pPr>
            <w:r>
              <w:rPr/>
              <w:t>Usabilidad, accesibilidad y rendimiento</w:t>
            </w:r>
          </w:p>
        </w:tc>
        <w:tc>
          <w:tcPr>
            <w:tcW w:w="2334" w:type="dxa"/>
            <w:tcBorders/>
            <w:vAlign w:val="center"/>
          </w:tcPr>
          <w:p>
            <w:pPr>
              <w:pStyle w:val="TableContents"/>
              <w:bidi w:val="0"/>
              <w:spacing w:before="0" w:after="140"/>
              <w:jc w:val="start"/>
              <w:rPr/>
            </w:pPr>
            <w:r>
              <w:rPr/>
              <w:t>Anexo, WCAG y literatura de evaluación [2], [11]–[13]</w:t>
            </w:r>
          </w:p>
        </w:tc>
        <w:tc>
          <w:tcPr>
            <w:tcW w:w="3647" w:type="dxa"/>
            <w:tcBorders/>
            <w:vAlign w:val="center"/>
          </w:tcPr>
          <w:p>
            <w:pPr>
              <w:pStyle w:val="TableContents"/>
              <w:bidi w:val="0"/>
              <w:spacing w:before="0" w:after="140"/>
              <w:jc w:val="start"/>
              <w:rPr/>
            </w:pPr>
            <w:r>
              <w:rPr/>
              <w:t>Criterios candidatos; tareas, dispositivos, metas y aceptación por acordar.</w:t>
            </w:r>
          </w:p>
        </w:tc>
      </w:tr>
    </w:tbl>
    <w:p>
      <w:pPr>
        <w:pStyle w:val="BodyText"/>
        <w:bidi w:val="0"/>
        <w:jc w:val="start"/>
        <w:rPr/>
      </w:pPr>
      <w:r>
        <w:rPr/>
        <w:t>La matriz completa, con IDs, criterios iniciales y preguntas, permanece en la línea base de requisitos [16]. En este informe, la palabra «requisito» indica una necesidad trazada; no implica que el RNC la haya aceptado formalmente. La revisión con tutoría y especialistas debe confirmar prioridad, criterio de aceptación, responsable y relación con los objetivos. Las preguntas vinculadas a cada fila se conservan en el mapa de preguntas [16].</w:t>
      </w:r>
    </w:p>
    <w:p>
      <w:pPr>
        <w:pStyle w:val="Heading2"/>
        <w:bidi w:val="0"/>
        <w:ind w:hanging="0" w:start="0" w:end="0"/>
        <w:jc w:val="start"/>
        <w:rPr/>
      </w:pPr>
      <w:bookmarkStart w:id="16" w:name="23-arquitectura-logica-propuesta"/>
      <w:bookmarkEnd w:id="16"/>
      <w:r>
        <w:rPr/>
        <w:t>2.3. Arquitectura lógica propuesta</w:t>
      </w:r>
    </w:p>
    <w:p>
      <w:pPr>
        <w:pStyle w:val="BodyText"/>
        <w:bidi w:val="0"/>
        <w:jc w:val="start"/>
        <w:rPr/>
      </w:pPr>
      <w:r>
        <w:rPr/>
        <w:t>Se propone un monolito modular con puertos y adaptadores [23]. Permite mantener los casos de uso y el cálculo separados del formato de los archivos, almacenamiento y futura conexión autorizada al sistema interno. La arquitectura añade una frontera de datos: incorporación y agregación de archivos identificables ocurren en una zona restringida; la interfaz pública consulta únicamente conjuntos agregados versionados y resultados que pasan por la política de divulgación. La vista pública no tiene acceso a filas de tumores ni identificadores. Los módulos incluyen importación/validación técnica, agregación por tumor/persona, proveedor ONEI, catálogo de métodos y edades, motor de indicadores, repositorio de agregados, consulta pública, control de divulgación y exportadores. La implementación física de esta separación, conservación y eliminación se validará con RNC/CUJAE antes de procesar datos reales.</w:t>
      </w:r>
    </w:p>
    <w:p>
      <w:pPr>
        <w:pStyle w:val="BodyText"/>
        <w:bidi w:val="0"/>
        <w:jc w:val="start"/>
        <w:rPr/>
      </w:pPr>
      <w:r>
        <w:rPr/>
        <w:t>El modelado propuesto parte de requisitos y conceptos del dominio, detalla los escenarios de consulta mediante casos de uso y actividades, asigna mensajes a clases concretas en secuencias y finalmente agrupa esas clases en componentes. El modelo de clases de diseño especifica atributos, operaciones, contratos y relaciones; no se confunde con el modelo conceptual ni con las tablas físicas. Esta secuencia de trabajo permite comprobar la coherencia entre vistas y ajustar el diseño cuando el RNC entregue datos y reglas faltantes. La guía académica [15] exige justificar los patrones y artefactos utilizados, pero no establece en el texto revisado una metodología única de la asignatura; el método aquí descrito es una propuesta del proyecto.</w:t>
      </w:r>
    </w:p>
    <w:p>
      <w:pPr>
        <w:pStyle w:val="BodyText"/>
        <w:bidi w:val="0"/>
        <w:jc w:val="start"/>
        <w:rPr/>
      </w:pPr>
      <w:r>
        <w:rPr/>
        <w:t xml:space="preserve">En la consulta, </w:t>
      </w:r>
      <w:r>
        <w:rPr>
          <w:rStyle w:val="SourceText"/>
        </w:rPr>
        <w:t>ServicioConsulta</w:t>
      </w:r>
      <w:r>
        <w:rPr/>
        <w:t xml:space="preserve"> valida filtros y capacidades del conjunto agregado. El motor obtiene denominadores ONEI compatibles y definiciones versionadas para calcular indicadores. Una salida interna se somete a </w:t>
      </w:r>
      <w:r>
        <w:rPr>
          <w:rStyle w:val="SourceText"/>
        </w:rPr>
        <w:t>PoliticaDivulgacion</w:t>
      </w:r>
      <w:r>
        <w:rPr/>
        <w:t xml:space="preserve"> antes de presentarla o exportarla; las consultas sucesivas con filtros también deben pasar por el control para reducir inferencias. La definitividad del origen no autoriza por sí sola cada desglose. CSV, Excel y PDF parten del mismo </w:t>
      </w:r>
      <w:r>
        <w:rPr>
          <w:rStyle w:val="SourceText"/>
        </w:rPr>
        <w:t>ResultadoConsulta</w:t>
      </w:r>
      <w:r>
        <w:rPr/>
        <w:t xml:space="preserve"> autorizado, sin recalcular ni saltar la política. Este límite mantiene datos nominales fuera del portal público y conserva un resultado consistente entre gráfica, tabla y descarga [23], [35].</w:t>
      </w:r>
    </w:p>
    <w:p>
      <w:pPr>
        <w:pStyle w:val="BodyText"/>
        <w:bidi w:val="0"/>
        <w:jc w:val="start"/>
        <w:rPr/>
      </w:pPr>
      <w:r>
        <w:rPr/>
        <w:t xml:space="preserve">La incorporación posee un caso separado: </w:t>
      </w:r>
      <w:r>
        <w:rPr>
          <w:rStyle w:val="SourceText"/>
        </w:rPr>
        <w:t>ServicioIncorporacion</w:t>
      </w:r>
      <w:r>
        <w:rPr/>
        <w:t xml:space="preserve"> recibe el archivo definitivo en la zona restringida, comprueba el contrato y deriva agregados versionados por tumor y, si la clave fue autorizada, por persona. El estudiante confirma el grano como una fila por tumor; el diccionario y clave exacta siguen pendientes [35]. El proceso registra procedencia y capacidades sin modificar el archivo clínico. El Manual describe cierres internos cada dos meses y un ciclo de resultados estadísticos anual; esto no fija la publicación web, que debe admitir cortes repetibles y eventuales cambios semanales [3], [35]. La publicación se versiona y puede revocarse con registro de motivo si se detecta un error de transferencia; los roles y la autoridad concreta son propuestas a validar.</w:t>
      </w:r>
    </w:p>
    <w:p>
      <w:pPr>
        <w:pStyle w:val="BodyText"/>
        <w:bidi w:val="0"/>
        <w:jc w:val="start"/>
        <w:rPr/>
      </w:pPr>
      <w:r>
        <w:rPr/>
        <w:t xml:space="preserve">Cada resultado deberá identificar corte RNC, unidad (tumor/persona), universo, edición y tipo de población ONEI, método estadístico, estándar cuando proceda, tratamiento de desconocidos y versión de política. Si no existe denominador compatible, la tasa queda no disponible y el conteo puede continuar si su divulgación está autorizada. Los escenarios de cambio están detallados en la </w:t>
      </w:r>
      <w:hyperlink r:id="rId2">
        <w:r>
          <w:rPr>
            <w:rStyle w:val="Hyperlink"/>
          </w:rPr>
          <w:t>arquitectura evolutiva</w:t>
        </w:r>
      </w:hyperlink>
      <w:r>
        <w:rPr/>
        <w:t>.</w:t>
      </w:r>
    </w:p>
    <w:p>
      <w:pPr>
        <w:pStyle w:val="BodyText"/>
        <w:bidi w:val="0"/>
        <w:jc w:val="start"/>
        <w:rPr/>
      </w:pPr>
      <w:r>
        <w:rPr/>
        <w:t xml:space="preserve">Los diagramas completos se conservan en el </w:t>
      </w:r>
      <w:r>
        <w:rPr>
          <w:rStyle w:val="Strong"/>
        </w:rPr>
        <w:t>Anexo B</w:t>
      </w:r>
      <w:r>
        <w:rPr/>
        <w:t>. En el desarrollo se muestran recortes con la parte necesaria para cada explicación; la letra identifica el segmento y el código remite a la vista completa. Los recortes no sustituyen el flujo integral cuando este se analiza.</w:t>
      </w:r>
    </w:p>
    <w:p>
      <w:pPr>
        <w:pStyle w:val="BodyText"/>
        <w:bidi w:val="0"/>
        <w:jc w:val="start"/>
        <w:rPr/>
      </w:pPr>
      <w:r>
        <w:rPr/>
        <w:t xml:space="preserve">El modelo conceptual </w:t>
      </w:r>
      <w:r>
        <w:rPr>
          <w:rStyle w:val="SourceText"/>
        </w:rPr>
        <w:t>DM-01</w:t>
      </w:r>
      <w:r>
        <w:rPr/>
        <w:t xml:space="preserve"> separa dimensiones de consulta y conceptos poblacionales. La Figura 2.1a enfoca territorio y sexo en relación con el corte y la población ONEI. La Figura 2.1b muestra los grupos de edad y localización; la Figura 2.1c distingue la población estándar y sus pesos. La Figura 2.1d resume la relación conceptual de una persona con uno o más tumores. El grano por tumor proviene de la aclaración RNC; claves y tablas físicas siguen pendientes. En conjunto, los recortes distinguen las funciones de ambas poblaciones y la unidad de conteo. Véase la vista completa en el Anexo B.1.</w:t>
      </w:r>
    </w:p>
    <w:p>
      <w:pPr>
        <w:pStyle w:val="BodyText"/>
        <w:bidi w:val="0"/>
        <w:jc w:val="center"/>
        <w:rPr/>
      </w:pPr>
      <w:r>
        <w:rPr/>
        <w:drawing>
          <wp:inline distT="0" distB="0" distL="0" distR="0">
            <wp:extent cx="5238750" cy="3781425"/>
            <wp:effectExtent l="0" t="0" r="0" b="0"/>
            <wp:docPr id="1" name="Image1" descr="" title="Recorte DM-01: territorio, sexo, corte y población ON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Recorte DM-01: territorio, sexo, corte y población ONEI"/>
                    <pic:cNvPicPr>
                      <a:picLocks noChangeAspect="1" noChangeArrowheads="1"/>
                    </pic:cNvPicPr>
                  </pic:nvPicPr>
                  <pic:blipFill>
                    <a:blip r:embed="rId3"/>
                    <a:stretch>
                      <a:fillRect/>
                    </a:stretch>
                  </pic:blipFill>
                  <pic:spPr bwMode="auto">
                    <a:xfrm>
                      <a:off x="0" y="0"/>
                      <a:ext cx="5238750" cy="3781425"/>
                    </a:xfrm>
                    <a:prstGeom prst="rect">
                      <a:avLst/>
                    </a:prstGeom>
                  </pic:spPr>
                </pic:pic>
              </a:graphicData>
            </a:graphic>
          </wp:inline>
        </w:drawing>
      </w:r>
    </w:p>
    <w:p>
      <w:pPr>
        <w:pStyle w:val="BodyText"/>
        <w:bidi w:val="0"/>
        <w:jc w:val="start"/>
        <w:rPr/>
      </w:pPr>
      <w:r>
        <w:rPr>
          <w:rStyle w:val="Strong"/>
        </w:rPr>
        <w:t>Figura 2.1a.</w:t>
      </w:r>
      <w:r>
        <w:rPr/>
        <w:t xml:space="preserve"> Recorte del modelo conceptual </w:t>
      </w:r>
      <w:r>
        <w:rPr>
          <w:rStyle w:val="SourceText"/>
        </w:rPr>
        <w:t>DM-01</w:t>
      </w:r>
      <w:r>
        <w:rPr/>
        <w:t>: territorio, sexo, corte y población ONEI. Vista completa en el Anexo B.1.</w:t>
      </w:r>
    </w:p>
    <w:p>
      <w:pPr>
        <w:pStyle w:val="BodyText"/>
        <w:bidi w:val="0"/>
        <w:jc w:val="center"/>
        <w:rPr/>
      </w:pPr>
      <w:r>
        <w:rPr/>
        <w:drawing>
          <wp:inline distT="0" distB="0" distL="0" distR="0">
            <wp:extent cx="5238750" cy="3467100"/>
            <wp:effectExtent l="0" t="0" r="0" b="0"/>
            <wp:docPr id="2" name="Image2" descr="" title="Recorte DM-01: grupos de edad y loc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Recorte DM-01: grupos de edad y localización"/>
                    <pic:cNvPicPr>
                      <a:picLocks noChangeAspect="1" noChangeArrowheads="1"/>
                    </pic:cNvPicPr>
                  </pic:nvPicPr>
                  <pic:blipFill>
                    <a:blip r:embed="rId4"/>
                    <a:stretch>
                      <a:fillRect/>
                    </a:stretch>
                  </pic:blipFill>
                  <pic:spPr bwMode="auto">
                    <a:xfrm>
                      <a:off x="0" y="0"/>
                      <a:ext cx="5238750" cy="3467100"/>
                    </a:xfrm>
                    <a:prstGeom prst="rect">
                      <a:avLst/>
                    </a:prstGeom>
                  </pic:spPr>
                </pic:pic>
              </a:graphicData>
            </a:graphic>
          </wp:inline>
        </w:drawing>
      </w:r>
    </w:p>
    <w:p>
      <w:pPr>
        <w:pStyle w:val="BodyText"/>
        <w:bidi w:val="0"/>
        <w:jc w:val="start"/>
        <w:rPr/>
      </w:pPr>
      <w:r>
        <w:rPr>
          <w:rStyle w:val="Strong"/>
        </w:rPr>
        <w:t>Figura 2.1b.</w:t>
      </w:r>
      <w:r>
        <w:rPr/>
        <w:t xml:space="preserve"> Recorte del modelo conceptual </w:t>
      </w:r>
      <w:r>
        <w:rPr>
          <w:rStyle w:val="SourceText"/>
        </w:rPr>
        <w:t>DM-01</w:t>
      </w:r>
      <w:r>
        <w:rPr/>
        <w:t>: agrupaciones de edad y localización tumoral. Vista completa en el Anexo B.1.</w:t>
      </w:r>
    </w:p>
    <w:p>
      <w:pPr>
        <w:pStyle w:val="BodyText"/>
        <w:bidi w:val="0"/>
        <w:jc w:val="center"/>
        <w:rPr/>
      </w:pPr>
      <w:r>
        <w:rPr/>
        <w:drawing>
          <wp:inline distT="0" distB="0" distL="0" distR="0">
            <wp:extent cx="3676650" cy="4762500"/>
            <wp:effectExtent l="0" t="0" r="0" b="0"/>
            <wp:docPr id="3" name="Image3" descr="" title="Recorte DM-01: población estándar y p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Recorte DM-01: población estándar y pesos"/>
                    <pic:cNvPicPr>
                      <a:picLocks noChangeAspect="1" noChangeArrowheads="1"/>
                    </pic:cNvPicPr>
                  </pic:nvPicPr>
                  <pic:blipFill>
                    <a:blip r:embed="rId5"/>
                    <a:stretch>
                      <a:fillRect/>
                    </a:stretch>
                  </pic:blipFill>
                  <pic:spPr bwMode="auto">
                    <a:xfrm>
                      <a:off x="0" y="0"/>
                      <a:ext cx="3676650" cy="4762500"/>
                    </a:xfrm>
                    <a:prstGeom prst="rect">
                      <a:avLst/>
                    </a:prstGeom>
                  </pic:spPr>
                </pic:pic>
              </a:graphicData>
            </a:graphic>
          </wp:inline>
        </w:drawing>
      </w:r>
    </w:p>
    <w:p>
      <w:pPr>
        <w:pStyle w:val="BodyText"/>
        <w:bidi w:val="0"/>
        <w:jc w:val="start"/>
        <w:rPr/>
      </w:pPr>
      <w:r>
        <w:rPr>
          <w:rStyle w:val="Strong"/>
        </w:rPr>
        <w:t>Figura 2.1c.</w:t>
      </w:r>
      <w:r>
        <w:rPr/>
        <w:t xml:space="preserve"> Recorte del modelo conceptual </w:t>
      </w:r>
      <w:r>
        <w:rPr>
          <w:rStyle w:val="SourceText"/>
        </w:rPr>
        <w:t>DM-01</w:t>
      </w:r>
      <w:r>
        <w:rPr/>
        <w:t>: población estándar y pesos. Vista completa en el Anexo B.1.</w:t>
      </w:r>
    </w:p>
    <w:p>
      <w:pPr>
        <w:pStyle w:val="BodyText"/>
        <w:bidi w:val="0"/>
        <w:jc w:val="center"/>
        <w:rPr/>
      </w:pPr>
      <w:r>
        <w:rPr/>
        <w:drawing>
          <wp:inline distT="0" distB="0" distL="0" distR="0">
            <wp:extent cx="5238750" cy="1819275"/>
            <wp:effectExtent l="0" t="0" r="0" b="0"/>
            <wp:docPr id="4" name="Image4" descr="" title="Recorte DM-01: persona y tumores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Recorte DM-01: persona y tumores registrados"/>
                    <pic:cNvPicPr>
                      <a:picLocks noChangeAspect="1" noChangeArrowheads="1"/>
                    </pic:cNvPicPr>
                  </pic:nvPicPr>
                  <pic:blipFill>
                    <a:blip r:embed="rId6"/>
                    <a:stretch>
                      <a:fillRect/>
                    </a:stretch>
                  </pic:blipFill>
                  <pic:spPr bwMode="auto">
                    <a:xfrm>
                      <a:off x="0" y="0"/>
                      <a:ext cx="5238750" cy="1819275"/>
                    </a:xfrm>
                    <a:prstGeom prst="rect">
                      <a:avLst/>
                    </a:prstGeom>
                  </pic:spPr>
                </pic:pic>
              </a:graphicData>
            </a:graphic>
          </wp:inline>
        </w:drawing>
      </w:r>
    </w:p>
    <w:p>
      <w:pPr>
        <w:pStyle w:val="BodyText"/>
        <w:bidi w:val="0"/>
        <w:jc w:val="start"/>
        <w:rPr/>
      </w:pPr>
      <w:r>
        <w:rPr>
          <w:rStyle w:val="Strong"/>
        </w:rPr>
        <w:t>Figura 2.1d.</w:t>
      </w:r>
      <w:r>
        <w:rPr/>
        <w:t xml:space="preserve"> Relación conceptual entre </w:t>
      </w:r>
      <w:r>
        <w:rPr>
          <w:rStyle w:val="SourceText"/>
        </w:rPr>
        <w:t>PersonaRegistrada</w:t>
      </w:r>
      <w:r>
        <w:rPr/>
        <w:t xml:space="preserve"> y </w:t>
      </w:r>
      <w:r>
        <w:rPr>
          <w:rStyle w:val="SourceText"/>
        </w:rPr>
        <w:t>TumorRegistrado</w:t>
      </w:r>
      <w:r>
        <w:rPr/>
        <w:t>; multiplicidad ilustrativa, claves personales restringidas. Vista completa en el Anexo B.1.</w:t>
      </w:r>
    </w:p>
    <w:p>
      <w:pPr>
        <w:pStyle w:val="BodyText"/>
        <w:bidi w:val="0"/>
        <w:jc w:val="start"/>
        <w:rPr/>
      </w:pPr>
      <w:r>
        <w:rPr/>
        <w:t xml:space="preserve">El caso de uso </w:t>
      </w:r>
      <w:r>
        <w:rPr>
          <w:rStyle w:val="SourceText"/>
        </w:rPr>
        <w:t>CU-01</w:t>
      </w:r>
      <w:r>
        <w:rPr/>
        <w:t xml:space="preserve"> sitúa la consulta y la exportación en el espacio público. Como la vista contiene solo dos objetivos, se muestra completa para conservar la relación con el actor y las notas sobre filtros, medidas, formatos y cortes definitivos. Véase también la exportación original en el Anexo B.2.</w:t>
      </w:r>
    </w:p>
    <w:p>
      <w:pPr>
        <w:pStyle w:val="BodyText"/>
        <w:bidi w:val="0"/>
        <w:jc w:val="center"/>
        <w:rPr/>
      </w:pPr>
      <w:r>
        <w:rPr/>
        <w:drawing>
          <wp:inline distT="0" distB="0" distL="0" distR="0">
            <wp:extent cx="5238750" cy="3581400"/>
            <wp:effectExtent l="0" t="0" r="0" b="0"/>
            <wp:docPr id="5" name="Image5" descr="" title="CU-01 completo: consulta pública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CU-01 completo: consulta pública y exportación"/>
                    <pic:cNvPicPr>
                      <a:picLocks noChangeAspect="1" noChangeArrowheads="1"/>
                    </pic:cNvPicPr>
                  </pic:nvPicPr>
                  <pic:blipFill>
                    <a:blip r:embed="rId7"/>
                    <a:stretch>
                      <a:fillRect/>
                    </a:stretch>
                  </pic:blipFill>
                  <pic:spPr bwMode="auto">
                    <a:xfrm>
                      <a:off x="0" y="0"/>
                      <a:ext cx="5238750" cy="3581400"/>
                    </a:xfrm>
                    <a:prstGeom prst="rect">
                      <a:avLst/>
                    </a:prstGeom>
                  </pic:spPr>
                </pic:pic>
              </a:graphicData>
            </a:graphic>
          </wp:inline>
        </w:drawing>
      </w:r>
    </w:p>
    <w:p>
      <w:pPr>
        <w:pStyle w:val="BodyText"/>
        <w:bidi w:val="0"/>
        <w:jc w:val="start"/>
        <w:rPr/>
      </w:pPr>
      <w:r>
        <w:rPr>
          <w:rStyle w:val="Strong"/>
        </w:rPr>
        <w:t>Figura 2.2.</w:t>
      </w:r>
      <w:r>
        <w:rPr/>
        <w:t xml:space="preserve"> Caso de uso </w:t>
      </w:r>
      <w:r>
        <w:rPr>
          <w:rStyle w:val="SourceText"/>
        </w:rPr>
        <w:t>CU-01</w:t>
      </w:r>
      <w:r>
        <w:rPr/>
        <w:t>: consulta pública y exportación. Al ser una vista breve, se muestra completa; la exportación original está en el Anexo B.2.</w:t>
      </w:r>
    </w:p>
    <w:p>
      <w:pPr>
        <w:pStyle w:val="BodyText"/>
        <w:bidi w:val="0"/>
        <w:jc w:val="start"/>
        <w:rPr/>
      </w:pPr>
      <w:r>
        <w:rPr/>
        <w:t xml:space="preserve">La actividad </w:t>
      </w:r>
      <w:r>
        <w:rPr>
          <w:rStyle w:val="SourceText"/>
        </w:rPr>
        <w:t>ACT-02</w:t>
      </w:r>
      <w:r>
        <w:rPr/>
        <w:t xml:space="preserve"> se presenta en dos momentos: selección y validación de filtros; luego disponibilidad de numeradores y denominadores, cálculo y decisión de salida. Los recortes se solapan ligeramente para mantener visible la continuidad. El recorrido completo, incluidas las calles, está en el Anexo B.3.</w:t>
      </w:r>
    </w:p>
    <w:p>
      <w:pPr>
        <w:pStyle w:val="BodyText"/>
        <w:bidi w:val="0"/>
        <w:jc w:val="center"/>
        <w:rPr/>
      </w:pPr>
      <w:r>
        <w:rPr/>
        <w:drawing>
          <wp:inline distT="0" distB="0" distL="0" distR="0">
            <wp:extent cx="5238750" cy="2133600"/>
            <wp:effectExtent l="0" t="0" r="0" b="0"/>
            <wp:docPr id="6" name="Image6" descr="" title="Recorte ACT-02: filtros y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Recorte ACT-02: filtros y validación"/>
                    <pic:cNvPicPr>
                      <a:picLocks noChangeAspect="1" noChangeArrowheads="1"/>
                    </pic:cNvPicPr>
                  </pic:nvPicPr>
                  <pic:blipFill>
                    <a:blip r:embed="rId8"/>
                    <a:stretch>
                      <a:fillRect/>
                    </a:stretch>
                  </pic:blipFill>
                  <pic:spPr bwMode="auto">
                    <a:xfrm>
                      <a:off x="0" y="0"/>
                      <a:ext cx="5238750" cy="2133600"/>
                    </a:xfrm>
                    <a:prstGeom prst="rect">
                      <a:avLst/>
                    </a:prstGeom>
                  </pic:spPr>
                </pic:pic>
              </a:graphicData>
            </a:graphic>
          </wp:inline>
        </w:drawing>
      </w:r>
    </w:p>
    <w:p>
      <w:pPr>
        <w:pStyle w:val="BodyText"/>
        <w:bidi w:val="0"/>
        <w:jc w:val="start"/>
        <w:rPr/>
      </w:pPr>
      <w:r>
        <w:rPr>
          <w:rStyle w:val="Strong"/>
        </w:rPr>
        <w:t>Figura 2.3a.</w:t>
      </w:r>
      <w:r>
        <w:rPr/>
        <w:t xml:space="preserve"> Recorte de </w:t>
      </w:r>
      <w:r>
        <w:rPr>
          <w:rStyle w:val="SourceText"/>
        </w:rPr>
        <w:t>ACT-02</w:t>
      </w:r>
      <w:r>
        <w:rPr/>
        <w:t>: selección y validación inicial de filtros. Vista completa en el Anexo B.3.</w:t>
      </w:r>
    </w:p>
    <w:p>
      <w:pPr>
        <w:pStyle w:val="BodyText"/>
        <w:bidi w:val="0"/>
        <w:jc w:val="center"/>
        <w:rPr/>
      </w:pPr>
      <w:r>
        <w:rPr/>
        <w:drawing>
          <wp:inline distT="0" distB="0" distL="0" distR="0">
            <wp:extent cx="5238750" cy="4714875"/>
            <wp:effectExtent l="0" t="0" r="0" b="0"/>
            <wp:docPr id="7" name="Image7" descr="" title="Recorte ACT-02: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Recorte ACT-02: cálculo"/>
                    <pic:cNvPicPr>
                      <a:picLocks noChangeAspect="1" noChangeArrowheads="1"/>
                    </pic:cNvPicPr>
                  </pic:nvPicPr>
                  <pic:blipFill>
                    <a:blip r:embed="rId9"/>
                    <a:stretch>
                      <a:fillRect/>
                    </a:stretch>
                  </pic:blipFill>
                  <pic:spPr bwMode="auto">
                    <a:xfrm>
                      <a:off x="0" y="0"/>
                      <a:ext cx="5238750" cy="4714875"/>
                    </a:xfrm>
                    <a:prstGeom prst="rect">
                      <a:avLst/>
                    </a:prstGeom>
                  </pic:spPr>
                </pic:pic>
              </a:graphicData>
            </a:graphic>
          </wp:inline>
        </w:drawing>
      </w:r>
    </w:p>
    <w:p>
      <w:pPr>
        <w:pStyle w:val="BodyText"/>
        <w:bidi w:val="0"/>
        <w:jc w:val="start"/>
        <w:rPr/>
      </w:pPr>
      <w:r>
        <w:rPr>
          <w:rStyle w:val="Strong"/>
        </w:rPr>
        <w:t>Figura 2.3b.</w:t>
      </w:r>
      <w:r>
        <w:rPr/>
        <w:t xml:space="preserve"> Recorte de </w:t>
      </w:r>
      <w:r>
        <w:rPr>
          <w:rStyle w:val="SourceText"/>
        </w:rPr>
        <w:t>ACT-02</w:t>
      </w:r>
      <w:r>
        <w:rPr/>
        <w:t>: disponibilidad de datos y cálculo de medidas. Vista completa en el Anexo B.3.</w:t>
      </w:r>
    </w:p>
    <w:p>
      <w:pPr>
        <w:pStyle w:val="BodyText"/>
        <w:bidi w:val="0"/>
        <w:jc w:val="start"/>
        <w:rPr/>
      </w:pPr>
      <w:r>
        <w:rPr/>
        <w:t xml:space="preserve">El modelo entidad-relación </w:t>
      </w:r>
      <w:r>
        <w:rPr>
          <w:rStyle w:val="SourceText"/>
        </w:rPr>
        <w:t>ER-01</w:t>
      </w:r>
      <w:r>
        <w:rPr/>
        <w:t xml:space="preserve"> es preliminar. Sus dos recortes destacan las dos poblaciones que el diseño debe mantener separadas: ONEI como fuente de denominadores y la población estándar como origen de pesos. El resto de entidades, relaciones y campos puede consultarse en la vista completa del Anexo B.9; el dibujo no fija el modelo físico ni resuelve el grano del CSV.</w:t>
      </w:r>
    </w:p>
    <w:p>
      <w:pPr>
        <w:pStyle w:val="BodyText"/>
        <w:bidi w:val="0"/>
        <w:jc w:val="center"/>
        <w:rPr/>
      </w:pPr>
      <w:r>
        <w:rPr/>
        <w:drawing>
          <wp:inline distT="0" distB="0" distL="0" distR="0">
            <wp:extent cx="5238750" cy="2324100"/>
            <wp:effectExtent l="0" t="0" r="0" b="0"/>
            <wp:docPr id="8" name="Image8" descr="" title="Recorte ER-01: población denominadora ON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Recorte ER-01: población denominadora ONEI"/>
                    <pic:cNvPicPr>
                      <a:picLocks noChangeAspect="1" noChangeArrowheads="1"/>
                    </pic:cNvPicPr>
                  </pic:nvPicPr>
                  <pic:blipFill>
                    <a:blip r:embed="rId10"/>
                    <a:stretch>
                      <a:fillRect/>
                    </a:stretch>
                  </pic:blipFill>
                  <pic:spPr bwMode="auto">
                    <a:xfrm>
                      <a:off x="0" y="0"/>
                      <a:ext cx="5238750" cy="2324100"/>
                    </a:xfrm>
                    <a:prstGeom prst="rect">
                      <a:avLst/>
                    </a:prstGeom>
                  </pic:spPr>
                </pic:pic>
              </a:graphicData>
            </a:graphic>
          </wp:inline>
        </w:drawing>
      </w:r>
    </w:p>
    <w:p>
      <w:pPr>
        <w:pStyle w:val="BodyText"/>
        <w:bidi w:val="0"/>
        <w:jc w:val="start"/>
        <w:rPr/>
      </w:pPr>
      <w:r>
        <w:rPr>
          <w:rStyle w:val="Strong"/>
        </w:rPr>
        <w:t>Figura 2.4a.</w:t>
      </w:r>
      <w:r>
        <w:rPr/>
        <w:t xml:space="preserve"> Recorte de </w:t>
      </w:r>
      <w:r>
        <w:rPr>
          <w:rStyle w:val="SourceText"/>
        </w:rPr>
        <w:t>ER-01</w:t>
      </w:r>
      <w:r>
        <w:rPr/>
        <w:t>: dimensiones de territorio, sexo y edad que estratifican la población ONEI. Vista completa en el Anexo B.9.</w:t>
      </w:r>
    </w:p>
    <w:p>
      <w:pPr>
        <w:pStyle w:val="BodyText"/>
        <w:bidi w:val="0"/>
        <w:jc w:val="center"/>
        <w:rPr/>
      </w:pPr>
      <w:r>
        <w:rPr/>
        <w:drawing>
          <wp:inline distT="0" distB="0" distL="0" distR="0">
            <wp:extent cx="5238750" cy="3076575"/>
            <wp:effectExtent l="0" t="0" r="0" b="0"/>
            <wp:docPr id="9" name="Image9" descr="" title="Recorte ER-01: población estándar y p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Recorte ER-01: población estándar y pesos"/>
                    <pic:cNvPicPr>
                      <a:picLocks noChangeAspect="1" noChangeArrowheads="1"/>
                    </pic:cNvPicPr>
                  </pic:nvPicPr>
                  <pic:blipFill>
                    <a:blip r:embed="rId11"/>
                    <a:stretch>
                      <a:fillRect/>
                    </a:stretch>
                  </pic:blipFill>
                  <pic:spPr bwMode="auto">
                    <a:xfrm>
                      <a:off x="0" y="0"/>
                      <a:ext cx="5238750" cy="3076575"/>
                    </a:xfrm>
                    <a:prstGeom prst="rect">
                      <a:avLst/>
                    </a:prstGeom>
                  </pic:spPr>
                </pic:pic>
              </a:graphicData>
            </a:graphic>
          </wp:inline>
        </w:drawing>
      </w:r>
    </w:p>
    <w:p>
      <w:pPr>
        <w:pStyle w:val="BodyText"/>
        <w:bidi w:val="0"/>
        <w:jc w:val="start"/>
        <w:rPr/>
      </w:pPr>
      <w:r>
        <w:rPr>
          <w:rStyle w:val="Strong"/>
        </w:rPr>
        <w:t>Figura 2.4b.</w:t>
      </w:r>
      <w:r>
        <w:rPr/>
        <w:t xml:space="preserve"> Recorte de </w:t>
      </w:r>
      <w:r>
        <w:rPr>
          <w:rStyle w:val="SourceText"/>
        </w:rPr>
        <w:t>ER-01</w:t>
      </w:r>
      <w:r>
        <w:rPr/>
        <w:t>: relación entre población estándar, grupos de edad y pesos. Vista completa en el Anexo B.9.</w:t>
      </w:r>
    </w:p>
    <w:p>
      <w:pPr>
        <w:pStyle w:val="BodyText"/>
        <w:bidi w:val="0"/>
        <w:jc w:val="start"/>
        <w:rPr/>
      </w:pPr>
      <w:r>
        <w:rPr/>
        <w:t xml:space="preserve">La actividad </w:t>
      </w:r>
      <w:r>
        <w:rPr>
          <w:rStyle w:val="SourceText"/>
        </w:rPr>
        <w:t>ACT-01</w:t>
      </w:r>
      <w:r>
        <w:rPr/>
        <w:t xml:space="preserve"> documenta una propuesta de incorporación técnica. La Figura 2.5a destaca la selección del corte y la comprobación del contrato estructural; la Figura 2.5b enfoca la evaluación de evidencia, la cobertura ONEI y el registro del resultado técnico. El flujo íntegro del Anexo B.11 incluye los caminos de incompatibilidad y revisión. Este proceso no corrige casos clínicos ni decide si un desglose debe publicarse.</w:t>
      </w:r>
    </w:p>
    <w:p>
      <w:pPr>
        <w:pStyle w:val="BodyText"/>
        <w:bidi w:val="0"/>
        <w:jc w:val="center"/>
        <w:rPr/>
      </w:pPr>
      <w:r>
        <w:rPr/>
        <w:drawing>
          <wp:inline distT="0" distB="0" distL="0" distR="0">
            <wp:extent cx="5238750" cy="1790700"/>
            <wp:effectExtent l="0" t="0" r="0" b="0"/>
            <wp:docPr id="10" name="Image10" descr="" title="Recorte ACT-01: recepción y contrato estruc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Recorte ACT-01: recepción y contrato estructural"/>
                    <pic:cNvPicPr>
                      <a:picLocks noChangeAspect="1" noChangeArrowheads="1"/>
                    </pic:cNvPicPr>
                  </pic:nvPicPr>
                  <pic:blipFill>
                    <a:blip r:embed="rId12"/>
                    <a:stretch>
                      <a:fillRect/>
                    </a:stretch>
                  </pic:blipFill>
                  <pic:spPr bwMode="auto">
                    <a:xfrm>
                      <a:off x="0" y="0"/>
                      <a:ext cx="5238750" cy="1790700"/>
                    </a:xfrm>
                    <a:prstGeom prst="rect">
                      <a:avLst/>
                    </a:prstGeom>
                  </pic:spPr>
                </pic:pic>
              </a:graphicData>
            </a:graphic>
          </wp:inline>
        </w:drawing>
      </w:r>
    </w:p>
    <w:p>
      <w:pPr>
        <w:pStyle w:val="BodyText"/>
        <w:bidi w:val="0"/>
        <w:jc w:val="start"/>
        <w:rPr/>
      </w:pPr>
      <w:r>
        <w:rPr>
          <w:rStyle w:val="Strong"/>
        </w:rPr>
        <w:t>Figura 2.5a.</w:t>
      </w:r>
      <w:r>
        <w:rPr/>
        <w:t xml:space="preserve"> Recorte de </w:t>
      </w:r>
      <w:r>
        <w:rPr>
          <w:rStyle w:val="SourceText"/>
        </w:rPr>
        <w:t>ACT-01</w:t>
      </w:r>
      <w:r>
        <w:rPr/>
        <w:t>: recepción del archivo y comprobación técnica inicial. Vista completa en el Anexo B.11.</w:t>
      </w:r>
    </w:p>
    <w:p>
      <w:pPr>
        <w:pStyle w:val="BodyText"/>
        <w:bidi w:val="0"/>
        <w:jc w:val="center"/>
        <w:rPr/>
      </w:pPr>
      <w:r>
        <w:rPr/>
        <w:drawing>
          <wp:inline distT="0" distB="0" distL="0" distR="0">
            <wp:extent cx="5238750" cy="2762250"/>
            <wp:effectExtent l="0" t="0" r="0" b="0"/>
            <wp:docPr id="11" name="Image11" descr="" title="Recorte ACT-01: evidencia, cobertura y resultad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Recorte ACT-01: evidencia, cobertura y resultado técnico"/>
                    <pic:cNvPicPr>
                      <a:picLocks noChangeAspect="1" noChangeArrowheads="1"/>
                    </pic:cNvPicPr>
                  </pic:nvPicPr>
                  <pic:blipFill>
                    <a:blip r:embed="rId13"/>
                    <a:stretch>
                      <a:fillRect/>
                    </a:stretch>
                  </pic:blipFill>
                  <pic:spPr bwMode="auto">
                    <a:xfrm>
                      <a:off x="0" y="0"/>
                      <a:ext cx="5238750" cy="2762250"/>
                    </a:xfrm>
                    <a:prstGeom prst="rect">
                      <a:avLst/>
                    </a:prstGeom>
                  </pic:spPr>
                </pic:pic>
              </a:graphicData>
            </a:graphic>
          </wp:inline>
        </w:drawing>
      </w:r>
    </w:p>
    <w:p>
      <w:pPr>
        <w:pStyle w:val="BodyText"/>
        <w:bidi w:val="0"/>
        <w:jc w:val="start"/>
        <w:rPr/>
      </w:pPr>
      <w:r>
        <w:rPr>
          <w:rStyle w:val="Strong"/>
        </w:rPr>
        <w:t>Figura 2.5b.</w:t>
      </w:r>
      <w:r>
        <w:rPr/>
        <w:t xml:space="preserve"> Recorte de </w:t>
      </w:r>
      <w:r>
        <w:rPr>
          <w:rStyle w:val="SourceText"/>
        </w:rPr>
        <w:t>ACT-01</w:t>
      </w:r>
      <w:r>
        <w:rPr/>
        <w:t>: evidencia de definitividad, cobertura poblacional y registro del resultado. Vista completa en el Anexo B.11.</w:t>
      </w:r>
    </w:p>
    <w:p>
      <w:pPr>
        <w:pStyle w:val="BodyText"/>
        <w:bidi w:val="0"/>
        <w:jc w:val="start"/>
        <w:rPr/>
      </w:pPr>
      <w:r>
        <w:rPr/>
        <w:t xml:space="preserve">Las demás vistas completan esta propuesta sin repetirse aquí en tamaño reducido: </w:t>
      </w:r>
      <w:r>
        <w:rPr>
          <w:rStyle w:val="SourceText"/>
        </w:rPr>
        <w:t>SD-01</w:t>
      </w:r>
      <w:r>
        <w:rPr/>
        <w:t xml:space="preserve"> detalla la consulta; </w:t>
      </w:r>
      <w:r>
        <w:rPr>
          <w:rStyle w:val="SourceText"/>
        </w:rPr>
        <w:t>CD-01</w:t>
      </w:r>
      <w:r>
        <w:rPr/>
        <w:t xml:space="preserve"> las responsabilidades de sus clases; </w:t>
      </w:r>
      <w:r>
        <w:rPr>
          <w:rStyle w:val="SourceText"/>
        </w:rPr>
        <w:t>CMP-01</w:t>
      </w:r>
      <w:r>
        <w:rPr/>
        <w:t xml:space="preserve"> la organización de componentes; </w:t>
      </w:r>
      <w:r>
        <w:rPr>
          <w:rStyle w:val="SourceText"/>
        </w:rPr>
        <w:t>CD-02</w:t>
      </w:r>
      <w:r>
        <w:rPr/>
        <w:t>/</w:t>
      </w:r>
      <w:r>
        <w:rPr>
          <w:rStyle w:val="SourceText"/>
        </w:rPr>
        <w:t>SD-03</w:t>
      </w:r>
      <w:r>
        <w:rPr/>
        <w:t xml:space="preserve"> la estrategia e interacción de exportación; </w:t>
      </w:r>
      <w:r>
        <w:rPr>
          <w:rStyle w:val="SourceText"/>
        </w:rPr>
        <w:t>CU-02</w:t>
      </w:r>
      <w:r>
        <w:rPr/>
        <w:t>/</w:t>
      </w:r>
      <w:r>
        <w:rPr>
          <w:rStyle w:val="SourceText"/>
        </w:rPr>
        <w:t>ACT-01</w:t>
      </w:r>
      <w:r>
        <w:rPr/>
        <w:t xml:space="preserve"> el recorrido administrativo; y </w:t>
      </w:r>
      <w:r>
        <w:rPr>
          <w:rStyle w:val="SourceText"/>
        </w:rPr>
        <w:t>CD-03</w:t>
      </w:r>
      <w:r>
        <w:rPr/>
        <w:t>/</w:t>
      </w:r>
      <w:r>
        <w:rPr>
          <w:rStyle w:val="SourceText"/>
        </w:rPr>
        <w:t>SD-02</w:t>
      </w:r>
      <w:r>
        <w:rPr/>
        <w:t xml:space="preserve"> las clases e interacción de incorporación. Sus exportaciones completas se identifican en el Anexo B. La coherencia entre cada secuencia, las operaciones de las clases y los requisitos debe revisarse antes de considerar cerrado el diseño.</w:t>
      </w:r>
    </w:p>
    <w:p>
      <w:pPr>
        <w:pStyle w:val="BodyText"/>
        <w:bidi w:val="0"/>
        <w:jc w:val="start"/>
        <w:rPr/>
      </w:pPr>
      <w:r>
        <w:rPr/>
        <w:t xml:space="preserve">El </w:t>
      </w:r>
      <w:hyperlink r:id="rId14">
        <w:r>
          <w:rPr>
            <w:rStyle w:val="Hyperlink"/>
          </w:rPr>
          <w:t>método y especificación de clases</w:t>
        </w:r>
      </w:hyperlink>
      <w:r>
        <w:rPr/>
        <w:t xml:space="preserve"> y la </w:t>
      </w:r>
      <w:hyperlink r:id="rId15">
        <w:r>
          <w:rPr>
            <w:rStyle w:val="Hyperlink"/>
          </w:rPr>
          <w:t>guía de construcción de StarUML</w:t>
        </w:r>
      </w:hyperlink>
      <w:r>
        <w:rPr/>
        <w:t xml:space="preserve"> contienen los elementos, relaciones, nombres y comprobaciones de cada figura.</w:t>
      </w:r>
    </w:p>
    <w:p>
      <w:pPr>
        <w:pStyle w:val="Heading2"/>
        <w:bidi w:val="0"/>
        <w:ind w:hanging="0" w:start="0" w:end="0"/>
        <w:jc w:val="start"/>
        <w:rPr/>
      </w:pPr>
      <w:bookmarkStart w:id="17" w:name="24-datos-y-calculos"/>
      <w:bookmarkEnd w:id="17"/>
      <w:r>
        <w:rPr/>
        <w:t>2.4. Datos y cálculos</w:t>
      </w:r>
    </w:p>
    <w:p>
      <w:pPr>
        <w:pStyle w:val="BodyText"/>
        <w:bidi w:val="0"/>
        <w:jc w:val="start"/>
        <w:rPr/>
      </w:pPr>
      <w:r>
        <w:rPr/>
        <w:t xml:space="preserve">El contrato estructural conocido contiene 84 columnas y conserva su orden entre las entregas previstas [24]. El Manual de Procedimientos separa en el formulario de caso dirección/residencia habitual, localidad, municipio y provincia; define municipio y provincia como datos de residencia, y registra aparte la provincia informante. También incluye incidencia total por municipio de residencia en sus cuadros [3]. Sin embargo, el Manual no asigna los encabezados abreviados del CSV recibido a esos campos ni establece aquí sus códigos municipales. El estudiante recuerda que </w:t>
      </w:r>
      <w:r>
        <w:rPr>
          <w:rStyle w:val="SourceText"/>
        </w:rPr>
        <w:t>LOC</w:t>
      </w:r>
      <w:r>
        <w:rPr/>
        <w:t xml:space="preserve"> y </w:t>
      </w:r>
      <w:r>
        <w:rPr>
          <w:rStyle w:val="SourceText"/>
        </w:rPr>
        <w:t>LUGAR</w:t>
      </w:r>
      <w:r>
        <w:rPr/>
        <w:t xml:space="preserve"> podrían ser equivalentes y referirse al municipio, pero esta interpretación no está confirmada: el diccionario debe aclarar su significado, granularidad, códigos y relación con residencia, atención o fuente informante. No se deben fusionar ni contar como dimensiones independientes hasta aclararlo.</w:t>
      </w:r>
    </w:p>
    <w:p>
      <w:pPr>
        <w:pStyle w:val="BodyText"/>
        <w:bidi w:val="0"/>
        <w:jc w:val="start"/>
        <w:rPr/>
      </w:pPr>
      <w:r>
        <w:rPr/>
        <w:t>En la clasificación tumoral, el Manual distingue topografía (sitio anatómico/subsitio) de morfología (diagnóstico histológico completo) [3]. Para identificar el tipo histológico de un linfoma se necesita la morfología; el formulario registra además Ann Arbor para linfomas, que corresponde a estadio y no sustituye la histología. Por ello, una consulta sobre Hodgkin debe precisar si agrupa por tipo histológico, por estadio o por ambos. La categoría analítica y la correspondencia entre códigos y filtros/publicación deben seguir la clasificación y las agrupaciones que autorice el RNC; la referencia internacional de CIE-O fundamenta la distinción entre ejes, pero no define por sí sola una regla cubana [34].</w:t>
      </w:r>
    </w:p>
    <w:p>
      <w:pPr>
        <w:pStyle w:val="BodyText"/>
        <w:bidi w:val="0"/>
        <w:jc w:val="start"/>
        <w:rPr/>
      </w:pPr>
      <w:r>
        <w:rPr/>
        <w:t xml:space="preserve">El Anexo 3.1 del Manual establece requisitos para los paquetes de cierre enviados desde las provincias/unidades al RNC, incluida la exportación desde el sistema automatizado y la prohibición de manipular esas bases con otro software [3]. No se ha demostrado que el CSV de muestra del proyecto sea ese paquete interno; origen, autorización y tratamiento deben aclararse antes de diseñar el importador. El año de incidencia, tipos, dominios, nulabilidad, relación entre identificadores, codificación municipal y campos obligatorios necesitan diccionario autorizado. El grano comunicado es una fila por tumor [35]; permite diseñar conceptualmente conteos por tumor y, con clave autorizada, por persona. Solo el nivel territorial aprobado debe llegar a la capa analítica; una dirección exacta no es necesaria para los gráficos previstos. El contraste preliminar de encabezados está en el </w:t>
      </w:r>
      <w:hyperlink r:id="rId16">
        <w:r>
          <w:rPr>
            <w:rStyle w:val="Hyperlink"/>
          </w:rPr>
          <w:t>esquema recibido</w:t>
        </w:r>
      </w:hyperlink>
      <w:r>
        <w:rPr/>
        <w:t>; no se copian valores clínicos ni identificadores al informe. Los datos sintéticos para probar volumen y gráficos se prepararán en una etapa posterior sin reutilizar valores reales [24], [35].</w:t>
      </w:r>
    </w:p>
    <w:p>
      <w:pPr>
        <w:pStyle w:val="BodyText"/>
        <w:bidi w:val="0"/>
        <w:jc w:val="start"/>
        <w:rPr/>
      </w:pPr>
      <w:r>
        <w:rPr/>
        <w:t>El modelo conceptual debe distinguir persona, tumor, población denominadora ONEI y población estándar, además de clasificación, territorio, sexo, edades, conteo/universo y versión del corte. La clasificación de tumores y la presentación agregada pueden tener niveles y códigos diferentes [3], [5]. La relación lógica de una persona con uno o varios tumores queda respaldada por la aclaración sobre la unidad por fila [35], pero las tablas, claves y cardinalidades físicas esperan el diccionario y autorización del archivo.</w:t>
      </w:r>
    </w:p>
    <w:p>
      <w:pPr>
        <w:pStyle w:val="BodyText"/>
        <w:bidi w:val="0"/>
        <w:jc w:val="start"/>
        <w:rPr/>
      </w:pPr>
      <w:r>
        <w:rPr>
          <w:rStyle w:val="Strong"/>
        </w:rPr>
        <w:t>Cuestiones pendientes para cerrar esta sección:</w:t>
      </w:r>
      <w:r>
        <w:rPr/>
        <w:t xml:space="preserve"> obtener el diccionario y la clave autorizada de persona; localizar la edición ONEI y su procedimiento de solicitud/cobertura por edad simple y municipio; cotejar ajuste internacional con un resultado RNC; acordar edades desconocidas, ceros, rangos nuevos e intervalos de confianza; y definir la política de divulgación y autoridad de publicación. Las pruebas de referencia y los datos sintéticos se prepararán después de conocer esas reglas, manteniendo separados datos reales y sintéticos [16], [22], [24], [35].</w:t>
      </w:r>
    </w:p>
    <w:p>
      <w:pPr>
        <w:pStyle w:val="Heading2"/>
        <w:bidi w:val="0"/>
        <w:ind w:hanging="0" w:start="0" w:end="0"/>
        <w:jc w:val="start"/>
        <w:rPr/>
      </w:pPr>
      <w:bookmarkStart w:id="18" w:name="25-seleccion-tecnologica-y-prototipos"/>
      <w:bookmarkEnd w:id="18"/>
      <w:r>
        <w:rPr/>
        <w:t>2.5. Selección tecnológica y prototipos</w:t>
      </w:r>
    </w:p>
    <w:p>
      <w:pPr>
        <w:pStyle w:val="BodyText"/>
        <w:bidi w:val="0"/>
        <w:jc w:val="start"/>
        <w:rPr/>
      </w:pPr>
      <w:r>
        <w:rPr/>
        <w:t>El Anexo A exige comparar tecnologías de cálculo, visualización, aplicación y almacenamiento [2]. La evaluación considera ajuste al trabajo estadístico, contrato de entrada CSV, simplicidad operativa, accesibilidad, conectividad limitada, licencias y posibilidad de desplegar en la infraestructura disponible. La revisión de documentación primaria vigente se recoge en la matriz técnica de arquitectura [25].</w:t>
      </w:r>
    </w:p>
    <w:p>
      <w:pPr>
        <w:pStyle w:val="BodyText"/>
        <w:bidi w:val="0"/>
        <w:jc w:val="start"/>
        <w:rPr/>
      </w:pPr>
      <w:r>
        <w:rPr/>
        <w:t xml:space="preserve">La recomendación inicial es </w:t>
      </w:r>
      <w:r>
        <w:rPr>
          <w:rStyle w:val="Strong"/>
        </w:rPr>
        <w:t>Python con Django</w:t>
      </w:r>
      <w:r>
        <w:rPr/>
        <w:t xml:space="preserve"> en un monolito modular, usando HTML/CSS y JavaScript progresivo para no añadir de inicio un frontend SPA separado. Python permite mantener el procesamiento y la aplicación en un mismo entorno; Django aporta formularios, plantillas, estructura y controles web integrados [25]. </w:t>
      </w:r>
      <w:r>
        <w:rPr>
          <w:rStyle w:val="Strong"/>
        </w:rPr>
        <w:t>Django no impone el aspecto visual:</w:t>
      </w:r>
      <w:r>
        <w:rPr/>
        <w:t xml:space="preserve"> sus plantillas permiten trabajar libremente la presentación, por lo que es posible crear un sitio muy atractivo y con identidad propia [30], [31]. La calidad visual dependerá de los wireframes, la tipografía, la jerarquía, la paleta, las imágenes, la composición y los detalles de interacción, además de las pruebas en escritorio y móvil.</w:t>
      </w:r>
    </w:p>
    <w:p>
      <w:pPr>
        <w:pStyle w:val="BodyText"/>
        <w:bidi w:val="0"/>
        <w:jc w:val="start"/>
        <w:rPr/>
      </w:pPr>
      <w:r>
        <w:rPr/>
        <w:t>Para la capa visual se propone comparar CSS propio organizado con tokens y componentes reutilizables, Bootstrap con tema personalizado y Tailwind CSS. Bootstrap aporta una base responsiva mobile-first; Tailwind permite componer estilos y breakpoints propios [32], [33]. No se recomienda dejar un tema predeterminado sin adaptar. La elección se hará en el prototipo atendiendo a identidad visual, accesibilidad, velocidad de diseño y peso servido. FastAPI sería apropiado si se confirma una API independiente; Flask ofrece mayor libertad pero requiere escoger más componentes; Dash/Shiny aceleran prototipos estadísticos, aunque deben probar su adecuación a un portal público ligero y accesible. Java/Spring, ASP.NET Core, Laravel y Node.js permanecen como alternativas si la experiencia del equipo o la infraestructura institucional los favorecen. Esta comparación es una inferencia técnica del alcance, no una aprobación del RNC.</w:t>
      </w:r>
    </w:p>
    <w:p>
      <w:pPr>
        <w:pStyle w:val="BodyText"/>
        <w:bidi w:val="0"/>
        <w:jc w:val="start"/>
        <w:rPr/>
      </w:pPr>
      <w:r>
        <w:rPr/>
        <w:t xml:space="preserve">Para la entrada se propone validar estructura con el módulo estándar </w:t>
      </w:r>
      <w:r>
        <w:rPr>
          <w:rStyle w:val="SourceText"/>
        </w:rPr>
        <w:t>csv</w:t>
      </w:r>
      <w:r>
        <w:rPr/>
        <w:t xml:space="preserve"> y usar </w:t>
      </w:r>
      <w:r>
        <w:rPr>
          <w:rStyle w:val="SourceText"/>
        </w:rPr>
        <w:t>pandas</w:t>
      </w:r>
      <w:r>
        <w:rPr/>
        <w:t xml:space="preserve"> para exploración tabular después de recibir el diccionario y confirmar el grano de cada fila [26]. El volumen estimado de miles de filas no justifica por sí solo herramientas de procesamiento distribuido ni adoptar Polars. Los cálculos epidemiológicos se mantendrían en módulos explícitos, versionados y contrastados con ejemplos aprobados; el método y los intervalos siguen pendientes de validación.</w:t>
      </w:r>
    </w:p>
    <w:p>
      <w:pPr>
        <w:pStyle w:val="BodyText"/>
        <w:bidi w:val="0"/>
        <w:jc w:val="start"/>
        <w:rPr/>
      </w:pPr>
      <w:r>
        <w:rPr/>
        <w:t xml:space="preserve">Para gráficos, </w:t>
      </w:r>
      <w:r>
        <w:rPr>
          <w:rStyle w:val="Strong"/>
        </w:rPr>
        <w:t>Apache ECharts</w:t>
      </w:r>
      <w:r>
        <w:rPr/>
        <w:t xml:space="preserve"> es la primera candidata por la posibilidad de construir un paquete con los componentes usados y por sus recursos ARIA; </w:t>
      </w:r>
      <w:r>
        <w:rPr>
          <w:rStyle w:val="Strong"/>
        </w:rPr>
        <w:t>Plotly.js</w:t>
      </w:r>
      <w:r>
        <w:rPr/>
        <w:t xml:space="preserve"> se mantiene como alternativa directa de comparación [27], [28]. La elección se cerrará en prototipos con mediciones de recursos servidos localmente, claridad, navegación por teclado, lector de pantalla y funcionamiento con conexión limitada. Toda salida gráfica tendrá una tabla equivalente y metadatos; la gráfica no será el único canal de información.</w:t>
      </w:r>
    </w:p>
    <w:p>
      <w:pPr>
        <w:pStyle w:val="BodyText"/>
        <w:bidi w:val="0"/>
        <w:jc w:val="start"/>
        <w:rPr/>
      </w:pPr>
      <w:r>
        <w:rPr/>
        <w:t xml:space="preserve">Para persistencia, </w:t>
      </w:r>
      <w:r>
        <w:rPr>
          <w:rStyle w:val="Strong"/>
        </w:rPr>
        <w:t>PostgreSQL</w:t>
      </w:r>
      <w:r>
        <w:rPr/>
        <w:t xml:space="preserve"> es el candidato productivo inicial por su modelo relacional, restricciones, transacciones y licencia permisiva [29]. SQLite puede facilitar el desarrollo local, pero no se fija como almacén institucional multiusuario. La base definitiva depende de que el RNC/CUJAE confirme los motores, respaldos, permisos y servicios que puede operar. CSV se conserva como formato de transporte, no como almacén de la plataforma.</w:t>
      </w:r>
    </w:p>
    <w:p>
      <w:pPr>
        <w:pStyle w:val="BodyText"/>
        <w:bidi w:val="0"/>
        <w:jc w:val="start"/>
        <w:rPr/>
      </w:pPr>
      <w:r>
        <w:rPr>
          <w:rStyle w:val="Strong"/>
        </w:rPr>
        <w:t>Criterio de diseño visual propuesto.</w:t>
      </w:r>
      <w:r>
        <w:rPr/>
        <w:t xml:space="preserve"> La portada debe conducir al explorador y comunicar el estado real de los datos. En el explorador se propone ordenar la consulta en tres momentos: seleccionar unidad y filtros; revisar el indicador junto con la tabla/gráfico; y consultar procedencia y definiciones. Cada resultado declarará si cuenta tumores o personas distintas. La información de corte, período, estado, población y método aparecerá cerca del título del resultado, no escondida solo en una nota al pie. Los estados de “sin corte”, “sin denominador compatible”, “sin casos” y “salida restringida” tendrán mensajes distintos y nunca mostrarán datos protegidos.</w:t>
      </w:r>
    </w:p>
    <w:p>
      <w:pPr>
        <w:pStyle w:val="BodyText"/>
        <w:bidi w:val="0"/>
        <w:jc w:val="start"/>
        <w:rPr/>
      </w:pPr>
      <w:r>
        <w:rPr/>
        <w:t>La estética inicial usa una paleta sobria de verde profundo, fondo claro cálido y acento coral, con jerarquía tipográfica clara, controles amplios y contraste suficiente. Es una dirección visual del equipo, no una identidad institucional aprobada. La gráfica tendrá una tabla equivalente, etiquetas accesibles y no dependerá únicamente del color. En móvil los filtros se apilan; con JavaScript deshabilitado o una conexión lenta el contenido, estado y tabla permanecen disponibles. Para cuidar transferencia, se priorizan HTML renderizado en servidor, recursos locales, un gráfico ligero, agregación del lado servidor y caché vinculada a corte/método/política. Estas propuestas se evaluarán con tareas y perfiles de conexión acordados, no se declaran resultados de usabilidad o rendimiento [11]–[13], [35].</w:t>
      </w:r>
    </w:p>
    <w:p>
      <w:pPr>
        <w:pStyle w:val="BodyText"/>
        <w:bidi w:val="0"/>
        <w:jc w:val="start"/>
        <w:rPr/>
      </w:pPr>
      <w:r>
        <w:rPr/>
        <w:t>La recomendación por capa queda resumida así:</w:t>
      </w:r>
    </w:p>
    <w:p>
      <w:pPr>
        <w:pStyle w:val="BodyText"/>
        <w:numPr>
          <w:ilvl w:val="0"/>
          <w:numId w:val="3"/>
        </w:numPr>
        <w:tabs>
          <w:tab w:val="clear" w:pos="1134"/>
          <w:tab w:val="left" w:pos="709" w:leader="none"/>
        </w:tabs>
        <w:bidi w:val="0"/>
        <w:spacing w:before="0" w:after="0"/>
        <w:ind w:hanging="283" w:start="709"/>
        <w:jc w:val="start"/>
        <w:rPr/>
      </w:pPr>
      <w:r>
        <w:rPr>
          <w:rStyle w:val="Strong"/>
        </w:rPr>
        <w:t>Aplicación e interfaz:</w:t>
      </w:r>
      <w:r>
        <w:rPr/>
        <w:t xml:space="preserve"> Python/Django con HTML semántico y JavaScript progresivo. FastAPI, Flask, Dash/Shiny, Java/Spring, ASP.NET Core, Laravel y Node.js se mantienen como alternativas si hay necesidad de API, experiencia previa o infraestructura que las favorezca. </w:t>
      </w:r>
    </w:p>
    <w:p>
      <w:pPr>
        <w:pStyle w:val="BodyText"/>
        <w:numPr>
          <w:ilvl w:val="0"/>
          <w:numId w:val="3"/>
        </w:numPr>
        <w:tabs>
          <w:tab w:val="clear" w:pos="1134"/>
          <w:tab w:val="left" w:pos="709" w:leader="none"/>
        </w:tabs>
        <w:bidi w:val="0"/>
        <w:spacing w:before="0" w:after="0"/>
        <w:ind w:hanging="283" w:start="709"/>
        <w:jc w:val="start"/>
        <w:rPr/>
      </w:pPr>
      <w:r>
        <w:rPr>
          <w:rStyle w:val="Strong"/>
        </w:rPr>
        <w:t>Visualización:</w:t>
      </w:r>
      <w:r>
        <w:rPr/>
        <w:t xml:space="preserve"> evaluar Apache ECharts frente a Plotly.js; D3 o Chart.js quedan como opciones para prototipos concretos. La decisión depende del peso descargado y la accesibilidad observada. </w:t>
      </w:r>
    </w:p>
    <w:p>
      <w:pPr>
        <w:pStyle w:val="BodyText"/>
        <w:numPr>
          <w:ilvl w:val="0"/>
          <w:numId w:val="3"/>
        </w:numPr>
        <w:tabs>
          <w:tab w:val="clear" w:pos="1134"/>
          <w:tab w:val="left" w:pos="709" w:leader="none"/>
        </w:tabs>
        <w:bidi w:val="0"/>
        <w:spacing w:before="0" w:after="0"/>
        <w:ind w:hanging="283" w:start="709"/>
        <w:jc w:val="start"/>
        <w:rPr/>
      </w:pPr>
      <w:r>
        <w:rPr>
          <w:rStyle w:val="Strong"/>
        </w:rPr>
        <w:t>Entrada y análisis:</w:t>
      </w:r>
      <w:r>
        <w:rPr/>
        <w:t xml:space="preserve"> módulo </w:t>
      </w:r>
      <w:r>
        <w:rPr>
          <w:rStyle w:val="SourceText"/>
        </w:rPr>
        <w:t>csv</w:t>
      </w:r>
      <w:r>
        <w:rPr/>
        <w:t xml:space="preserve"> para comprobar la estructura; pandas para exploración tabular tras recibir diccionario y grano. XLSX, Polars o R se incorporarán si los formatos, mediciones o experiencia lo justifican. </w:t>
      </w:r>
    </w:p>
    <w:p>
      <w:pPr>
        <w:pStyle w:val="BodyText"/>
        <w:numPr>
          <w:ilvl w:val="0"/>
          <w:numId w:val="3"/>
        </w:numPr>
        <w:tabs>
          <w:tab w:val="clear" w:pos="1134"/>
          <w:tab w:val="left" w:pos="709" w:leader="none"/>
        </w:tabs>
        <w:bidi w:val="0"/>
        <w:spacing w:before="0" w:after="0"/>
        <w:ind w:hanging="283" w:start="709"/>
        <w:jc w:val="start"/>
        <w:rPr/>
      </w:pPr>
      <w:r>
        <w:rPr>
          <w:rStyle w:val="Strong"/>
        </w:rPr>
        <w:t>Persistencia:</w:t>
      </w:r>
      <w:r>
        <w:rPr/>
        <w:t xml:space="preserve"> PostgreSQL es candidato de producción; SQLite sirve para el desarrollo local. DuckDB puede ayudar en análisis local, y el motor relacional institucional puede reemplazar la propuesta. </w:t>
      </w:r>
    </w:p>
    <w:p>
      <w:pPr>
        <w:pStyle w:val="BodyText"/>
        <w:numPr>
          <w:ilvl w:val="0"/>
          <w:numId w:val="3"/>
        </w:numPr>
        <w:tabs>
          <w:tab w:val="clear" w:pos="1134"/>
          <w:tab w:val="left" w:pos="709" w:leader="none"/>
        </w:tabs>
        <w:bidi w:val="0"/>
        <w:ind w:hanging="283" w:start="709"/>
        <w:jc w:val="start"/>
        <w:rPr/>
      </w:pPr>
      <w:r>
        <w:rPr>
          <w:rStyle w:val="Strong"/>
        </w:rPr>
        <w:t>Exportación:</w:t>
      </w:r>
      <w:r>
        <w:rPr/>
        <w:t xml:space="preserve"> CSV con biblioteca estándar; elegir componentes XLSX y PDF tras validar metadatos, presentación y divulgación. </w:t>
      </w:r>
    </w:p>
    <w:p>
      <w:pPr>
        <w:pStyle w:val="BodyText"/>
        <w:bidi w:val="0"/>
        <w:jc w:val="start"/>
        <w:rPr/>
      </w:pPr>
      <w:r>
        <w:rPr>
          <w:rStyle w:val="Strong"/>
        </w:rPr>
        <w:t>Selección para prototipos:</w:t>
      </w:r>
      <w:r>
        <w:rPr/>
        <w:t xml:space="preserve"> Python/Django, HTML progresivo, validación CSV independiente, pandas para exploración, prototipo ECharts/Plotly y SQLite local si facilita el desarrollo. </w:t>
      </w:r>
      <w:r>
        <w:rPr>
          <w:rStyle w:val="Strong"/>
        </w:rPr>
        <w:t>Candidato de producción:</w:t>
      </w:r>
      <w:r>
        <w:rPr/>
        <w:t xml:space="preserve"> PostgreSQL, sujeto a validación institucional. La revisión no cierra versiones concretas ni implementa todavía reglas estadísticas pendientes. Para completar la decisión se requiere confirmar infraestructura, probar los dos gráficos con datos sintéticos de miles de filas, evaluar accesibilidad/conectividad, obtener el diccionario semántico y validar los cálculos con resultados RNC aprobados.</w:t>
      </w:r>
    </w:p>
    <w:p>
      <w:pPr>
        <w:pStyle w:val="BodyText"/>
        <w:bidi w:val="0"/>
        <w:jc w:val="start"/>
        <w:rPr/>
      </w:pPr>
      <w:r>
        <w:rPr/>
        <w:t>Los prototipos deben cubrir dos recorridos. En el público: seleccionar si se cuentan tumores o personas cuando exista clave autorizada; elegir año/territorio/sexo/edad/localización; entender frecuencia y tasa, sus denominadores, período y método; detectar una restricción o ausencia; y exportar. En el prototipo administrativo: recibir el archivo en un flujo restringido, examinar metadatos, revisar errores técnicos, registrar la salida agregada y simular publicación/revocación trazable. El estudiante propone un administrador de soporte con facultades amplias para cambios globales y revocación; el Manual y la Propuesta no especifican roles del nuevo software. Por ello, los perfiles se tratan como propuesta y no como estructura institucional confirmada [3], [35]. La evaluación utilizará tareas observables y registrará finalización, errores, solicitudes de ayuda, comprensión del indicador y facilidad de exportación. WCAG, uso móvil y rendimiento se comprobarán por separado [11]–[13]. No se fijan metas numéricas hasta acordar tareas, dispositivos e infraestructura.</w:t>
      </w:r>
    </w:p>
    <w:p>
      <w:pPr>
        <w:pStyle w:val="Heading2"/>
        <w:bidi w:val="0"/>
        <w:ind w:hanging="0" w:start="0" w:end="0"/>
        <w:jc w:val="start"/>
        <w:rPr/>
      </w:pPr>
      <w:bookmarkStart w:id="19" w:name="conclusiones-parciales-del-capitulo-2"/>
      <w:bookmarkEnd w:id="19"/>
      <w:r>
        <w:rPr/>
        <w:t>Conclusiones parciales del capítulo 2</w:t>
      </w:r>
    </w:p>
    <w:p>
      <w:pPr>
        <w:pStyle w:val="BodyText"/>
        <w:bidi w:val="0"/>
        <w:jc w:val="start"/>
        <w:rPr/>
      </w:pPr>
      <w:r>
        <w:rPr/>
        <w:t>La propuesta de solución cuenta ahora con trece vistas gráficas preliminares: dominio, casos de uso, actividades, interacciones, clases, componentes y datos. Estas vistas hacen explícitos los principales flujos de consulta, incorporación y exportación, y sirven como base revisable para completar el diseño. Aún no demuestran que los requisitos hayan sido aceptados, que las reglas estadísticas estén cerradas ni que el software haya sido implementado. Antes de considerar el diseño validado se deben revisar coherencia entre diagramas, claridad gráfica, correspondencia con requisitos y las decisiones pendientes de datos, métodos y publicación.</w:t>
      </w:r>
    </w:p>
    <w:p>
      <w:pPr>
        <w:pStyle w:val="Heading1"/>
        <w:bidi w:val="0"/>
        <w:ind w:hanging="0" w:start="0" w:end="0"/>
        <w:jc w:val="start"/>
        <w:rPr/>
      </w:pPr>
      <w:bookmarkStart w:id="20" w:name="capitulo-3-implementacion-y-validacion"/>
      <w:bookmarkEnd w:id="20"/>
      <w:r>
        <w:rPr/>
        <w:t>Capítulo 3. Implementación y validación</w:t>
      </w:r>
    </w:p>
    <w:p>
      <w:pPr>
        <w:pStyle w:val="Heading2"/>
        <w:bidi w:val="0"/>
        <w:ind w:hanging="0" w:start="0" w:end="0"/>
        <w:jc w:val="start"/>
        <w:rPr/>
      </w:pPr>
      <w:bookmarkStart w:id="21" w:name="introduccion-del-capitulo_2"/>
      <w:bookmarkEnd w:id="21"/>
      <w:r>
        <w:rPr/>
        <w:t>Introducción del capítulo</w:t>
      </w:r>
    </w:p>
    <w:p>
      <w:pPr>
        <w:pStyle w:val="BodyText"/>
        <w:bidi w:val="0"/>
        <w:jc w:val="start"/>
        <w:rPr/>
      </w:pPr>
      <w:r>
        <w:rPr/>
        <w:t>Este capítulo se completará con los componentes que realmente se implementen durante Prácticas II y con evidencia de pruebas. La guía académica [15] exige describir objetivos de validación, escenarios, entradas, salidas esperadas y obtenidas, herramientas y parámetros pertinentes.</w:t>
      </w:r>
    </w:p>
    <w:p>
      <w:pPr>
        <w:pStyle w:val="Heading2"/>
        <w:bidi w:val="0"/>
        <w:ind w:hanging="0" w:start="0" w:end="0"/>
        <w:jc w:val="start"/>
        <w:rPr/>
      </w:pPr>
      <w:bookmarkStart w:id="22" w:name="31-componentes-implementados"/>
      <w:bookmarkEnd w:id="22"/>
      <w:r>
        <w:rPr/>
        <w:t>3.1. Componentes implementados</w:t>
      </w:r>
    </w:p>
    <w:p>
      <w:pPr>
        <w:pStyle w:val="BodyText"/>
        <w:bidi w:val="0"/>
        <w:jc w:val="start"/>
        <w:rPr/>
      </w:pPr>
      <w:r>
        <w:rPr>
          <w:rStyle w:val="Strong"/>
        </w:rPr>
        <w:t>PENDIENTE:</w:t>
      </w:r>
      <w:r>
        <w:rPr/>
        <w:t xml:space="preserve"> estructura del software, contratos de entrada, motor de tasas/intervalos, consulta, frecuencias y exportación; versión del código y decisiones aplicadas. Distinguir funciones terminadas, prototipos y trabajo posterior.</w:t>
      </w:r>
    </w:p>
    <w:p>
      <w:pPr>
        <w:pStyle w:val="Heading2"/>
        <w:bidi w:val="0"/>
        <w:ind w:hanging="0" w:start="0" w:end="0"/>
        <w:jc w:val="start"/>
        <w:rPr/>
      </w:pPr>
      <w:bookmarkStart w:id="23" w:name="32-diseno-de-pruebas"/>
      <w:bookmarkEnd w:id="23"/>
      <w:r>
        <w:rPr/>
        <w:t>3.2. Diseño de pruebas</w:t>
      </w:r>
    </w:p>
    <w:p>
      <w:pPr>
        <w:pStyle w:val="BodyText"/>
        <w:bidi w:val="0"/>
        <w:jc w:val="start"/>
        <w:rPr/>
      </w:pPr>
      <w:r>
        <w:rPr/>
        <w:t>Preparar casos reproducibles para: tasas crudas y específicas; ajuste directo e indirecto; intervalos; edades 0–4, 85+ y agrupaciones nuevas; denominador cero o ausente; clasificación y filtros; rechazo de archivo incompatible o sin estado definitivo acreditado; exportación coherente con la pantalla; datos sin resultado publicable. Cada caso debe contener entrada, regla/fórmula aplicada, resultado esperado por fuente aprobada, resultado obtenido y veredicto. No presentar como aprobada ninguna cifra calculada únicamente con reglas externas.</w:t>
      </w:r>
    </w:p>
    <w:p>
      <w:pPr>
        <w:pStyle w:val="Heading2"/>
        <w:bidi w:val="0"/>
        <w:ind w:hanging="0" w:start="0" w:end="0"/>
        <w:jc w:val="start"/>
        <w:rPr/>
      </w:pPr>
      <w:bookmarkStart w:id="24" w:name="33-resultados-de-validacion"/>
      <w:bookmarkEnd w:id="24"/>
      <w:r>
        <w:rPr/>
        <w:t>3.3. Resultados de validación</w:t>
      </w:r>
    </w:p>
    <w:p>
      <w:pPr>
        <w:pStyle w:val="BodyText"/>
        <w:bidi w:val="0"/>
        <w:jc w:val="start"/>
        <w:rPr/>
      </w:pPr>
      <w:r>
        <w:rPr>
          <w:rStyle w:val="Strong"/>
        </w:rPr>
        <w:t>PENDIENTE DE EJECUCIÓN:</w:t>
      </w:r>
      <w:r>
        <w:rPr/>
        <w:t xml:space="preserve"> tabla de pruebas y defectos corregidos; evaluación de prototipos con tareas reales; condiciones de dispositivo y conectividad; límites de la prueba. No usar tiempos, porcentajes o capturas ficticios.</w:t>
      </w:r>
    </w:p>
    <w:p>
      <w:pPr>
        <w:pStyle w:val="Heading2"/>
        <w:bidi w:val="0"/>
        <w:ind w:hanging="0" w:start="0" w:end="0"/>
        <w:jc w:val="start"/>
        <w:rPr/>
      </w:pPr>
      <w:bookmarkStart w:id="25" w:name="conclusiones-parciales-del-capitulo-3"/>
      <w:bookmarkEnd w:id="25"/>
      <w:r>
        <w:rPr/>
        <w:t>Conclusiones parciales del capítulo 3</w:t>
      </w:r>
    </w:p>
    <w:p>
      <w:pPr>
        <w:pStyle w:val="BodyText"/>
        <w:bidi w:val="0"/>
        <w:jc w:val="start"/>
        <w:rPr/>
      </w:pPr>
      <w:r>
        <w:rPr>
          <w:rStyle w:val="Strong"/>
        </w:rPr>
        <w:t>PENDIENTE DE RESULTADOS.</w:t>
      </w:r>
      <w:r>
        <w:rPr/>
        <w:t xml:space="preserve"> Explicar qué objetivos de prueba se alcanzaron, cuáles no, y qué limitaciones concretas conserva la versión entregada.</w:t>
      </w:r>
    </w:p>
    <w:p>
      <w:pPr>
        <w:pStyle w:val="Heading1"/>
        <w:bidi w:val="0"/>
        <w:ind w:hanging="0" w:start="0" w:end="0"/>
        <w:jc w:val="start"/>
        <w:rPr/>
      </w:pPr>
      <w:bookmarkStart w:id="26" w:name="conclusiones-generales"/>
      <w:bookmarkEnd w:id="26"/>
      <w:r>
        <w:rPr/>
        <w:t>Conclusiones generales</w:t>
      </w:r>
    </w:p>
    <w:p>
      <w:pPr>
        <w:pStyle w:val="BodyText"/>
        <w:bidi w:val="0"/>
        <w:jc w:val="start"/>
        <w:rPr/>
      </w:pPr>
      <w:r>
        <w:rPr>
          <w:rStyle w:val="Strong"/>
        </w:rPr>
        <w:t>PENDIENTE DE RESULTADOS.</w:t>
      </w:r>
      <w:r>
        <w:rPr/>
        <w:t xml:space="preserve"> Al final, derivar al menos una conclusión técnica por cada objetivo específico cumplido. No reemplazar conclusiones por una lista de tareas realizadas [15].</w:t>
      </w:r>
    </w:p>
    <w:p>
      <w:pPr>
        <w:pStyle w:val="Heading1"/>
        <w:bidi w:val="0"/>
        <w:ind w:hanging="0" w:start="0" w:end="0"/>
        <w:jc w:val="start"/>
        <w:rPr/>
      </w:pPr>
      <w:bookmarkStart w:id="27" w:name="recomendaciones"/>
      <w:bookmarkEnd w:id="27"/>
      <w:r>
        <w:rPr/>
        <w:t>Recomendaciones</w:t>
      </w:r>
    </w:p>
    <w:p>
      <w:pPr>
        <w:pStyle w:val="BodyText"/>
        <w:bidi w:val="0"/>
        <w:jc w:val="start"/>
        <w:rPr/>
      </w:pPr>
      <w:r>
        <w:rPr>
          <w:rStyle w:val="Strong"/>
        </w:rPr>
        <w:t>PENDIENTE DE RESULTADOS.</w:t>
      </w:r>
      <w:r>
        <w:rPr/>
        <w:t xml:space="preserve"> Formular solo continuaciones sustentadas por limitaciones observadas, por ejemplo validar reglas pendientes, ampliar cobertura o completar el panel seguro de la etapa posterior.</w:t>
      </w:r>
    </w:p>
    <w:p>
      <w:pPr>
        <w:pStyle w:val="Heading1"/>
        <w:bidi w:val="0"/>
        <w:ind w:hanging="0" w:start="0" w:end="0"/>
        <w:jc w:val="start"/>
        <w:rPr/>
      </w:pPr>
      <w:bookmarkStart w:id="28" w:name="referencias-de-trabajo"/>
      <w:bookmarkEnd w:id="28"/>
      <w:r>
        <w:rPr/>
        <w:t>Referencias de trabajo</w:t>
      </w:r>
    </w:p>
    <w:p>
      <w:pPr>
        <w:pStyle w:val="BodyText"/>
        <w:bidi w:val="0"/>
        <w:jc w:val="start"/>
        <w:rPr/>
      </w:pPr>
      <w:r>
        <w:rPr/>
        <w:t xml:space="preserve">El formato se normalizará con la tutora. Las fuentes se revisaron hasta el 15-10-2026; el </w:t>
      </w:r>
      <w:hyperlink r:id="rId17">
        <w:r>
          <w:rPr>
            <w:rStyle w:val="Hyperlink"/>
          </w:rPr>
          <w:t>catálogo maestro</w:t>
        </w:r>
      </w:hyperlink>
      <w:r>
        <w:rPr/>
        <w:t xml:space="preserve"> contiene fecha de consulta, ID y estado de cada una.</w:t>
      </w:r>
    </w:p>
    <w:p>
      <w:pPr>
        <w:pStyle w:val="BodyText"/>
        <w:bidi w:val="0"/>
        <w:jc w:val="start"/>
        <w:rPr/>
      </w:pPr>
      <w:r>
        <w:rPr/>
        <w:t xml:space="preserve">[1] Registro Nacional de Cáncer de Cuba y Facultad de Ingeniería Informática, CUJAE. </w:t>
      </w:r>
      <w:r>
        <w:rPr>
          <w:rStyle w:val="Emphasis"/>
        </w:rPr>
        <w:t>Propuesta de Trabajo: Plataforma web interactiva para la visualización del Registro Nacional de Cáncer de Cuba</w:t>
      </w:r>
      <w:r>
        <w:rPr/>
        <w:t>. Documento del proyecto, 2026.</w:t>
        <w:br/>
        <w:t xml:space="preserve">[2] </w:t>
      </w:r>
      <w:r>
        <w:rPr>
          <w:rStyle w:val="Emphasis"/>
        </w:rPr>
        <w:t>Anexo A. Plan individual de tareas del estudiante Danny Fiallo Muñoz</w:t>
      </w:r>
      <w:r>
        <w:rPr/>
        <w:t>. Documento del proyecto, 2026.</w:t>
        <w:br/>
        <w:t xml:space="preserve">[3] Ministerio de Salud Pública de Cuba. </w:t>
      </w:r>
      <w:r>
        <w:rPr>
          <w:rStyle w:val="Emphasis"/>
        </w:rPr>
        <w:t>Manual de procedimientos del Registro Nacional de Cáncer de Cuba</w:t>
      </w:r>
      <w:r>
        <w:rPr/>
        <w:t>, versión VII. La Habana: Editorial Ciencias Médicas, 2024.</w:t>
        <w:br/>
        <w:t xml:space="preserve">[4] Y. Iglesias Ventura. Comunicación escrita al equipo del proyecto sobre grupos etarios y población ONEI, 30-09-2026. Registro de la comunicación: </w:t>
      </w:r>
      <w:r>
        <w:rPr>
          <w:rStyle w:val="SourceText"/>
        </w:rPr>
        <w:t>../08-reuniones/01-aclaracion-yinet-2026-09-30.md</w:t>
      </w:r>
      <w:r>
        <w:rPr/>
        <w:t>.</w:t>
        <w:br/>
        <w:t xml:space="preserve">[5] Ministerio de Salud Pública de Cuba. </w:t>
      </w:r>
      <w:r>
        <w:rPr>
          <w:rStyle w:val="Emphasis"/>
        </w:rPr>
        <w:t>Anuario Estadístico de Salud 2024</w:t>
      </w:r>
      <w:r>
        <w:rPr/>
        <w:t>, edición 2025. https://files.sld.cu/dne/files/2025/09/AES-2024-para-sitio-3.pdf</w:t>
        <w:br/>
        <w:t xml:space="preserve">[6] National Cancer Institute. </w:t>
      </w:r>
      <w:r>
        <w:rPr>
          <w:rStyle w:val="Emphasis"/>
        </w:rPr>
        <w:t>SEER</w:t>
      </w:r>
      <w:r>
        <w:rPr/>
        <w:t>Explorer: Overview</w:t>
      </w:r>
      <w:r>
        <w:rPr>
          <w:rStyle w:val="Emphasis"/>
        </w:rPr>
        <w:t>. Actualización consultada de 2026. https://seer.cancer.gov/statistics-network/explorer/overview.html</w:t>
        <w:br/>
        <w:t xml:space="preserve">[7] International Agency for Research on Cancer. </w:t>
      </w:r>
      <w:r>
        <w:rPr/>
        <w:t>Global Cancer Observatory: Cancer Today</w:t>
      </w:r>
      <w:r>
        <w:rPr>
          <w:rStyle w:val="Emphasis"/>
        </w:rPr>
        <w:t>, versión GLOBOCAN 2024, 08-07-2026. https://gco.iarc.who.int/today/en/</w:t>
        <w:br/>
        <w:t xml:space="preserve">[8] European Commission, Joint Research Centre. </w:t>
      </w:r>
      <w:r>
        <w:rPr/>
        <w:t>European Cancer Information System: Data Explorer</w:t>
      </w:r>
      <w:r>
        <w:rPr>
          <w:rStyle w:val="Emphasis"/>
        </w:rPr>
        <w:t>. https://ecis.jrc.ec.europa.eu/data-explorer</w:t>
        <w:br/>
        <w:t xml:space="preserve">[9] Centers for Disease Control and Prevention. </w:t>
      </w:r>
      <w:r>
        <w:rPr/>
        <w:t>United States Cancer Statistics: Data Visualizations and Technical Notes</w:t>
      </w:r>
      <w:r>
        <w:rPr>
          <w:rStyle w:val="Emphasis"/>
        </w:rPr>
        <w:t>. https://www.cdc.gov/united-states-cancer-statistics/dataviz/index.html</w:t>
        <w:br/>
        <w:t xml:space="preserve">[10] F. Bray y otros, eds. </w:t>
      </w:r>
      <w:r>
        <w:rPr/>
        <w:t>Cancer Incidence in Five Continents</w:t>
      </w:r>
      <w:r>
        <w:rPr>
          <w:rStyle w:val="Emphasis"/>
        </w:rPr>
        <w:t>, vol. XII, IARC Scientific Publication 169. IARC/IACR, 2024. https://publications.iarc.who.int/Book-And-Report-Series/Iarc-Scientific-Publications/Cancer-Incidence-In-Five-Continents-Volume-XII-2024</w:t>
        <w:br/>
        <w:t xml:space="preserve">[11] World Wide Web Consortium. </w:t>
      </w:r>
      <w:r>
        <w:rPr/>
        <w:t>Web Content Accessibility Guidelines (WCAG) 2.2</w:t>
      </w:r>
      <w:r>
        <w:rPr>
          <w:rStyle w:val="Emphasis"/>
        </w:rPr>
        <w:t>. https://www.w3.org/TR/WCAG22/</w:t>
        <w:br/>
        <w:t xml:space="preserve">[12] </w:t>
      </w:r>
      <w:r>
        <w:rPr/>
        <w:t>Design, Application, and Actionability of US Public Health Data Dashboards: Scoping Review</w:t>
      </w:r>
      <w:r>
        <w:rPr>
          <w:rStyle w:val="Emphasis"/>
        </w:rPr>
        <w:t xml:space="preserve">. </w:t>
      </w:r>
      <w:r>
        <w:rPr/>
        <w:t>Journal of Medical Internet Research</w:t>
      </w:r>
      <w:r>
        <w:rPr>
          <w:rStyle w:val="Emphasis"/>
        </w:rPr>
        <w:t>, 2025. https://www.jmir.org/2025/1/e65283/</w:t>
        <w:br/>
        <w:t xml:space="preserve">[13] I. Yanovitzky, G. Stahlman y M. Kim. «Usability and usefulness of U. S. federal and state public health data dashboards: implications for improving data access and use». </w:t>
      </w:r>
      <w:r>
        <w:rPr/>
        <w:t>Frontiers in Public Health</w:t>
      </w:r>
      <w:r>
        <w:rPr>
          <w:rStyle w:val="Emphasis"/>
        </w:rPr>
        <w:t>, vol. 13, 2025, doi:10.3389/fpubh.2025.1699312. https://www.frontiersin.org/journals/public-health/articles/10.3389/fpubh.2025.1699312/full</w:t>
        <w:br/>
        <w:t xml:space="preserve">[14] </w:t>
      </w:r>
      <w:r>
        <w:rPr/>
        <w:t>CaRDO: A Tool for Empowering Cancer Registries to Publish Population-Level Cancer Statistics Online</w:t>
      </w:r>
      <w:r>
        <w:rPr>
          <w:rStyle w:val="Emphasis"/>
        </w:rPr>
        <w:t>. Publicación científica, 2025. https://pmc.ncbi.nlm.nih.gov/articles/PMC13151749/</w:t>
        <w:br/>
        <w:t xml:space="preserve">[15] M. André Ampuero. </w:t>
      </w:r>
      <w:r>
        <w:rPr/>
        <w:t>Buenas prácticas para escribir y defender un trabajo de diploma de Ingeniería Informática</w:t>
      </w:r>
      <w:r>
        <w:rPr>
          <w:rStyle w:val="Emphasis"/>
        </w:rPr>
        <w:t>. Facultad de Ingeniería Informática, CUJAE, 2026.</w:t>
        <w:br/>
        <w:t xml:space="preserve">[16] </w:t>
      </w:r>
      <w:r>
        <w:rPr/>
        <w:t>Línea base de requisitos y entregables — Prácticas II</w:t>
      </w:r>
      <w:r>
        <w:rPr>
          <w:rStyle w:val="Emphasis"/>
        </w:rPr>
        <w:t xml:space="preserve">. Documento de trabajo del proyecto, 2026. </w:t>
      </w:r>
      <w:r>
        <w:rPr>
          <w:rStyle w:val="SourceText"/>
        </w:rPr>
        <w:t>../05-requisitos/linea-base-practicas-ii.md</w:t>
      </w:r>
      <w:r>
        <w:rPr>
          <w:rStyle w:val="Emphasis"/>
        </w:rPr>
        <w:t xml:space="preserve">. [17] D. Fiallo Muñoz. Aclaraciones de la dirección de producto sobre acceso público, publicación, entrada de archivos y conectividad, 30-09-2026. Registradas como </w:t>
      </w:r>
      <w:r>
        <w:rPr>
          <w:rStyle w:val="SourceText"/>
        </w:rPr>
        <w:t>SRC-RNC-004</w:t>
      </w:r>
      <w:r>
        <w:rPr>
          <w:rStyle w:val="Emphasis"/>
        </w:rPr>
        <w:t xml:space="preserve"> en el </w:t>
      </w:r>
      <w:hyperlink r:id="rId18">
        <w:r>
          <w:rPr>
            <w:rStyle w:val="Hyperlink"/>
            <w:i/>
            <w:i/>
            <w:iCs/>
          </w:rPr>
          <w:t>catálogo</w:t>
        </w:r>
      </w:hyperlink>
      <w:r>
        <w:rPr>
          <w:rStyle w:val="Emphasis"/>
        </w:rPr>
        <w:t xml:space="preserve">. [18] D. Fiallo Muñoz. Aclaraciones sobre población estándar, datos definitivos, sistema interno, confidencialidad y usuarios, 06-10-2026. Registradas como </w:t>
      </w:r>
      <w:r>
        <w:rPr>
          <w:rStyle w:val="SourceText"/>
        </w:rPr>
        <w:t>SRC-RNC-006</w:t>
      </w:r>
      <w:r>
        <w:rPr>
          <w:rStyle w:val="Emphasis"/>
        </w:rPr>
        <w:t xml:space="preserve"> en el </w:t>
      </w:r>
      <w:hyperlink r:id="rId19">
        <w:r>
          <w:rPr>
            <w:rStyle w:val="Hyperlink"/>
            <w:i/>
            <w:i/>
            <w:iCs/>
          </w:rPr>
          <w:t>catálogo</w:t>
        </w:r>
      </w:hyperlink>
      <w:r>
        <w:rPr>
          <w:rStyle w:val="Emphasis"/>
        </w:rPr>
        <w:t xml:space="preserve">. [19] Oficina Nacional de Estadística e Información. </w:t>
      </w:r>
      <w:r>
        <w:rPr/>
        <w:t>Anuario Demográfico de Cuba 2024</w:t>
      </w:r>
      <w:r>
        <w:rPr>
          <w:rStyle w:val="Emphasis"/>
        </w:rPr>
        <w:t xml:space="preserve">, 2025. https://www.onei.gob.cu/sites/default/files/publicaciones/2025-07/00-anuario-demografico-2024.pdf [20] Ministerio de Justicia de Cuba. </w:t>
      </w:r>
      <w:r>
        <w:rPr/>
        <w:t>Gaceta Oficial ordinaria núm. 90 de 2022</w:t>
      </w:r>
      <w:r>
        <w:rPr>
          <w:rStyle w:val="Emphasis"/>
        </w:rPr>
        <w:t xml:space="preserve">: Ley 149/2022 de Protección de Datos Personales y Resolución 58/2022. https://www.minjus.gob.cu/sites/default/files/archivos/publicacion/2022-08/goc-2022-o90_0_0.pdf [21] D. Fiallo Muñoz. Aclaración posterior sobre normas internacionales de cáncer y denominadores poblacionales cubanos, 06-10-2026. Registrada como </w:t>
      </w:r>
      <w:r>
        <w:rPr>
          <w:rStyle w:val="SourceText"/>
        </w:rPr>
        <w:t>SRC-RNC-007</w:t>
      </w:r>
      <w:r>
        <w:rPr>
          <w:rStyle w:val="Emphasis"/>
        </w:rPr>
        <w:t xml:space="preserve"> en el </w:t>
      </w:r>
      <w:hyperlink r:id="rId20">
        <w:r>
          <w:rPr>
            <w:rStyle w:val="Hyperlink"/>
            <w:i/>
            <w:i/>
            <w:iCs/>
          </w:rPr>
          <w:t>catálogo</w:t>
        </w:r>
      </w:hyperlink>
      <w:r>
        <w:rPr>
          <w:rStyle w:val="Emphasis"/>
        </w:rPr>
        <w:t xml:space="preserve">. [22] International Agency for Research on Cancer / International Association of Cancer Registries. </w:t>
      </w:r>
      <w:r>
        <w:rPr/>
        <w:t>Cancer Incidence in Five Continents</w:t>
      </w:r>
      <w:r>
        <w:rPr>
          <w:rStyle w:val="Emphasis"/>
        </w:rPr>
        <w:t xml:space="preserve">: ayuda metodológica y tabla de población estándar mundial Segi/Doll. https://ci5.iarc.who.int/ci5-xii/about/ [23] A. Cockburn. </w:t>
      </w:r>
      <w:r>
        <w:rPr/>
        <w:t>Hexagonal Architecture: Ports and Adapters</w:t>
      </w:r>
      <w:r>
        <w:rPr>
          <w:rStyle w:val="Emphasis"/>
        </w:rPr>
        <w:t xml:space="preserve">, 2005. https://alistair.cockburn.us/hexagonal-architecture [24] D. Fiallo Muñoz. Confirmación de la estabilidad de la estructura del CSV entregado, 12-10-2026. Esquema observado y cuestiones semánticas pendientes: </w:t>
      </w:r>
      <w:r>
        <w:rPr>
          <w:rStyle w:val="SourceText"/>
        </w:rPr>
        <w:t>../05-requisitos/esquema-archivo-recibido.md</w:t>
      </w:r>
      <w:r>
        <w:rPr>
          <w:rStyle w:val="Emphasis"/>
        </w:rPr>
        <w:t xml:space="preserve">. [25] D. Fiallo Muñoz. </w:t>
      </w:r>
      <w:r>
        <w:rPr/>
        <w:t>Comparación y selección tecnológica inicial para la plataforma del RNC</w:t>
      </w:r>
      <w:r>
        <w:rPr>
          <w:rStyle w:val="Emphasis"/>
        </w:rPr>
        <w:t xml:space="preserve">. Documento de trabajo de Prácticas II, corte 13-10-2026. </w:t>
      </w:r>
      <w:r>
        <w:rPr>
          <w:rStyle w:val="SourceText"/>
        </w:rPr>
        <w:t>../06-arquitectura/seleccion-tecnologica.md</w:t>
      </w:r>
      <w:r>
        <w:rPr>
          <w:rStyle w:val="Emphasis"/>
        </w:rPr>
        <w:t xml:space="preserve">. [26] Python Software Foundation. </w:t>
      </w:r>
      <w:r>
        <w:rPr/>
        <w:t>csv — CSV File Reading and Writing</w:t>
      </w:r>
      <w:r>
        <w:rPr>
          <w:rStyle w:val="Emphasis"/>
        </w:rPr>
        <w:t xml:space="preserve">; pandas development team. </w:t>
      </w:r>
      <w:r>
        <w:rPr/>
        <w:t>pandas.read_csv</w:t>
      </w:r>
      <w:r>
        <w:rPr>
          <w:rStyle w:val="Emphasis"/>
        </w:rPr>
        <w:t xml:space="preserve">. https://docs.python.org/3/library/csv.html ; https://pandas.pydata.org/docs/reference/api/pandas.read_csv.html [27] Apache Software Foundation. </w:t>
      </w:r>
      <w:r>
        <w:rPr/>
        <w:t>Apache ECharts: Download, license and web accessibility</w:t>
      </w:r>
      <w:r>
        <w:rPr>
          <w:rStyle w:val="Emphasis"/>
        </w:rPr>
        <w:t xml:space="preserve">. https://echarts.apache.org/en/download.html ; https://echarts.apache.org/handbook/en/best-practices/aria/ [28] Plotly. </w:t>
      </w:r>
      <w:r>
        <w:rPr/>
        <w:t>Plotly.js is free and open-source software; license MIT</w:t>
      </w:r>
      <w:r>
        <w:rPr>
          <w:rStyle w:val="Emphasis"/>
        </w:rPr>
        <w:t xml:space="preserve">. https://plotly.com/javascript/is-plotly-free/ [29] PostgreSQL Global Development Group. </w:t>
      </w:r>
      <w:r>
        <w:rPr/>
        <w:t>PostgreSQL License and Feature Matrix</w:t>
      </w:r>
      <w:r>
        <w:rPr>
          <w:rStyle w:val="Emphasis"/>
        </w:rPr>
        <w:t xml:space="preserve">. https://www.postgresql.org/about/licence/ ; https://www.postgresql.org/about/featurematrix/ [30] Django Software Foundation. </w:t>
      </w:r>
      <w:r>
        <w:rPr/>
        <w:t>Django documentation, overview and supported versions</w:t>
      </w:r>
      <w:r>
        <w:rPr>
          <w:rStyle w:val="Emphasis"/>
        </w:rPr>
        <w:t xml:space="preserve">. https://docs.djangoproject.com/en/6.1/intro/overview/ ; https://www.djangoproject.com/download/ [31] Django Software Foundation. </w:t>
      </w:r>
      <w:r>
        <w:rPr/>
        <w:t>The Django template language and templates</w:t>
      </w:r>
      <w:r>
        <w:rPr>
          <w:rStyle w:val="Emphasis"/>
        </w:rPr>
        <w:t xml:space="preserve">. https://docs.djangoproject.com/en/6.0/ref/templates/ [32] The Bootstrap Authors. </w:t>
      </w:r>
      <w:r>
        <w:rPr/>
        <w:t>Bootstrap: approach to responsive, mobile-first components</w:t>
      </w:r>
      <w:r>
        <w:rPr>
          <w:rStyle w:val="Emphasis"/>
        </w:rPr>
        <w:t xml:space="preserve">. https://getbootstrap.com/docs/5.3/extend/approach/ [33] Tailwind Labs. </w:t>
      </w:r>
      <w:r>
        <w:rPr/>
        <w:t>Tailwind CSS: theme variables and responsive design</w:t>
      </w:r>
      <w:r>
        <w:rPr>
          <w:rStyle w:val="Emphasis"/>
        </w:rPr>
        <w:t xml:space="preserve">. https://tailwindcss.com/docs/theme ; https://tailwindcss.com/docs/responsive-design [34] World Health Organization. </w:t>
      </w:r>
      <w:r>
        <w:rPr/>
        <w:t>International Classification of Diseases for Oncology, 3rd Edition (ICD-O-3)</w:t>
      </w:r>
      <w:r>
        <w:rPr>
          <w:rStyle w:val="Emphasis"/>
        </w:rPr>
        <w:t xml:space="preserve">. Clasificación para registros de cáncer con ejes de topografía y morfología. https://www.who.int/standards/classifications/other-classifications/international-classification-of-diseases-for-oncology [35] D. Fiallo Muñoz. Aclaraciones sobre unidad por fila, grupos de edad, intervalos de confianza, confidencialidad, responsabilidades y actualización del portal, 15-10-2026. Registradas como </w:t>
      </w:r>
      <w:r>
        <w:rPr>
          <w:rStyle w:val="SourceText"/>
        </w:rPr>
        <w:t>SRC-RNC-010</w:t>
      </w:r>
      <w:r>
        <w:rPr>
          <w:rStyle w:val="Emphasis"/>
        </w:rPr>
        <w:t xml:space="preserve">; evidencia y límites en </w:t>
      </w:r>
      <w:r>
        <w:rPr>
          <w:rStyle w:val="SourceText"/>
        </w:rPr>
        <w:t>../08-reuniones/06-aclaraciones-estudiante-2026-10-15.md</w:t>
      </w:r>
      <w:r>
        <w:rPr>
          <w:rStyle w:val="Emphasis"/>
        </w:rPr>
        <w:t xml:space="preserve">. [36] Oficina Nacional de Estadística e Información / Centro de Estudios de Población y Desarrollo. </w:t>
      </w:r>
      <w:r>
        <w:rPr/>
        <w:t>Anuario Demográfico de Cuba 2024</w:t>
      </w:r>
      <w:r>
        <w:rPr>
          <w:rStyle w:val="Emphasis"/>
        </w:rPr>
        <w:t xml:space="preserve"> y anuncio de </w:t>
      </w:r>
      <w:r>
        <w:rPr/>
        <w:t>Indicadores Demográficos de Cuba y sus territorios 2025</w:t>
      </w:r>
      <w:r>
        <w:rPr>
          <w:rStyle w:val="Emphasis"/>
        </w:rPr>
        <w:t xml:space="preserve">. https://www.onei.gob.cu/sites/default/files/publicaciones/2025-07/00-anuario-demografico-2024.pdf ; https://t.me/s/CubaONEI?q=%23Demograf%C3%ADa. El PDF 2024 se cotejó en copia accesible por indisponibilidad temporal del host ONEI; el canal institucional anuncia población efectiva 2025 y su cálculo anual por ecuación compensadora. [37] M. Lima Pérez y otros. «Incidencia y mortalidad en Cuba por cáncer del sistema digestivo, 2015–2017». </w:t>
      </w:r>
      <w:r>
        <w:rPr/>
        <w:t>Revista Cubana de Oncología*, 19(2), e142, 2021. Original: http://revoncologia.sld.cu/index.php/onc/article/view/142 ; copia de texto consultada: https://www.researchgate.net/publication/354208176_Incidencia_y_mortalidad_en_Cuba_por_cancer_del_sistema_digestivo_2015-2017. Evidencia publicada de frecuencias/porcentajes por universo; no fija regla general para el portal.</w:t>
      </w:r>
    </w:p>
    <w:p>
      <w:pPr>
        <w:pStyle w:val="Heading1"/>
        <w:bidi w:val="0"/>
        <w:ind w:hanging="0" w:start="0" w:end="0"/>
        <w:jc w:val="start"/>
        <w:rPr/>
      </w:pPr>
      <w:bookmarkStart w:id="29" w:name="anexos"/>
      <w:bookmarkEnd w:id="29"/>
      <w:r>
        <w:rPr/>
        <w:t>Anexos</w:t>
      </w:r>
    </w:p>
    <w:p>
      <w:pPr>
        <w:pStyle w:val="Heading2"/>
        <w:bidi w:val="0"/>
        <w:ind w:hanging="0" w:start="0" w:end="0"/>
        <w:jc w:val="start"/>
        <w:rPr/>
      </w:pPr>
      <w:bookmarkStart w:id="30" w:name="anexo-a-trazabilidad-y-materiales-pendie"/>
      <w:bookmarkEnd w:id="30"/>
      <w:r>
        <w:rPr/>
        <w:t>Anexo A. Trazabilidad y materiales pendientes</w:t>
      </w:r>
    </w:p>
    <w:p>
      <w:pPr>
        <w:pStyle w:val="BodyText"/>
        <w:bidi w:val="0"/>
        <w:jc w:val="start"/>
        <w:rPr/>
      </w:pPr>
      <w:r>
        <w:rPr/>
        <w:t xml:space="preserve">La matriz maestra de fuentes, evidencias, requisitos y preguntas se mantiene en </w:t>
      </w:r>
      <w:r>
        <w:rPr>
          <w:rStyle w:val="SourceText"/>
        </w:rPr>
        <w:t>rnc-research/docs/evidence-map.md</w:t>
      </w:r>
      <w:r>
        <w:rPr/>
        <w:t>, el catálogo de fuentes y la línea base de requisitos [16]. Se incorporará aquí una tabla de trazabilidad consolidada cuando los IDs y criterios se validen con tutoría y el RNC.</w:t>
      </w:r>
    </w:p>
    <w:p>
      <w:pPr>
        <w:pStyle w:val="Heading2"/>
        <w:bidi w:val="0"/>
        <w:ind w:hanging="0" w:start="0" w:end="0"/>
        <w:jc w:val="start"/>
        <w:rPr/>
      </w:pPr>
      <w:bookmarkStart w:id="31" w:name="anexo-b-exportaciones-completas-de-staru"/>
      <w:bookmarkEnd w:id="31"/>
      <w:r>
        <w:rPr/>
        <w:t>Anexo B. Exportaciones completas de StarUML</w:t>
      </w:r>
    </w:p>
    <w:p>
      <w:pPr>
        <w:pStyle w:val="BodyText"/>
        <w:bidi w:val="0"/>
        <w:jc w:val="start"/>
        <w:rPr/>
      </w:pPr>
      <w:r>
        <w:rPr/>
        <w:t xml:space="preserve">Las siguientes imágenes son exportaciones PNG actualizadas del modelo StarUML. Se incluyen completas y sin los recortes usados en el capítulo 2 para consultar el flujo y las relaciones. Los archivos fuente de imagen se conservan en alta resolución dentro de </w:t>
      </w:r>
      <w:r>
        <w:rPr>
          <w:rStyle w:val="SourceText"/>
        </w:rPr>
        <w:t>figuras/</w:t>
      </w:r>
      <w:r>
        <w:rPr/>
        <w:t>.</w:t>
      </w:r>
    </w:p>
    <w:p>
      <w:pPr>
        <w:pStyle w:val="Heading3"/>
        <w:bidi w:val="0"/>
        <w:ind w:hanging="0" w:start="0" w:end="0"/>
        <w:jc w:val="start"/>
        <w:rPr/>
      </w:pPr>
      <w:bookmarkStart w:id="32" w:name="figura-b1-dm-01-conceptos-del-dominio-rn"/>
      <w:bookmarkEnd w:id="32"/>
      <w:r>
        <w:rPr/>
        <w:t>Figura B.1. DM-01. Conceptos del dominio RNC y ONEI</w:t>
      </w:r>
    </w:p>
    <w:p>
      <w:pPr>
        <w:pStyle w:val="BodyText"/>
        <w:bidi w:val="0"/>
        <w:jc w:val="center"/>
        <w:rPr/>
      </w:pPr>
      <w:r>
        <w:rPr/>
        <w:drawing>
          <wp:inline distT="0" distB="0" distL="0" distR="0">
            <wp:extent cx="5238750" cy="3162300"/>
            <wp:effectExtent l="0" t="0" r="0" b="0"/>
            <wp:docPr id="12" name="Image12" descr="" title="Vista completa DM-01: Conceptos del dominio RNC y ON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Vista completa DM-01: Conceptos del dominio RNC y ONEI"/>
                    <pic:cNvPicPr>
                      <a:picLocks noChangeAspect="1" noChangeArrowheads="1"/>
                    </pic:cNvPicPr>
                  </pic:nvPicPr>
                  <pic:blipFill>
                    <a:blip r:embed="rId21"/>
                    <a:stretch>
                      <a:fillRect/>
                    </a:stretch>
                  </pic:blipFill>
                  <pic:spPr bwMode="auto">
                    <a:xfrm>
                      <a:off x="0" y="0"/>
                      <a:ext cx="5238750" cy="3162300"/>
                    </a:xfrm>
                    <a:prstGeom prst="rect">
                      <a:avLst/>
                    </a:prstGeom>
                  </pic:spPr>
                </pic:pic>
              </a:graphicData>
            </a:graphic>
          </wp:inline>
        </w:drawing>
      </w:r>
    </w:p>
    <w:p>
      <w:pPr>
        <w:pStyle w:val="Heading3"/>
        <w:bidi w:val="0"/>
        <w:ind w:hanging="0" w:start="0" w:end="0"/>
        <w:jc w:val="start"/>
        <w:rPr/>
      </w:pPr>
      <w:bookmarkStart w:id="33" w:name="figura-b2-cu-01-consulta-publica-de-esta"/>
      <w:bookmarkEnd w:id="33"/>
      <w:r>
        <w:rPr/>
        <w:t>Figura B.2. CU-01. Consulta pública de estadísticas</w:t>
      </w:r>
    </w:p>
    <w:p>
      <w:pPr>
        <w:pStyle w:val="BodyText"/>
        <w:bidi w:val="0"/>
        <w:jc w:val="center"/>
        <w:rPr/>
      </w:pPr>
      <w:r>
        <w:rPr/>
        <w:drawing>
          <wp:inline distT="0" distB="0" distL="0" distR="0">
            <wp:extent cx="5238750" cy="3581400"/>
            <wp:effectExtent l="0" t="0" r="0" b="0"/>
            <wp:docPr id="13" name="Image13" descr="" title="Vista completa CU-01: Consulta pública de estad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Vista completa CU-01: Consulta pública de estadísticas"/>
                    <pic:cNvPicPr>
                      <a:picLocks noChangeAspect="1" noChangeArrowheads="1"/>
                    </pic:cNvPicPr>
                  </pic:nvPicPr>
                  <pic:blipFill>
                    <a:blip r:embed="rId22"/>
                    <a:stretch>
                      <a:fillRect/>
                    </a:stretch>
                  </pic:blipFill>
                  <pic:spPr bwMode="auto">
                    <a:xfrm>
                      <a:off x="0" y="0"/>
                      <a:ext cx="5238750" cy="3581400"/>
                    </a:xfrm>
                    <a:prstGeom prst="rect">
                      <a:avLst/>
                    </a:prstGeom>
                  </pic:spPr>
                </pic:pic>
              </a:graphicData>
            </a:graphic>
          </wp:inline>
        </w:drawing>
      </w:r>
    </w:p>
    <w:p>
      <w:pPr>
        <w:pStyle w:val="Heading3"/>
        <w:bidi w:val="0"/>
        <w:ind w:hanging="0" w:start="0" w:end="0"/>
        <w:jc w:val="start"/>
        <w:rPr/>
      </w:pPr>
      <w:bookmarkStart w:id="34" w:name="figura-b3-act-02-consulta-y-presentacion"/>
      <w:bookmarkEnd w:id="34"/>
      <w:r>
        <w:rPr/>
        <w:t>Figura B.3. ACT-02. Consulta y presentación de estadísticas</w:t>
      </w:r>
    </w:p>
    <w:p>
      <w:pPr>
        <w:pStyle w:val="BodyText"/>
        <w:bidi w:val="0"/>
        <w:jc w:val="center"/>
        <w:rPr/>
      </w:pPr>
      <w:r>
        <w:rPr/>
        <w:drawing>
          <wp:inline distT="0" distB="0" distL="0" distR="0">
            <wp:extent cx="5238750" cy="3838575"/>
            <wp:effectExtent l="0" t="0" r="0" b="0"/>
            <wp:docPr id="14" name="Image14" descr="" title="Vista completa ACT-02: Consulta y presentación de estad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Vista completa ACT-02: Consulta y presentación de estadísticas"/>
                    <pic:cNvPicPr>
                      <a:picLocks noChangeAspect="1" noChangeArrowheads="1"/>
                    </pic:cNvPicPr>
                  </pic:nvPicPr>
                  <pic:blipFill>
                    <a:blip r:embed="rId23"/>
                    <a:stretch>
                      <a:fillRect/>
                    </a:stretch>
                  </pic:blipFill>
                  <pic:spPr bwMode="auto">
                    <a:xfrm>
                      <a:off x="0" y="0"/>
                      <a:ext cx="5238750" cy="3838575"/>
                    </a:xfrm>
                    <a:prstGeom prst="rect">
                      <a:avLst/>
                    </a:prstGeom>
                  </pic:spPr>
                </pic:pic>
              </a:graphicData>
            </a:graphic>
          </wp:inline>
        </w:drawing>
      </w:r>
    </w:p>
    <w:p>
      <w:pPr>
        <w:pStyle w:val="Heading3"/>
        <w:bidi w:val="0"/>
        <w:ind w:hanging="0" w:start="0" w:end="0"/>
        <w:jc w:val="start"/>
        <w:rPr/>
      </w:pPr>
      <w:bookmarkStart w:id="35" w:name="figura-b4-sd-01-consultar-estadisticas"/>
      <w:bookmarkEnd w:id="35"/>
      <w:r>
        <w:rPr/>
        <w:t>Figura B.4. SD-01. Consultar estadísticas</w:t>
      </w:r>
    </w:p>
    <w:p>
      <w:pPr>
        <w:pStyle w:val="BodyText"/>
        <w:bidi w:val="0"/>
        <w:jc w:val="center"/>
        <w:rPr/>
      </w:pPr>
      <w:r>
        <w:rPr/>
        <w:drawing>
          <wp:inline distT="0" distB="0" distL="0" distR="0">
            <wp:extent cx="5238750" cy="2238375"/>
            <wp:effectExtent l="0" t="0" r="0" b="0"/>
            <wp:docPr id="15" name="Image15" descr="" title="Vista completa SD-01: Consultar estad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Vista completa SD-01: Consultar estadísticas"/>
                    <pic:cNvPicPr>
                      <a:picLocks noChangeAspect="1" noChangeArrowheads="1"/>
                    </pic:cNvPicPr>
                  </pic:nvPicPr>
                  <pic:blipFill>
                    <a:blip r:embed="rId24"/>
                    <a:stretch>
                      <a:fillRect/>
                    </a:stretch>
                  </pic:blipFill>
                  <pic:spPr bwMode="auto">
                    <a:xfrm>
                      <a:off x="0" y="0"/>
                      <a:ext cx="5238750" cy="2238375"/>
                    </a:xfrm>
                    <a:prstGeom prst="rect">
                      <a:avLst/>
                    </a:prstGeom>
                  </pic:spPr>
                </pic:pic>
              </a:graphicData>
            </a:graphic>
          </wp:inline>
        </w:drawing>
      </w:r>
    </w:p>
    <w:p>
      <w:pPr>
        <w:pStyle w:val="Heading3"/>
        <w:bidi w:val="0"/>
        <w:ind w:hanging="0" w:start="0" w:end="0"/>
        <w:jc w:val="start"/>
        <w:rPr/>
      </w:pPr>
      <w:bookmarkStart w:id="36" w:name="figura-b5-cd-01-diseno-logico-de-consult"/>
      <w:bookmarkEnd w:id="36"/>
      <w:r>
        <w:rPr/>
        <w:t>Figura B.5. CD-01. Diseño lógico de consulta pública</w:t>
      </w:r>
    </w:p>
    <w:p>
      <w:pPr>
        <w:pStyle w:val="BodyText"/>
        <w:bidi w:val="0"/>
        <w:jc w:val="center"/>
        <w:rPr/>
      </w:pPr>
      <w:r>
        <w:rPr/>
        <w:drawing>
          <wp:inline distT="0" distB="0" distL="0" distR="0">
            <wp:extent cx="5238750" cy="847725"/>
            <wp:effectExtent l="0" t="0" r="0" b="0"/>
            <wp:docPr id="16" name="Image16" descr="" title="Vista completa CD-01: Diseño lógico de consulta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Vista completa CD-01: Diseño lógico de consulta pública"/>
                    <pic:cNvPicPr>
                      <a:picLocks noChangeAspect="1" noChangeArrowheads="1"/>
                    </pic:cNvPicPr>
                  </pic:nvPicPr>
                  <pic:blipFill>
                    <a:blip r:embed="rId25"/>
                    <a:stretch>
                      <a:fillRect/>
                    </a:stretch>
                  </pic:blipFill>
                  <pic:spPr bwMode="auto">
                    <a:xfrm>
                      <a:off x="0" y="0"/>
                      <a:ext cx="5238750" cy="847725"/>
                    </a:xfrm>
                    <a:prstGeom prst="rect">
                      <a:avLst/>
                    </a:prstGeom>
                  </pic:spPr>
                </pic:pic>
              </a:graphicData>
            </a:graphic>
          </wp:inline>
        </w:drawing>
      </w:r>
    </w:p>
    <w:p>
      <w:pPr>
        <w:pStyle w:val="Heading3"/>
        <w:bidi w:val="0"/>
        <w:ind w:hanging="0" w:start="0" w:end="0"/>
        <w:jc w:val="start"/>
        <w:rPr/>
      </w:pPr>
      <w:bookmarkStart w:id="37" w:name="figura-b6-cmp-01-componentes-logicos-de-"/>
      <w:bookmarkEnd w:id="37"/>
      <w:r>
        <w:rPr/>
        <w:t>Figura B.6. CMP-01. Componentes lógicos de la plataforma</w:t>
      </w:r>
    </w:p>
    <w:p>
      <w:pPr>
        <w:pStyle w:val="BodyText"/>
        <w:bidi w:val="0"/>
        <w:jc w:val="center"/>
        <w:rPr/>
      </w:pPr>
      <w:r>
        <w:rPr/>
        <w:drawing>
          <wp:inline distT="0" distB="0" distL="0" distR="0">
            <wp:extent cx="5238750" cy="3914775"/>
            <wp:effectExtent l="0" t="0" r="0" b="0"/>
            <wp:docPr id="17" name="Image17" descr="" title="Vista completa CMP-01: Componentes lógicos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Vista completa CMP-01: Componentes lógicos de la plataforma"/>
                    <pic:cNvPicPr>
                      <a:picLocks noChangeAspect="1" noChangeArrowheads="1"/>
                    </pic:cNvPicPr>
                  </pic:nvPicPr>
                  <pic:blipFill>
                    <a:blip r:embed="rId26"/>
                    <a:stretch>
                      <a:fillRect/>
                    </a:stretch>
                  </pic:blipFill>
                  <pic:spPr bwMode="auto">
                    <a:xfrm>
                      <a:off x="0" y="0"/>
                      <a:ext cx="5238750" cy="3914775"/>
                    </a:xfrm>
                    <a:prstGeom prst="rect">
                      <a:avLst/>
                    </a:prstGeom>
                  </pic:spPr>
                </pic:pic>
              </a:graphicData>
            </a:graphic>
          </wp:inline>
        </w:drawing>
      </w:r>
    </w:p>
    <w:p>
      <w:pPr>
        <w:pStyle w:val="Heading3"/>
        <w:bidi w:val="0"/>
        <w:ind w:hanging="0" w:start="0" w:end="0"/>
        <w:jc w:val="start"/>
        <w:rPr/>
      </w:pPr>
      <w:bookmarkStart w:id="38" w:name="figura-b7-cd-02-diseno-de-exportacion"/>
      <w:bookmarkEnd w:id="38"/>
      <w:r>
        <w:rPr/>
        <w:t>Figura B.7. CD-02. Diseño de exportación</w:t>
      </w:r>
    </w:p>
    <w:p>
      <w:pPr>
        <w:pStyle w:val="BodyText"/>
        <w:bidi w:val="0"/>
        <w:jc w:val="center"/>
        <w:rPr/>
      </w:pPr>
      <w:r>
        <w:rPr/>
        <w:drawing>
          <wp:inline distT="0" distB="0" distL="0" distR="0">
            <wp:extent cx="5238750" cy="857250"/>
            <wp:effectExtent l="0" t="0" r="0" b="0"/>
            <wp:docPr id="18" name="Image18" descr="" title="Vista completa CD-02: Diseño de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Vista completa CD-02: Diseño de exportación"/>
                    <pic:cNvPicPr>
                      <a:picLocks noChangeAspect="1" noChangeArrowheads="1"/>
                    </pic:cNvPicPr>
                  </pic:nvPicPr>
                  <pic:blipFill>
                    <a:blip r:embed="rId27"/>
                    <a:stretch>
                      <a:fillRect/>
                    </a:stretch>
                  </pic:blipFill>
                  <pic:spPr bwMode="auto">
                    <a:xfrm>
                      <a:off x="0" y="0"/>
                      <a:ext cx="5238750" cy="857250"/>
                    </a:xfrm>
                    <a:prstGeom prst="rect">
                      <a:avLst/>
                    </a:prstGeom>
                  </pic:spPr>
                </pic:pic>
              </a:graphicData>
            </a:graphic>
          </wp:inline>
        </w:drawing>
      </w:r>
    </w:p>
    <w:p>
      <w:pPr>
        <w:pStyle w:val="Heading3"/>
        <w:bidi w:val="0"/>
        <w:ind w:hanging="0" w:start="0" w:end="0"/>
        <w:jc w:val="start"/>
        <w:rPr/>
      </w:pPr>
      <w:bookmarkStart w:id="39" w:name="figura-b8-sd-03-exportar-resultado-autor"/>
      <w:bookmarkEnd w:id="39"/>
      <w:r>
        <w:rPr/>
        <w:t>Figura B.8. SD-03. Exportar resultado autorizado</w:t>
      </w:r>
    </w:p>
    <w:p>
      <w:pPr>
        <w:pStyle w:val="BodyText"/>
        <w:bidi w:val="0"/>
        <w:jc w:val="center"/>
        <w:rPr/>
      </w:pPr>
      <w:r>
        <w:rPr/>
        <w:drawing>
          <wp:inline distT="0" distB="0" distL="0" distR="0">
            <wp:extent cx="5238750" cy="2905125"/>
            <wp:effectExtent l="0" t="0" r="0" b="0"/>
            <wp:docPr id="19" name="Image19" descr="" title="Vista completa SD-03: Exportar resultado aut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Vista completa SD-03: Exportar resultado autorizado"/>
                    <pic:cNvPicPr>
                      <a:picLocks noChangeAspect="1" noChangeArrowheads="1"/>
                    </pic:cNvPicPr>
                  </pic:nvPicPr>
                  <pic:blipFill>
                    <a:blip r:embed="rId28"/>
                    <a:stretch>
                      <a:fillRect/>
                    </a:stretch>
                  </pic:blipFill>
                  <pic:spPr bwMode="auto">
                    <a:xfrm>
                      <a:off x="0" y="0"/>
                      <a:ext cx="5238750" cy="2905125"/>
                    </a:xfrm>
                    <a:prstGeom prst="rect">
                      <a:avLst/>
                    </a:prstGeom>
                  </pic:spPr>
                </pic:pic>
              </a:graphicData>
            </a:graphic>
          </wp:inline>
        </w:drawing>
      </w:r>
    </w:p>
    <w:p>
      <w:pPr>
        <w:pStyle w:val="Heading3"/>
        <w:bidi w:val="0"/>
        <w:ind w:hanging="0" w:start="0" w:end="0"/>
        <w:jc w:val="start"/>
        <w:rPr/>
      </w:pPr>
      <w:bookmarkStart w:id="40" w:name="figura-b9-er-01-modelo-logico-de-datos-p"/>
      <w:bookmarkEnd w:id="40"/>
      <w:r>
        <w:rPr/>
        <w:t>Figura B.9. ER-01. Modelo lógico de datos preliminar</w:t>
      </w:r>
    </w:p>
    <w:p>
      <w:pPr>
        <w:pStyle w:val="BodyText"/>
        <w:bidi w:val="0"/>
        <w:jc w:val="center"/>
        <w:rPr/>
      </w:pPr>
      <w:r>
        <w:rPr/>
        <w:drawing>
          <wp:inline distT="0" distB="0" distL="0" distR="0">
            <wp:extent cx="5238750" cy="1190625"/>
            <wp:effectExtent l="0" t="0" r="0" b="0"/>
            <wp:docPr id="20" name="Image20" descr="" title="Vista completa ER-01: Modelo lógico de datos pr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Vista completa ER-01: Modelo lógico de datos preliminar"/>
                    <pic:cNvPicPr>
                      <a:picLocks noChangeAspect="1" noChangeArrowheads="1"/>
                    </pic:cNvPicPr>
                  </pic:nvPicPr>
                  <pic:blipFill>
                    <a:blip r:embed="rId29"/>
                    <a:stretch>
                      <a:fillRect/>
                    </a:stretch>
                  </pic:blipFill>
                  <pic:spPr bwMode="auto">
                    <a:xfrm>
                      <a:off x="0" y="0"/>
                      <a:ext cx="5238750" cy="1190625"/>
                    </a:xfrm>
                    <a:prstGeom prst="rect">
                      <a:avLst/>
                    </a:prstGeom>
                  </pic:spPr>
                </pic:pic>
              </a:graphicData>
            </a:graphic>
          </wp:inline>
        </w:drawing>
      </w:r>
    </w:p>
    <w:p>
      <w:pPr>
        <w:pStyle w:val="Heading3"/>
        <w:bidi w:val="0"/>
        <w:ind w:hanging="0" w:start="0" w:end="0"/>
        <w:jc w:val="start"/>
        <w:rPr/>
      </w:pPr>
      <w:bookmarkStart w:id="41" w:name="figura-b10-cu-02-incorporacion-tecnica-d"/>
      <w:bookmarkEnd w:id="41"/>
      <w:r>
        <w:rPr/>
        <w:t>Figura B.10. CU-02. Incorporación técnica de archivos</w:t>
      </w:r>
    </w:p>
    <w:p>
      <w:pPr>
        <w:pStyle w:val="BodyText"/>
        <w:bidi w:val="0"/>
        <w:jc w:val="center"/>
        <w:rPr/>
      </w:pPr>
      <w:r>
        <w:rPr/>
        <w:drawing>
          <wp:inline distT="0" distB="0" distL="0" distR="0">
            <wp:extent cx="5238750" cy="2562225"/>
            <wp:effectExtent l="0" t="0" r="0" b="0"/>
            <wp:docPr id="21" name="Image21" descr="" title="Vista completa CU-02: Incorporación técnica de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Vista completa CU-02: Incorporación técnica de archivos"/>
                    <pic:cNvPicPr>
                      <a:picLocks noChangeAspect="1" noChangeArrowheads="1"/>
                    </pic:cNvPicPr>
                  </pic:nvPicPr>
                  <pic:blipFill>
                    <a:blip r:embed="rId30"/>
                    <a:stretch>
                      <a:fillRect/>
                    </a:stretch>
                  </pic:blipFill>
                  <pic:spPr bwMode="auto">
                    <a:xfrm>
                      <a:off x="0" y="0"/>
                      <a:ext cx="5238750" cy="2562225"/>
                    </a:xfrm>
                    <a:prstGeom prst="rect">
                      <a:avLst/>
                    </a:prstGeom>
                  </pic:spPr>
                </pic:pic>
              </a:graphicData>
            </a:graphic>
          </wp:inline>
        </w:drawing>
      </w:r>
    </w:p>
    <w:p>
      <w:pPr>
        <w:pStyle w:val="Heading3"/>
        <w:bidi w:val="0"/>
        <w:ind w:hanging="0" w:start="0" w:end="0"/>
        <w:jc w:val="start"/>
        <w:rPr/>
      </w:pPr>
      <w:bookmarkStart w:id="42" w:name="figura-b11-act-01-incorporacion-de-archi"/>
      <w:bookmarkEnd w:id="42"/>
      <w:r>
        <w:rPr/>
        <w:t>Figura B.11. ACT-01. Incorporación de archivo definitivo</w:t>
      </w:r>
    </w:p>
    <w:p>
      <w:pPr>
        <w:pStyle w:val="BodyText"/>
        <w:bidi w:val="0"/>
        <w:jc w:val="center"/>
        <w:rPr/>
      </w:pPr>
      <w:r>
        <w:rPr/>
        <w:drawing>
          <wp:inline distT="0" distB="0" distL="0" distR="0">
            <wp:extent cx="5238750" cy="3343275"/>
            <wp:effectExtent l="0" t="0" r="0" b="0"/>
            <wp:docPr id="22" name="Image22" descr="" title="Vista completa ACT-01: Incorporación de archivo defin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Vista completa ACT-01: Incorporación de archivo definitivo"/>
                    <pic:cNvPicPr>
                      <a:picLocks noChangeAspect="1" noChangeArrowheads="1"/>
                    </pic:cNvPicPr>
                  </pic:nvPicPr>
                  <pic:blipFill>
                    <a:blip r:embed="rId31"/>
                    <a:stretch>
                      <a:fillRect/>
                    </a:stretch>
                  </pic:blipFill>
                  <pic:spPr bwMode="auto">
                    <a:xfrm>
                      <a:off x="0" y="0"/>
                      <a:ext cx="5238750" cy="3343275"/>
                    </a:xfrm>
                    <a:prstGeom prst="rect">
                      <a:avLst/>
                    </a:prstGeom>
                  </pic:spPr>
                </pic:pic>
              </a:graphicData>
            </a:graphic>
          </wp:inline>
        </w:drawing>
      </w:r>
    </w:p>
    <w:p>
      <w:pPr>
        <w:pStyle w:val="Heading3"/>
        <w:bidi w:val="0"/>
        <w:ind w:hanging="0" w:start="0" w:end="0"/>
        <w:jc w:val="start"/>
        <w:rPr/>
      </w:pPr>
      <w:bookmarkStart w:id="43" w:name="figura-b12-cd-03-diseno-logico-de-incorp"/>
      <w:bookmarkEnd w:id="43"/>
      <w:r>
        <w:rPr/>
        <w:t>Figura B.12. CD-03. Diseño lógico de incorporación</w:t>
      </w:r>
    </w:p>
    <w:p>
      <w:pPr>
        <w:pStyle w:val="BodyText"/>
        <w:bidi w:val="0"/>
        <w:jc w:val="center"/>
        <w:rPr/>
      </w:pPr>
      <w:r>
        <w:rPr/>
        <w:drawing>
          <wp:inline distT="0" distB="0" distL="0" distR="0">
            <wp:extent cx="5238750" cy="866775"/>
            <wp:effectExtent l="0" t="0" r="0" b="0"/>
            <wp:docPr id="23" name="Image23" descr="" title="Vista completa CD-03: Diseño lógico de incorp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Vista completa CD-03: Diseño lógico de incorporación"/>
                    <pic:cNvPicPr>
                      <a:picLocks noChangeAspect="1" noChangeArrowheads="1"/>
                    </pic:cNvPicPr>
                  </pic:nvPicPr>
                  <pic:blipFill>
                    <a:blip r:embed="rId32"/>
                    <a:stretch>
                      <a:fillRect/>
                    </a:stretch>
                  </pic:blipFill>
                  <pic:spPr bwMode="auto">
                    <a:xfrm>
                      <a:off x="0" y="0"/>
                      <a:ext cx="5238750" cy="866775"/>
                    </a:xfrm>
                    <a:prstGeom prst="rect">
                      <a:avLst/>
                    </a:prstGeom>
                  </pic:spPr>
                </pic:pic>
              </a:graphicData>
            </a:graphic>
          </wp:inline>
        </w:drawing>
      </w:r>
    </w:p>
    <w:p>
      <w:pPr>
        <w:pStyle w:val="Heading3"/>
        <w:bidi w:val="0"/>
        <w:ind w:hanging="0" w:start="0" w:end="0"/>
        <w:jc w:val="start"/>
        <w:rPr/>
      </w:pPr>
      <w:bookmarkStart w:id="44" w:name="figura-b13-sd-02-incorporar-corte-defini"/>
      <w:bookmarkEnd w:id="44"/>
      <w:r>
        <w:rPr/>
        <w:t>Figura B.13. SD-02. Incorporar corte definitivo</w:t>
      </w:r>
    </w:p>
    <w:p>
      <w:pPr>
        <w:pStyle w:val="BodyText"/>
        <w:bidi w:val="0"/>
        <w:jc w:val="center"/>
        <w:rPr/>
      </w:pPr>
      <w:r>
        <w:rPr/>
        <w:drawing>
          <wp:inline distT="0" distB="0" distL="0" distR="0">
            <wp:extent cx="5238750" cy="2190750"/>
            <wp:effectExtent l="0" t="0" r="0" b="0"/>
            <wp:docPr id="24" name="Image24" descr="" title="Vista completa SD-02: Incorporar corte defin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Vista completa SD-02: Incorporar corte definitivo"/>
                    <pic:cNvPicPr>
                      <a:picLocks noChangeAspect="1" noChangeArrowheads="1"/>
                    </pic:cNvPicPr>
                  </pic:nvPicPr>
                  <pic:blipFill>
                    <a:blip r:embed="rId33"/>
                    <a:stretch>
                      <a:fillRect/>
                    </a:stretch>
                  </pic:blipFill>
                  <pic:spPr bwMode="auto">
                    <a:xfrm>
                      <a:off x="0" y="0"/>
                      <a:ext cx="5238750" cy="2190750"/>
                    </a:xfrm>
                    <a:prstGeom prst="rect">
                      <a:avLst/>
                    </a:prstGeom>
                  </pic:spPr>
                </pic:pic>
              </a:graphicData>
            </a:graphic>
          </wp:inline>
        </w:drawing>
      </w:r>
    </w:p>
    <w:p>
      <w:pPr>
        <w:pStyle w:val="Heading2"/>
        <w:bidi w:val="0"/>
        <w:ind w:hanging="0" w:start="0" w:end="0"/>
        <w:jc w:val="start"/>
        <w:rPr/>
      </w:pPr>
      <w:bookmarkStart w:id="45" w:name="anexo-c-diccionario-de-datos-y-ejemplos-"/>
      <w:bookmarkEnd w:id="45"/>
      <w:r>
        <w:rPr/>
        <w:t>Anexo C. Diccionario de datos y ejemplos autorizados</w:t>
      </w:r>
    </w:p>
    <w:p>
      <w:pPr>
        <w:pStyle w:val="BodyText"/>
        <w:bidi w:val="0"/>
        <w:jc w:val="start"/>
        <w:rPr/>
      </w:pPr>
      <w:r>
        <w:rPr/>
        <w:t>Pendiente de recibir y validar con el RNC. No incluir valores de la muestra sensible en este documento.</w:t>
      </w:r>
    </w:p>
    <w:p>
      <w:pPr>
        <w:pStyle w:val="Heading2"/>
        <w:bidi w:val="0"/>
        <w:ind w:hanging="0" w:start="0" w:end="0"/>
        <w:jc w:val="start"/>
        <w:rPr/>
      </w:pPr>
      <w:bookmarkStart w:id="46" w:name="anexo-d-casos-y-resultados-de-verificaci"/>
      <w:bookmarkEnd w:id="46"/>
      <w:r>
        <w:rPr/>
        <w:t>Anexo D. Casos y resultados de verificación</w:t>
      </w:r>
    </w:p>
    <w:p>
      <w:pPr>
        <w:pStyle w:val="BodyText"/>
        <w:bidi w:val="0"/>
        <w:jc w:val="start"/>
        <w:rPr/>
      </w:pPr>
      <w:r>
        <w:rPr/>
        <w:t>Se completará después de implementar las capacidades y obtener valores de referencia aprobados.</w:t>
      </w:r>
    </w:p>
    <w:p>
      <w:pPr>
        <w:pStyle w:val="Heading2"/>
        <w:bidi w:val="0"/>
        <w:ind w:hanging="0" w:start="0" w:end="0"/>
        <w:jc w:val="start"/>
        <w:rPr/>
      </w:pPr>
      <w:bookmarkStart w:id="47" w:name="anexo-e-evaluacion-de-prototipos"/>
      <w:bookmarkEnd w:id="47"/>
      <w:r>
        <w:rPr/>
        <w:t>Anexo E. Evaluación de prototipos</w:t>
      </w:r>
    </w:p>
    <w:p>
      <w:pPr>
        <w:pStyle w:val="BodyText"/>
        <w:bidi w:val="0"/>
        <w:spacing w:before="0" w:after="140"/>
        <w:jc w:val="start"/>
        <w:rPr/>
      </w:pPr>
      <w:r>
        <w:rPr/>
        <w:t>Se completará cuando se acuerden perfiles, tareas, participantes autorizados e instrumento de evaluación.</w:t>
      </w:r>
    </w:p>
    <w:sectPr>
      <w:type w:val="nextPage"/>
      <w:pgSz w:w="11906" w:h="16838"/>
      <w:pgMar w:left="1701" w:right="1247" w:gutter="0" w:header="0" w:top="1304"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6"/>
    </w:pPr>
    <w:rPr>
      <w:rFonts w:ascii="Calibri;Arial;sans-serif" w:hAnsi="Calibri;Arial;sans-serif" w:eastAsia="Calibri;Arial;sans-serif" w:cs="Calibri;Arial;sans-serif"/>
      <w:color w:val="222222"/>
      <w:sz w:val="22"/>
      <w:szCs w:val="22"/>
      <w:lang w:val="en-US" w:eastAsia="zh-CN" w:bidi="hi-IN"/>
    </w:rPr>
  </w:style>
  <w:style w:type="paragraph" w:styleId="Heading1">
    <w:name w:val="Heading 1"/>
    <w:basedOn w:val="Heading"/>
    <w:next w:val="BodyText"/>
    <w:qFormat/>
    <w:pPr>
      <w:pageBreakBefore/>
    </w:pPr>
    <w:rPr>
      <w:rFonts w:ascii="Noto Sans" w:hAnsi="Noto Sans"/>
      <w:b/>
      <w:bCs/>
      <w:color w:val="17365D"/>
      <w:sz w:val="38"/>
      <w:szCs w:val="38"/>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color w:val="1F4E79"/>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365F91"/>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563C1"/>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FollowedHyperlink">
    <w:name w:val="FollowedHyperlink"/>
    <w:rPr>
      <w:color w:val="0563C1"/>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40"/>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6" w:space="8" w:color="7F9DB9"/>
      </w:pBdr>
      <w:spacing w:before="160" w:after="160"/>
      <w:ind w:hanging="0" w:start="360" w:end="360"/>
    </w:pPr>
    <w:rPr>
      <w:color w:val="555555"/>
    </w:rPr>
  </w:style>
  <w:style w:type="paragraph" w:styleId="TableHeading">
    <w:name w:val="Table Heading"/>
    <w:basedOn w:val="TableContents"/>
    <w:qFormat/>
    <w:pPr>
      <w:suppressLineNumbers/>
      <w:shd w:fill="D9EAF7" w:val="clear"/>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6-arquitectura/arquitectura-evolutiva-rnc.m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yperlink" Target="../06-arquitectura/metodo-y-clases-staruml.md" TargetMode="External"/><Relationship Id="rId15" Type="http://schemas.openxmlformats.org/officeDocument/2006/relationships/hyperlink" Target="../06-arquitectura/plan-operativo-diagramas-staruml.md" TargetMode="External"/><Relationship Id="rId16" Type="http://schemas.openxmlformats.org/officeDocument/2006/relationships/hyperlink" Target="../05-requisitos/esquema-archivo-recibido.md" TargetMode="External"/><Relationship Id="rId17" Type="http://schemas.openxmlformats.org/officeDocument/2006/relationships/hyperlink" Target="../../sources/catalogo.md" TargetMode="External"/><Relationship Id="rId18" Type="http://schemas.openxmlformats.org/officeDocument/2006/relationships/hyperlink" Target="../../sources/catalogo.md" TargetMode="External"/><Relationship Id="rId19" Type="http://schemas.openxmlformats.org/officeDocument/2006/relationships/hyperlink" Target="../../sources/catalogo.md" TargetMode="External"/><Relationship Id="rId20" Type="http://schemas.openxmlformats.org/officeDocument/2006/relationships/hyperlink" Target="../../sources/catalogo.md" TargetMode="External"/><Relationship Id="rId21" Type="http://schemas.openxmlformats.org/officeDocument/2006/relationships/image" Target="media/image12.png"/><Relationship Id="rId22" Type="http://schemas.openxmlformats.org/officeDocument/2006/relationships/image" Target="media/image5.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