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0"/>
      </w:pPr>
      <w:r>
        <w:rPr>
          <w:rFonts w:ascii="Calibri" w:cs="Calibri" w:eastAsia="Calibri" w:hAnsi="Calibri"/>
          <w:b/>
          <w:bCs/>
          <w:color w:val="0F2836"/>
          <w:sz w:val="72"/>
          <w:szCs w:val="72"/>
        </w:rPr>
        <w:t xml:space="preserve">GALIL</w:t>
      </w:r>
    </w:p>
    <w:p>
      <w:pPr>
        <w:spacing w:after="500"/>
      </w:pPr>
      <w:r>
        <w:rPr>
          <w:rFonts w:ascii="Calibri" w:cs="Calibri" w:eastAsia="Calibri" w:hAnsi="Calibri"/>
          <w:color w:val="17A3B8"/>
          <w:sz w:val="26"/>
          <w:szCs w:val="26"/>
        </w:rPr>
        <w:t xml:space="preserve">W O R K D E S K</w:t>
      </w:r>
    </w:p>
    <w:p>
      <w:pPr>
        <w:pBdr>
          <w:top w:val="single" w:color="17A3B8" w:sz="16" w:space="8"/>
        </w:pBdr>
        <w:spacing w:after="140"/>
      </w:pPr>
      <w:r>
        <w:rPr>
          <w:b/>
          <w:bCs/>
          <w:color w:val="0F2836"/>
          <w:sz w:val="52"/>
          <w:szCs w:val="52"/>
        </w:rPr>
        <w:t xml:space="preserve">Shared Data &amp; Access Guide</w:t>
      </w:r>
    </w:p>
    <w:p>
      <w:pPr>
        <w:spacing w:after="90"/>
      </w:pPr>
      <w:r>
        <w:rPr>
          <w:color w:val="5B7683"/>
          <w:sz w:val="26"/>
          <w:szCs w:val="26"/>
        </w:rPr>
        <w:t xml:space="preserve">One company database, logins, a protected Budgets tab, and automatic backups</w:t>
      </w:r>
    </w:p>
    <w:p>
      <w:pPr>
        <w:spacing w:after="0"/>
      </w:pPr>
      <w:r>
        <w:rPr>
          <w:i/>
          <w:iCs/>
          <w:color w:val="5B7683"/>
          <w:sz w:val="21"/>
          <w:szCs w:val="21"/>
        </w:rPr>
        <w:t xml:space="preserve">Version 1.0 · July 2026 · Galil Technical Communication · prepared for Danny Gelman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7683"/>
          <w:sz w:val="19"/>
          <w:szCs w:val="19"/>
        </w:rPr>
        <w:t xml:space="preserve">Tip: if the list above appears empty or outdated, right-click it in Word and choose Update Field.</w:t>
      </w:r>
    </w:p>
    <w:p>
      <w:r>
        <w:br w:type="page"/>
      </w:r>
    </w:p>
    <w:p>
      <w:pPr>
        <w:pStyle w:val="Heading1"/>
      </w:pPr>
      <w:r>
        <w:t xml:space="preserve">1. What this guide answers</w:t>
      </w:r>
    </w:p>
    <w:p>
      <w:r>
        <w:t xml:space="preserve">Today every WorkDesk user's data lives in their own browser. That was the right way to build and prove the tool; it is the wrong way to run it company-wide. This guide answers the questions raised for the rollout:</w:t>
      </w:r>
    </w:p>
    <w:p>
      <w:pPr>
        <w:pStyle w:val="ListParagraph"/>
        <w:numPr>
          <w:ilvl w:val="0"/>
          <w:numId w:val="2"/>
        </w:numPr>
      </w:pPr>
      <w:r>
        <w:t xml:space="preserve">Can Microsoft Access be the database? Can Dropbox or OneDrive hold the live data?</w:t>
      </w:r>
    </w:p>
    <w:p>
      <w:pPr>
        <w:pStyle w:val="ListParagraph"/>
        <w:numPr>
          <w:ilvl w:val="0"/>
          <w:numId w:val="2"/>
        </w:numPr>
      </w:pPr>
      <w:r>
        <w:t xml:space="preserve">How do ~20 people (growing to 50, possibly 100) share one always-available dataset?</w:t>
      </w:r>
    </w:p>
    <w:p>
      <w:pPr>
        <w:pStyle w:val="ListParagraph"/>
        <w:numPr>
          <w:ilvl w:val="0"/>
          <w:numId w:val="2"/>
        </w:numPr>
      </w:pPr>
      <w:r>
        <w:t xml:space="preserve">How is the Budgets tab restricted to PMs/managers and the CEO — with accountants added later?</w:t>
      </w:r>
    </w:p>
    <w:p>
      <w:pPr>
        <w:pStyle w:val="ListParagraph"/>
        <w:numPr>
          <w:ilvl w:val="0"/>
          <w:numId w:val="2"/>
        </w:numPr>
      </w:pPr>
      <w:r>
        <w:t xml:space="preserve">How does the data get backed up automatically to the company's cloud?</w:t>
      </w:r>
    </w:p>
    <w:p>
      <w:pPr>
        <w:pStyle w:val="ListParagraph"/>
        <w:numPr>
          <w:ilvl w:val="0"/>
          <w:numId w:val="2"/>
        </w:numPr>
      </w:pPr>
      <w:r>
        <w:t xml:space="preserve">What happens to the current AppSheet app, and how does existing data move over?</w:t>
      </w:r>
    </w:p>
    <w:p>
      <w:pPr>
        <w:pStyle w:val="Heading2"/>
      </w:pPr>
      <w:r>
        <w:t xml:space="preserve">1.1 The short answers</w:t>
      </w:r>
    </w:p>
    <w:tbl>
      <w:tblPr>
        <w:tblW w:type="dxa" w:w="9360"/>
        <w:tblBorders>
          <w:top w:val="single" w:color="D5E4EA" w:sz="4"/>
          <w:left w:val="single" w:color="D5E4EA" w:sz="4"/>
          <w:bottom w:val="single" w:color="D5E4EA" w:sz="4"/>
          <w:right w:val="single" w:color="D5E4EA" w:sz="4"/>
          <w:insideH w:val="single" w:color="D5E4EA" w:sz="4"/>
          <w:insideV w:val="single" w:color="D5E4EA" w:sz="4"/>
        </w:tblBorders>
      </w:tblPr>
      <w:tblGrid>
        <w:gridCol w:w="3000"/>
        <w:gridCol w:w="6360"/>
      </w:tblGrid>
      <w:tr>
        <w:trPr>
          <w:tblHeader/>
        </w:trPr>
        <w:tc>
          <w:tcPr>
            <w:tcW w:type="dxa" w:w="3000"/>
            <w:shd w:fill="0F2836" w:val="clear"/>
            <w:tcMar>
              <w:top w:type="dxa" w:w="90"/>
              <w:left w:type="dxa" w:w="120"/>
              <w:bottom w:type="dxa" w:w="90"/>
              <w:right w:type="dxa" w:w="120"/>
            </w:tcMar>
            <w:vAlign w:val="center"/>
          </w:tcPr>
          <w:p>
            <w:pPr>
              <w:spacing w:after="0"/>
            </w:pPr>
            <w:r>
              <w:rPr>
                <w:b/>
                <w:bCs/>
                <w:color w:val="FFFFFF"/>
                <w:sz w:val="20"/>
                <w:szCs w:val="20"/>
              </w:rPr>
              <w:t xml:space="preserve">Question</w:t>
            </w:r>
          </w:p>
        </w:tc>
        <w:tc>
          <w:tcPr>
            <w:tcW w:type="dxa" w:w="6360"/>
            <w:shd w:fill="0F2836" w:val="clear"/>
            <w:tcMar>
              <w:top w:type="dxa" w:w="90"/>
              <w:left w:type="dxa" w:w="120"/>
              <w:bottom w:type="dxa" w:w="90"/>
              <w:right w:type="dxa" w:w="120"/>
            </w:tcMar>
            <w:vAlign w:val="center"/>
          </w:tcPr>
          <w:p>
            <w:pPr>
              <w:spacing w:after="0"/>
            </w:pPr>
            <w:r>
              <w:rPr>
                <w:b/>
                <w:bCs/>
                <w:color w:val="FFFFFF"/>
                <w:sz w:val="20"/>
                <w:szCs w:val="20"/>
              </w:rPr>
              <w:t xml:space="preserve">Short answer</w:t>
            </w:r>
          </w:p>
        </w:tc>
      </w:tr>
      <w:tr>
        <w:tc>
          <w:tcPr>
            <w:tcW w:type="dxa" w:w="3000"/>
            <w:tcMar>
              <w:top w:type="dxa" w:w="90"/>
              <w:left w:type="dxa" w:w="120"/>
              <w:bottom w:type="dxa" w:w="90"/>
              <w:right w:type="dxa" w:w="120"/>
            </w:tcMar>
            <w:vAlign w:val="center"/>
          </w:tcPr>
          <w:p>
            <w:pPr>
              <w:spacing w:after="0"/>
            </w:pPr>
            <w:r>
              <w:t xml:space="preserve">Microsoft Access as the database?</w:t>
            </w:r>
          </w:p>
        </w:tc>
        <w:tc>
          <w:tcPr>
            <w:tcW w:type="dxa" w:w="6360"/>
            <w:tcMar>
              <w:top w:type="dxa" w:w="90"/>
              <w:left w:type="dxa" w:w="120"/>
              <w:bottom w:type="dxa" w:w="90"/>
              <w:right w:type="dxa" w:w="120"/>
            </w:tcMar>
            <w:vAlign w:val="center"/>
          </w:tcPr>
          <w:p>
            <w:pPr>
              <w:spacing w:after="0"/>
            </w:pPr>
            <w:r>
              <w:t xml:space="preserve">No — Access is a desktop file database. Web browsers cannot talk to it, and sharing an .accdb through Dropbox/OneDrive with simultaneous users is a well-known recipe for conflicts and file corruption. Details in chapter 2.</w:t>
            </w:r>
          </w:p>
        </w:tc>
      </w:tr>
      <w:tr>
        <w:tc>
          <w:tcPr>
            <w:tcW w:type="dxa" w:w="3000"/>
            <w:shd w:fill="F6FAFC" w:val="clear"/>
            <w:tcMar>
              <w:top w:type="dxa" w:w="90"/>
              <w:left w:type="dxa" w:w="120"/>
              <w:bottom w:type="dxa" w:w="90"/>
              <w:right w:type="dxa" w:w="120"/>
            </w:tcMar>
            <w:vAlign w:val="center"/>
          </w:tcPr>
          <w:p>
            <w:pPr>
              <w:spacing w:after="0"/>
            </w:pPr>
            <w:r>
              <w:t xml:space="preserve">Dropbox / OneDrive as the live data store?</w:t>
            </w:r>
          </w:p>
        </w:tc>
        <w:tc>
          <w:tcPr>
            <w:tcW w:type="dxa" w:w="6360"/>
            <w:shd w:fill="F6FAFC" w:val="clear"/>
            <w:tcMar>
              <w:top w:type="dxa" w:w="90"/>
              <w:left w:type="dxa" w:w="120"/>
              <w:bottom w:type="dxa" w:w="90"/>
              <w:right w:type="dxa" w:w="120"/>
            </w:tcMar>
            <w:vAlign w:val="center"/>
          </w:tcPr>
          <w:p>
            <w:pPr>
              <w:spacing w:after="0"/>
            </w:pPr>
            <w:r>
              <w:t xml:space="preserve">No for the live database (simultaneous edits from 20 people would overwrite each other, and file-level sharing cannot hide the budgets from anyone who can open the file). Yes, emphatically, as the backup destination. Chapter 3.</w:t>
            </w:r>
          </w:p>
        </w:tc>
      </w:tr>
      <w:tr>
        <w:tc>
          <w:tcPr>
            <w:tcW w:type="dxa" w:w="3000"/>
            <w:tcMar>
              <w:top w:type="dxa" w:w="90"/>
              <w:left w:type="dxa" w:w="120"/>
              <w:bottom w:type="dxa" w:w="90"/>
              <w:right w:type="dxa" w:w="120"/>
            </w:tcMar>
            <w:vAlign w:val="center"/>
          </w:tcPr>
          <w:p>
            <w:pPr>
              <w:spacing w:after="0"/>
            </w:pPr>
            <w:r>
              <w:t xml:space="preserve">So what instead?</w:t>
            </w:r>
          </w:p>
        </w:tc>
        <w:tc>
          <w:tcPr>
            <w:tcW w:type="dxa" w:w="6360"/>
            <w:tcMar>
              <w:top w:type="dxa" w:w="90"/>
              <w:left w:type="dxa" w:w="120"/>
              <w:bottom w:type="dxa" w:w="90"/>
              <w:right w:type="dxa" w:w="120"/>
            </w:tcMar>
            <w:vAlign w:val="center"/>
          </w:tcPr>
          <w:p>
            <w:pPr>
              <w:spacing w:after="0"/>
            </w:pPr>
            <w:r>
              <w:t xml:space="preserve">A hosted database with logins — the recommendation is Supabase, a managed PostgreSQL service. WorkDesk keeps its exact look and workflow; only the storage layer changes. Nothing is installed on any employee's computer or on a company server. Chapters 4–6.</w:t>
            </w:r>
          </w:p>
        </w:tc>
      </w:tr>
      <w:tr>
        <w:tc>
          <w:tcPr>
            <w:tcW w:type="dxa" w:w="3000"/>
            <w:shd w:fill="F6FAFC" w:val="clear"/>
            <w:tcMar>
              <w:top w:type="dxa" w:w="90"/>
              <w:left w:type="dxa" w:w="120"/>
              <w:bottom w:type="dxa" w:w="90"/>
              <w:right w:type="dxa" w:w="120"/>
            </w:tcMar>
            <w:vAlign w:val="center"/>
          </w:tcPr>
          <w:p>
            <w:pPr>
              <w:spacing w:after="0"/>
            </w:pPr>
            <w:r>
              <w:t xml:space="preserve">The Budgets restriction?</w:t>
            </w:r>
          </w:p>
        </w:tc>
        <w:tc>
          <w:tcPr>
            <w:tcW w:type="dxa" w:w="6360"/>
            <w:shd w:fill="F6FAFC" w:val="clear"/>
            <w:tcMar>
              <w:top w:type="dxa" w:w="90"/>
              <w:left w:type="dxa" w:w="120"/>
              <w:bottom w:type="dxa" w:w="90"/>
              <w:right w:type="dxa" w:w="120"/>
            </w:tcMar>
            <w:vAlign w:val="center"/>
          </w:tcPr>
          <w:p>
            <w:pPr>
              <w:spacing w:after="0"/>
            </w:pPr>
            <w:r>
              <w:t xml:space="preserve">Enforced by the database itself (“row-level security”), not just hidden in the app — an employee cannot reach budget data even with technical tricks. Roles: employee, manager, CEO, accountant. Chapter 6.</w:t>
            </w:r>
          </w:p>
        </w:tc>
      </w:tr>
      <w:tr>
        <w:tc>
          <w:tcPr>
            <w:tcW w:type="dxa" w:w="3000"/>
            <w:tcMar>
              <w:top w:type="dxa" w:w="90"/>
              <w:left w:type="dxa" w:w="120"/>
              <w:bottom w:type="dxa" w:w="90"/>
              <w:right w:type="dxa" w:w="120"/>
            </w:tcMar>
            <w:vAlign w:val="center"/>
          </w:tcPr>
          <w:p>
            <w:pPr>
              <w:spacing w:after="0"/>
            </w:pPr>
            <w:r>
              <w:t xml:space="preserve">Backups?</w:t>
            </w:r>
          </w:p>
        </w:tc>
        <w:tc>
          <w:tcPr>
            <w:tcW w:type="dxa" w:w="6360"/>
            <w:tcMar>
              <w:top w:type="dxa" w:w="90"/>
              <w:left w:type="dxa" w:w="120"/>
              <w:bottom w:type="dxa" w:w="90"/>
              <w:right w:type="dxa" w:w="120"/>
            </w:tcMar>
            <w:vAlign w:val="center"/>
          </w:tcPr>
          <w:p>
            <w:pPr>
              <w:spacing w:after="0"/>
            </w:pPr>
            <w:r>
              <w:t xml:space="preserve">Three layers: the database service's own daily backups, a scheduled export into OneDrive/Dropbox, and the in-app manual backup. Chapter 7.</w:t>
            </w:r>
          </w:p>
        </w:tc>
      </w:tr>
      <w:tr>
        <w:tc>
          <w:tcPr>
            <w:tcW w:type="dxa" w:w="3000"/>
            <w:shd w:fill="F6FAFC" w:val="clear"/>
            <w:tcMar>
              <w:top w:type="dxa" w:w="90"/>
              <w:left w:type="dxa" w:w="120"/>
              <w:bottom w:type="dxa" w:w="90"/>
              <w:right w:type="dxa" w:w="120"/>
            </w:tcMar>
            <w:vAlign w:val="center"/>
          </w:tcPr>
          <w:p>
            <w:pPr>
              <w:spacing w:after="0"/>
            </w:pPr>
            <w:r>
              <w:t xml:space="preserve">Scale 20 → 50 → 100 people?</w:t>
            </w:r>
          </w:p>
        </w:tc>
        <w:tc>
          <w:tcPr>
            <w:tcW w:type="dxa" w:w="6360"/>
            <w:shd w:fill="F6FAFC" w:val="clear"/>
            <w:tcMar>
              <w:top w:type="dxa" w:w="90"/>
              <w:left w:type="dxa" w:w="120"/>
              <w:bottom w:type="dxa" w:w="90"/>
              <w:right w:type="dxa" w:w="120"/>
            </w:tcMar>
            <w:vAlign w:val="center"/>
          </w:tcPr>
          <w:p>
            <w:pPr>
              <w:spacing w:after="0"/>
            </w:pPr>
            <w:r>
              <w:t xml:space="preserve">Trivial for any real database. WorkDesk's data volume is tiny — a year of 100 people logging daily is well under 1% of even the free database tier. Chapter 8.</w:t>
            </w:r>
          </w:p>
        </w:tc>
      </w:tr>
    </w:tbl>
    <w:p>
      <w:pPr>
        <w:pStyle w:val="Heading1"/>
      </w:pPr>
      <w:r>
        <w:t xml:space="preserve">2. Why not Microsoft Access</w:t>
      </w:r>
    </w:p>
    <w:p>
      <w:r>
        <w:t xml:space="preserve">Access is a fine product for what it is: a desktop database with forms and reports, living in a single .accdb file, edited through the Access program on a Windows PC. The problems for WorkDesk are structural, not a matter of effort:</w:t>
      </w:r>
    </w:p>
    <w:p>
      <w:pPr>
        <w:pStyle w:val="ListParagraph"/>
        <w:numPr>
          <w:ilvl w:val="0"/>
          <w:numId w:val="2"/>
        </w:numPr>
      </w:pPr>
      <w:r>
        <w:rPr>
          <w:b/>
          <w:bCs/>
        </w:rPr>
        <w:t xml:space="preserve">Browsers cannot connect to it.</w:t>
      </w:r>
      <w:r>
        <w:t xml:space="preserve"> WorkDesk runs in the browser; an .accdb file has no web interface. Bridging the two would mean building and hosting a Windows server component — more moving parts than a real database, with none of the benefits.</w:t>
      </w:r>
    </w:p>
    <w:p>
      <w:pPr>
        <w:pStyle w:val="ListParagraph"/>
        <w:numPr>
          <w:ilvl w:val="0"/>
          <w:numId w:val="2"/>
        </w:numPr>
      </w:pPr>
      <w:r>
        <w:rPr>
          <w:b/>
          <w:bCs/>
        </w:rPr>
        <w:t xml:space="preserve">Multi-user Access requires an office LAN file share.</w:t>
      </w:r>
      <w:r>
        <w:t xml:space="preserve"> Access handles simultaneous users through record locking on a local network file share. It was never designed for 20 people over the internet.</w:t>
      </w:r>
    </w:p>
    <w:p>
      <w:pPr>
        <w:pStyle w:val="ListParagraph"/>
        <w:numPr>
          <w:ilvl w:val="0"/>
          <w:numId w:val="2"/>
        </w:numPr>
      </w:pPr>
      <w:r>
        <w:rPr>
          <w:b/>
          <w:bCs/>
        </w:rPr>
        <w:t xml:space="preserve">Access + Dropbox/OneDrive is a corruption story.</w:t>
      </w:r>
      <w:r>
        <w:t xml:space="preserve"> Sync clients copy the whole file. Two people editing at once produces “conflicted copy” duplicates at best and a damaged database at worst — this is one of the most repeated warnings in the Access community and in Microsoft's own guidance.</w:t>
      </w:r>
    </w:p>
    <w:p>
      <w:pPr>
        <w:pStyle w:val="ListParagraph"/>
        <w:numPr>
          <w:ilvl w:val="0"/>
          <w:numId w:val="2"/>
        </w:numPr>
      </w:pPr>
      <w:r>
        <w:rPr>
          <w:b/>
          <w:bCs/>
        </w:rPr>
        <w:t xml:space="preserve">No role separation for our case.</w:t>
      </w:r>
      <w:r>
        <w:t xml:space="preserve"> Anyone who can open the file can read every table, budgets included.</w:t>
      </w:r>
    </w:p>
    <w:p>
      <w:r>
        <w:rPr>
          <w:b/>
          <w:bCs/>
        </w:rPr>
        <w:t xml:space="preserve">Where Access could still play:</w:t>
      </w:r>
      <w:r>
        <w:t xml:space="preserve"> as a personal reporting shell for the accountant — importing WorkDesk's exported Excel files into a local Access database for their own queries. Optional, and never the system of record.</w:t>
      </w:r>
    </w:p>
    <w:p>
      <w:pPr>
        <w:pStyle w:val="Heading1"/>
      </w:pPr>
      <w:r>
        <w:t xml:space="preserve">3. Why not Dropbox / OneDrive as the live store</w:t>
      </w:r>
    </w:p>
    <w:p>
      <w:r>
        <w:t xml:space="preserve">It is tempting: the data is one JSON file today, and the company already lives on Dropbox and OneDrive. Three reasons it fails as the live database — and one job it is perfect for:</w:t>
      </w:r>
    </w:p>
    <w:p>
      <w:pPr>
        <w:pStyle w:val="ListParagraph"/>
        <w:numPr>
          <w:ilvl w:val="0"/>
          <w:numId w:val="2"/>
        </w:numPr>
      </w:pPr>
      <w:r>
        <w:rPr>
          <w:b/>
          <w:bCs/>
        </w:rPr>
        <w:t xml:space="preserve">Simultaneous edits overwrite each other.</w:t>
      </w:r>
      <w:r>
        <w:t xml:space="preserve"> File sync has no concept of merging rows. If Maya logs an entry at 16:02 and Danny logs one at 16:03 from another machine, whichever file syncs last wins and the other entry silently disappears. With 20 daily users this is not a risk, it is a certainty.</w:t>
      </w:r>
    </w:p>
    <w:p>
      <w:pPr>
        <w:pStyle w:val="ListParagraph"/>
        <w:numPr>
          <w:ilvl w:val="0"/>
          <w:numId w:val="2"/>
        </w:numPr>
      </w:pPr>
      <w:r>
        <w:rPr>
          <w:b/>
          <w:bCs/>
        </w:rPr>
        <w:t xml:space="preserve">No partial permissions.</w:t>
      </w:r>
      <w:r>
        <w:t xml:space="preserve"> Sharing is per file or folder. Anyone who can read the data file reads the budgets in it. Hiding the tab in the app would be cosmetic — the file itself is the data.</w:t>
      </w:r>
    </w:p>
    <w:p>
      <w:pPr>
        <w:pStyle w:val="ListParagraph"/>
        <w:numPr>
          <w:ilvl w:val="0"/>
          <w:numId w:val="2"/>
        </w:numPr>
      </w:pPr>
      <w:r>
        <w:rPr>
          <w:b/>
          <w:bCs/>
        </w:rPr>
        <w:t xml:space="preserve">No always-on service.</w:t>
      </w:r>
      <w:r>
        <w:t xml:space="preserve"> A browser app cannot reliably and safely read/write files in a synced folder; routing through the Dropbox/OneDrive APIs is possible but recreates all of the above conflicts with extra engineering.</w:t>
      </w:r>
    </w:p>
    <w:p>
      <w:r>
        <w:rPr>
          <w:b/>
          <w:bCs/>
        </w:rPr>
        <w:t xml:space="preserve">The right job for Dropbox/OneDrive: the backup shelf.</w:t>
      </w:r>
      <w:r>
        <w:t xml:space="preserve"> A dated copy of the whole database lands there on schedule, next to the company's other documents, restorable at any time. Chapter 7 sets this up.</w:t>
      </w:r>
    </w:p>
    <w:p>
      <w:pPr>
        <w:pStyle w:val="Heading1"/>
      </w:pPr>
      <w:r>
        <w:t xml:space="preserve">4. What “done right” requires</w:t>
      </w:r>
    </w:p>
    <w:p>
      <w:r>
        <w:t xml:space="preserve">Four capabilities, and where each must live:</w:t>
      </w:r>
    </w:p>
    <w:tbl>
      <w:tblPr>
        <w:tblW w:type="dxa" w:w="9360"/>
        <w:tblBorders>
          <w:top w:val="single" w:color="D5E4EA" w:sz="4"/>
          <w:left w:val="single" w:color="D5E4EA" w:sz="4"/>
          <w:bottom w:val="single" w:color="D5E4EA" w:sz="4"/>
          <w:right w:val="single" w:color="D5E4EA" w:sz="4"/>
          <w:insideH w:val="single" w:color="D5E4EA" w:sz="4"/>
          <w:insideV w:val="single" w:color="D5E4EA" w:sz="4"/>
        </w:tblBorders>
      </w:tblPr>
      <w:tblGrid>
        <w:gridCol w:w="1800"/>
        <w:gridCol w:w="4600"/>
        <w:gridCol w:w="2960"/>
      </w:tblGrid>
      <w:tr>
        <w:trPr>
          <w:tblHeader/>
        </w:trPr>
        <w:tc>
          <w:tcPr>
            <w:tcW w:type="dxa" w:w="1800"/>
            <w:shd w:fill="0F2836" w:val="clear"/>
            <w:tcMar>
              <w:top w:type="dxa" w:w="90"/>
              <w:left w:type="dxa" w:w="120"/>
              <w:bottom w:type="dxa" w:w="90"/>
              <w:right w:type="dxa" w:w="120"/>
            </w:tcMar>
            <w:vAlign w:val="center"/>
          </w:tcPr>
          <w:p>
            <w:pPr>
              <w:spacing w:after="0"/>
            </w:pPr>
            <w:r>
              <w:rPr>
                <w:b/>
                <w:bCs/>
                <w:color w:val="FFFFFF"/>
                <w:sz w:val="20"/>
                <w:szCs w:val="20"/>
              </w:rPr>
              <w:t xml:space="preserve">Requirement</w:t>
            </w:r>
          </w:p>
        </w:tc>
        <w:tc>
          <w:tcPr>
            <w:tcW w:type="dxa" w:w="4600"/>
            <w:shd w:fill="0F2836" w:val="clear"/>
            <w:tcMar>
              <w:top w:type="dxa" w:w="90"/>
              <w:left w:type="dxa" w:w="120"/>
              <w:bottom w:type="dxa" w:w="90"/>
              <w:right w:type="dxa" w:w="120"/>
            </w:tcMar>
            <w:vAlign w:val="center"/>
          </w:tcPr>
          <w:p>
            <w:pPr>
              <w:spacing w:after="0"/>
            </w:pPr>
            <w:r>
              <w:rPr>
                <w:b/>
                <w:bCs/>
                <w:color w:val="FFFFFF"/>
                <w:sz w:val="20"/>
                <w:szCs w:val="20"/>
              </w:rPr>
              <w:t xml:space="preserve">What it means</w:t>
            </w:r>
          </w:p>
        </w:tc>
        <w:tc>
          <w:tcPr>
            <w:tcW w:type="dxa" w:w="2960"/>
            <w:shd w:fill="0F2836" w:val="clear"/>
            <w:tcMar>
              <w:top w:type="dxa" w:w="90"/>
              <w:left w:type="dxa" w:w="120"/>
              <w:bottom w:type="dxa" w:w="90"/>
              <w:right w:type="dxa" w:w="120"/>
            </w:tcMar>
            <w:vAlign w:val="center"/>
          </w:tcPr>
          <w:p>
            <w:pPr>
              <w:spacing w:after="0"/>
            </w:pPr>
            <w:r>
              <w:rPr>
                <w:b/>
                <w:bCs/>
                <w:color w:val="FFFFFF"/>
                <w:sz w:val="20"/>
                <w:szCs w:val="20"/>
              </w:rPr>
              <w:t xml:space="preserve">Where it must be enforced</w:t>
            </w:r>
          </w:p>
        </w:tc>
      </w:tr>
      <w:tr>
        <w:tc>
          <w:tcPr>
            <w:tcW w:type="dxa" w:w="1800"/>
            <w:tcMar>
              <w:top w:type="dxa" w:w="90"/>
              <w:left w:type="dxa" w:w="120"/>
              <w:bottom w:type="dxa" w:w="90"/>
              <w:right w:type="dxa" w:w="120"/>
            </w:tcMar>
            <w:vAlign w:val="center"/>
          </w:tcPr>
          <w:p>
            <w:pPr>
              <w:spacing w:after="0"/>
            </w:pPr>
            <w:r>
              <w:t xml:space="preserve">One central store</w:t>
            </w:r>
          </w:p>
        </w:tc>
        <w:tc>
          <w:tcPr>
            <w:tcW w:type="dxa" w:w="4600"/>
            <w:tcMar>
              <w:top w:type="dxa" w:w="90"/>
              <w:left w:type="dxa" w:w="120"/>
              <w:bottom w:type="dxa" w:w="90"/>
              <w:right w:type="dxa" w:w="120"/>
            </w:tcMar>
            <w:vAlign w:val="center"/>
          </w:tcPr>
          <w:p>
            <w:pPr>
              <w:spacing w:after="0"/>
            </w:pPr>
            <w:r>
              <w:t xml:space="preserve">Every entry, plan, expense, budget, and list lives in one database all browsers talk to. No more per-browser islands.</w:t>
            </w:r>
          </w:p>
        </w:tc>
        <w:tc>
          <w:tcPr>
            <w:tcW w:type="dxa" w:w="2960"/>
            <w:tcMar>
              <w:top w:type="dxa" w:w="90"/>
              <w:left w:type="dxa" w:w="120"/>
              <w:bottom w:type="dxa" w:w="90"/>
              <w:right w:type="dxa" w:w="120"/>
            </w:tcMar>
            <w:vAlign w:val="center"/>
          </w:tcPr>
          <w:p>
            <w:pPr>
              <w:spacing w:after="0"/>
            </w:pPr>
            <w:r>
              <w:t xml:space="preserve">A database service</w:t>
            </w:r>
          </w:p>
        </w:tc>
      </w:tr>
      <w:tr>
        <w:tc>
          <w:tcPr>
            <w:tcW w:type="dxa" w:w="1800"/>
            <w:shd w:fill="F6FAFC" w:val="clear"/>
            <w:tcMar>
              <w:top w:type="dxa" w:w="90"/>
              <w:left w:type="dxa" w:w="120"/>
              <w:bottom w:type="dxa" w:w="90"/>
              <w:right w:type="dxa" w:w="120"/>
            </w:tcMar>
            <w:vAlign w:val="center"/>
          </w:tcPr>
          <w:p>
            <w:pPr>
              <w:spacing w:after="0"/>
            </w:pPr>
            <w:r>
              <w:t xml:space="preserve">Logins</w:t>
            </w:r>
          </w:p>
        </w:tc>
        <w:tc>
          <w:tcPr>
            <w:tcW w:type="dxa" w:w="4600"/>
            <w:shd w:fill="F6FAFC" w:val="clear"/>
            <w:tcMar>
              <w:top w:type="dxa" w:w="90"/>
              <w:left w:type="dxa" w:w="120"/>
              <w:bottom w:type="dxa" w:w="90"/>
              <w:right w:type="dxa" w:w="120"/>
            </w:tcMar>
            <w:vAlign w:val="center"/>
          </w:tcPr>
          <w:p>
            <w:pPr>
              <w:spacing w:after="0"/>
            </w:pPr>
            <w:r>
              <w:t xml:space="preserve">Each employee signs in with their company email. The app knows who is acting, so entries carry a reliable author and managers can see the team.</w:t>
            </w:r>
          </w:p>
        </w:tc>
        <w:tc>
          <w:tcPr>
            <w:tcW w:type="dxa" w:w="2960"/>
            <w:shd w:fill="F6FAFC" w:val="clear"/>
            <w:tcMar>
              <w:top w:type="dxa" w:w="90"/>
              <w:left w:type="dxa" w:w="120"/>
              <w:bottom w:type="dxa" w:w="90"/>
              <w:right w:type="dxa" w:w="120"/>
            </w:tcMar>
            <w:vAlign w:val="center"/>
          </w:tcPr>
          <w:p>
            <w:pPr>
              <w:spacing w:after="0"/>
            </w:pPr>
            <w:r>
              <w:t xml:space="preserve">An authentication service</w:t>
            </w:r>
          </w:p>
        </w:tc>
      </w:tr>
      <w:tr>
        <w:tc>
          <w:tcPr>
            <w:tcW w:type="dxa" w:w="1800"/>
            <w:tcMar>
              <w:top w:type="dxa" w:w="90"/>
              <w:left w:type="dxa" w:w="120"/>
              <w:bottom w:type="dxa" w:w="90"/>
              <w:right w:type="dxa" w:w="120"/>
            </w:tcMar>
            <w:vAlign w:val="center"/>
          </w:tcPr>
          <w:p>
            <w:pPr>
              <w:spacing w:after="0"/>
            </w:pPr>
            <w:r>
              <w:t xml:space="preserve">Roles</w:t>
            </w:r>
          </w:p>
        </w:tc>
        <w:tc>
          <w:tcPr>
            <w:tcW w:type="dxa" w:w="4600"/>
            <w:tcMar>
              <w:top w:type="dxa" w:w="90"/>
              <w:left w:type="dxa" w:w="120"/>
              <w:bottom w:type="dxa" w:w="90"/>
              <w:right w:type="dxa" w:w="120"/>
            </w:tcMar>
            <w:vAlign w:val="center"/>
          </w:tcPr>
          <w:p>
            <w:pPr>
              <w:spacing w:after="0"/>
            </w:pPr>
            <w:r>
              <w:t xml:space="preserve">Employee / Manager / CEO / Accountant. The Budgets tab (and its data) only for the last three.</w:t>
            </w:r>
          </w:p>
        </w:tc>
        <w:tc>
          <w:tcPr>
            <w:tcW w:type="dxa" w:w="2960"/>
            <w:tcMar>
              <w:top w:type="dxa" w:w="90"/>
              <w:left w:type="dxa" w:w="120"/>
              <w:bottom w:type="dxa" w:w="90"/>
              <w:right w:type="dxa" w:w="120"/>
            </w:tcMar>
            <w:vAlign w:val="center"/>
          </w:tcPr>
          <w:p>
            <w:pPr>
              <w:spacing w:after="0"/>
            </w:pPr>
            <w:r>
              <w:t xml:space="preserve">The database — not the app. Hiding a tab in the browser stops nobody curious; the database refusing to return budget rows stops everybody.</w:t>
            </w:r>
          </w:p>
        </w:tc>
      </w:tr>
      <w:tr>
        <w:tc>
          <w:tcPr>
            <w:tcW w:type="dxa" w:w="1800"/>
            <w:shd w:fill="F6FAFC" w:val="clear"/>
            <w:tcMar>
              <w:top w:type="dxa" w:w="90"/>
              <w:left w:type="dxa" w:w="120"/>
              <w:bottom w:type="dxa" w:w="90"/>
              <w:right w:type="dxa" w:w="120"/>
            </w:tcMar>
            <w:vAlign w:val="center"/>
          </w:tcPr>
          <w:p>
            <w:pPr>
              <w:spacing w:after="0"/>
            </w:pPr>
            <w:r>
              <w:t xml:space="preserve">Backups</w:t>
            </w:r>
          </w:p>
        </w:tc>
        <w:tc>
          <w:tcPr>
            <w:tcW w:type="dxa" w:w="4600"/>
            <w:shd w:fill="F6FAFC" w:val="clear"/>
            <w:tcMar>
              <w:top w:type="dxa" w:w="90"/>
              <w:left w:type="dxa" w:w="120"/>
              <w:bottom w:type="dxa" w:w="90"/>
              <w:right w:type="dxa" w:w="120"/>
            </w:tcMar>
            <w:vAlign w:val="center"/>
          </w:tcPr>
          <w:p>
            <w:pPr>
              <w:spacing w:after="0"/>
            </w:pPr>
            <w:r>
              <w:t xml:space="preserve">Automatic, scheduled, restorable, with copies on company storage.</w:t>
            </w:r>
          </w:p>
        </w:tc>
        <w:tc>
          <w:tcPr>
            <w:tcW w:type="dxa" w:w="2960"/>
            <w:shd w:fill="F6FAFC" w:val="clear"/>
            <w:tcMar>
              <w:top w:type="dxa" w:w="90"/>
              <w:left w:type="dxa" w:w="120"/>
              <w:bottom w:type="dxa" w:w="90"/>
              <w:right w:type="dxa" w:w="120"/>
            </w:tcMar>
            <w:vAlign w:val="center"/>
          </w:tcPr>
          <w:p>
            <w:pPr>
              <w:spacing w:after="0"/>
            </w:pPr>
            <w:r>
              <w:t xml:space="preserve">The database service + a scheduled export</w:t>
            </w:r>
          </w:p>
        </w:tc>
      </w:tr>
    </w:tbl>
    <w:p>
      <w:r>
        <w:t xml:space="preserve">This is the honest core of the permissions question: </w:t>
      </w:r>
      <w:r>
        <w:rPr>
          <w:b/>
          <w:bCs/>
        </w:rPr>
        <w:t xml:space="preserve">real restriction happens on the server.</w:t>
      </w:r>
      <w:r>
        <w:t xml:space="preserve"> The app will also hide the Budgets tab from employees — but the guarantee comes from the database's row-level security rules, which check the signed-in user's role before returning a single budget row.</w:t>
      </w:r>
    </w:p>
    <w:p>
      <w:pPr>
        <w:pStyle w:val="Heading1"/>
      </w:pPr>
      <w:r>
        <w:t xml:space="preserve">5. The options, compared honestly</w:t>
      </w:r>
    </w:p>
    <w:tbl>
      <w:tblPr>
        <w:tblW w:type="dxa" w:w="9360"/>
        <w:tblBorders>
          <w:top w:val="single" w:color="D5E4EA" w:sz="4"/>
          <w:left w:val="single" w:color="D5E4EA" w:sz="4"/>
          <w:bottom w:val="single" w:color="D5E4EA" w:sz="4"/>
          <w:right w:val="single" w:color="D5E4EA" w:sz="4"/>
          <w:insideH w:val="single" w:color="D5E4EA" w:sz="4"/>
          <w:insideV w:val="single" w:color="D5E4EA" w:sz="4"/>
        </w:tblBorders>
      </w:tblPr>
      <w:tblGrid>
        <w:gridCol w:w="2100"/>
        <w:gridCol w:w="3600"/>
        <w:gridCol w:w="3660"/>
      </w:tblGrid>
      <w:tr>
        <w:trPr>
          <w:tblHeader/>
        </w:trPr>
        <w:tc>
          <w:tcPr>
            <w:tcW w:type="dxa" w:w="2100"/>
            <w:shd w:fill="0F2836" w:val="clear"/>
            <w:tcMar>
              <w:top w:type="dxa" w:w="90"/>
              <w:left w:type="dxa" w:w="120"/>
              <w:bottom w:type="dxa" w:w="90"/>
              <w:right w:type="dxa" w:w="120"/>
            </w:tcMar>
            <w:vAlign w:val="center"/>
          </w:tcPr>
          <w:p>
            <w:pPr>
              <w:spacing w:after="0"/>
            </w:pPr>
            <w:r>
              <w:rPr>
                <w:b/>
                <w:bCs/>
                <w:color w:val="FFFFFF"/>
                <w:sz w:val="20"/>
                <w:szCs w:val="20"/>
              </w:rPr>
              <w:t xml:space="preserve">Option</w:t>
            </w:r>
          </w:p>
        </w:tc>
        <w:tc>
          <w:tcPr>
            <w:tcW w:type="dxa" w:w="3600"/>
            <w:shd w:fill="0F2836" w:val="clear"/>
            <w:tcMar>
              <w:top w:type="dxa" w:w="90"/>
              <w:left w:type="dxa" w:w="120"/>
              <w:bottom w:type="dxa" w:w="90"/>
              <w:right w:type="dxa" w:w="120"/>
            </w:tcMar>
            <w:vAlign w:val="center"/>
          </w:tcPr>
          <w:p>
            <w:pPr>
              <w:spacing w:after="0"/>
            </w:pPr>
            <w:r>
              <w:rPr>
                <w:b/>
                <w:bCs/>
                <w:color w:val="FFFFFF"/>
                <w:sz w:val="20"/>
                <w:szCs w:val="20"/>
              </w:rPr>
              <w:t xml:space="preserve">What it is</w:t>
            </w:r>
          </w:p>
        </w:tc>
        <w:tc>
          <w:tcPr>
            <w:tcW w:type="dxa" w:w="3660"/>
            <w:shd w:fill="0F2836" w:val="clear"/>
            <w:tcMar>
              <w:top w:type="dxa" w:w="90"/>
              <w:left w:type="dxa" w:w="120"/>
              <w:bottom w:type="dxa" w:w="90"/>
              <w:right w:type="dxa" w:w="120"/>
            </w:tcMar>
            <w:vAlign w:val="center"/>
          </w:tcPr>
          <w:p>
            <w:pPr>
              <w:spacing w:after="0"/>
            </w:pPr>
            <w:r>
              <w:rPr>
                <w:b/>
                <w:bCs/>
                <w:color w:val="FFFFFF"/>
                <w:sz w:val="20"/>
                <w:szCs w:val="20"/>
              </w:rPr>
              <w:t xml:space="preserve">Fit for Galil</w:t>
            </w:r>
          </w:p>
        </w:tc>
      </w:tr>
      <w:tr>
        <w:tc>
          <w:tcPr>
            <w:tcW w:type="dxa" w:w="2100"/>
            <w:tcMar>
              <w:top w:type="dxa" w:w="90"/>
              <w:left w:type="dxa" w:w="120"/>
              <w:bottom w:type="dxa" w:w="90"/>
              <w:right w:type="dxa" w:w="120"/>
            </w:tcMar>
            <w:vAlign w:val="center"/>
          </w:tcPr>
          <w:p>
            <w:pPr>
              <w:spacing w:after="0"/>
            </w:pPr>
            <w:r>
              <w:t xml:space="preserve">A. Supabase (recommended)</w:t>
            </w:r>
          </w:p>
        </w:tc>
        <w:tc>
          <w:tcPr>
            <w:tcW w:type="dxa" w:w="3600"/>
            <w:tcMar>
              <w:top w:type="dxa" w:w="90"/>
              <w:left w:type="dxa" w:w="120"/>
              <w:bottom w:type="dxa" w:w="90"/>
              <w:right w:type="dxa" w:w="120"/>
            </w:tcMar>
            <w:vAlign w:val="center"/>
          </w:tcPr>
          <w:p>
            <w:pPr>
              <w:spacing w:after="0"/>
            </w:pPr>
            <w:r>
              <w:t xml:space="preserve">A managed PostgreSQL database with built-in logins, role rules (row-level security), automatic APIs, and backups. Nothing to install or maintain; WorkDesk connects to it directly from the browser.</w:t>
            </w:r>
          </w:p>
        </w:tc>
        <w:tc>
          <w:tcPr>
            <w:tcW w:type="dxa" w:w="3660"/>
            <w:tcMar>
              <w:top w:type="dxa" w:w="90"/>
              <w:left w:type="dxa" w:w="120"/>
              <w:bottom w:type="dxa" w:w="90"/>
              <w:right w:type="dxa" w:w="120"/>
            </w:tcMar>
            <w:vAlign w:val="center"/>
          </w:tcPr>
          <w:p>
            <w:pPr>
              <w:spacing w:after="0"/>
            </w:pPr>
            <w:r>
              <w:t xml:space="preserve">Best fit. Keeps WorkDesk exactly as it is, adds logins + real roles, free to pilot, ~$25/month in production. The rest of this guide assumes it.</w:t>
            </w:r>
          </w:p>
        </w:tc>
      </w:tr>
      <w:tr>
        <w:tc>
          <w:tcPr>
            <w:tcW w:type="dxa" w:w="2100"/>
            <w:shd w:fill="F6FAFC" w:val="clear"/>
            <w:tcMar>
              <w:top w:type="dxa" w:w="90"/>
              <w:left w:type="dxa" w:w="120"/>
              <w:bottom w:type="dxa" w:w="90"/>
              <w:right w:type="dxa" w:w="120"/>
            </w:tcMar>
            <w:vAlign w:val="center"/>
          </w:tcPr>
          <w:p>
            <w:pPr>
              <w:spacing w:after="0"/>
            </w:pPr>
            <w:r>
              <w:t xml:space="preserve">B. Microsoft SharePoint Lists / Dataverse + Power Apps</w:t>
            </w:r>
          </w:p>
        </w:tc>
        <w:tc>
          <w:tcPr>
            <w:tcW w:type="dxa" w:w="3600"/>
            <w:shd w:fill="F6FAFC" w:val="clear"/>
            <w:tcMar>
              <w:top w:type="dxa" w:w="90"/>
              <w:left w:type="dxa" w:w="120"/>
              <w:bottom w:type="dxa" w:w="90"/>
              <w:right w:type="dxa" w:w="120"/>
            </w:tcMar>
            <w:vAlign w:val="center"/>
          </w:tcPr>
          <w:p>
            <w:pPr>
              <w:spacing w:after="0"/>
            </w:pPr>
            <w:r>
              <w:t xml:space="preserve">Rebuilding the tool inside Microsoft's low-code platform, storing data in Lists or Dataverse.</w:t>
            </w:r>
          </w:p>
        </w:tc>
        <w:tc>
          <w:tcPr>
            <w:tcW w:type="dxa" w:w="3660"/>
            <w:shd w:fill="F6FAFC" w:val="clear"/>
            <w:tcMar>
              <w:top w:type="dxa" w:w="90"/>
              <w:left w:type="dxa" w:w="120"/>
              <w:bottom w:type="dxa" w:w="90"/>
              <w:right w:type="dxa" w:w="120"/>
            </w:tcMar>
            <w:vAlign w:val="center"/>
          </w:tcPr>
          <w:p>
            <w:pPr>
              <w:spacing w:after="0"/>
            </w:pPr>
            <w:r>
              <w:t xml:space="preserve">Fits a “Microsoft-only” IT mandate, and permissions are solid — but it means abandoning WorkDesk's interface and rebuilding in Power Apps, plus per-user licensing for Dataverse. Only worth it if IT requires it.</w:t>
            </w:r>
          </w:p>
        </w:tc>
      </w:tr>
      <w:tr>
        <w:tc>
          <w:tcPr>
            <w:tcW w:type="dxa" w:w="2100"/>
            <w:tcMar>
              <w:top w:type="dxa" w:w="90"/>
              <w:left w:type="dxa" w:w="120"/>
              <w:bottom w:type="dxa" w:w="90"/>
              <w:right w:type="dxa" w:w="120"/>
            </w:tcMar>
            <w:vAlign w:val="center"/>
          </w:tcPr>
          <w:p>
            <w:pPr>
              <w:spacing w:after="0"/>
            </w:pPr>
            <w:r>
              <w:t xml:space="preserve">C. Keep / extend AppSheet</w:t>
            </w:r>
          </w:p>
        </w:tc>
        <w:tc>
          <w:tcPr>
            <w:tcW w:type="dxa" w:w="3600"/>
            <w:tcMar>
              <w:top w:type="dxa" w:w="90"/>
              <w:left w:type="dxa" w:w="120"/>
              <w:bottom w:type="dxa" w:w="90"/>
              <w:right w:type="dxa" w:w="120"/>
            </w:tcMar>
            <w:vAlign w:val="center"/>
          </w:tcPr>
          <w:p>
            <w:pPr>
              <w:spacing w:after="0"/>
            </w:pPr>
            <w:r>
              <w:t xml:space="preserve">The current tool. AppSheet already provides logins, roles (“security filters”), and cloud data.</w:t>
            </w:r>
          </w:p>
        </w:tc>
        <w:tc>
          <w:tcPr>
            <w:tcW w:type="dxa" w:w="3660"/>
            <w:tcMar>
              <w:top w:type="dxa" w:w="90"/>
              <w:left w:type="dxa" w:w="120"/>
              <w:bottom w:type="dxa" w:w="90"/>
              <w:right w:type="dxa" w:w="120"/>
            </w:tcMar>
            <w:vAlign w:val="center"/>
          </w:tcPr>
          <w:p>
            <w:pPr>
              <w:spacing w:after="0"/>
            </w:pPr>
            <w:r>
              <w:t xml:space="preserve">Zero migration — but it is the experience the team is moving away from, and WorkDesk's budgets/exports would have to be rebuilt inside AppSheet's constraints.</w:t>
            </w:r>
          </w:p>
        </w:tc>
      </w:tr>
      <w:tr>
        <w:tc>
          <w:tcPr>
            <w:tcW w:type="dxa" w:w="2100"/>
            <w:shd w:fill="F6FAFC" w:val="clear"/>
            <w:tcMar>
              <w:top w:type="dxa" w:w="90"/>
              <w:left w:type="dxa" w:w="120"/>
              <w:bottom w:type="dxa" w:w="90"/>
              <w:right w:type="dxa" w:w="120"/>
            </w:tcMar>
            <w:vAlign w:val="center"/>
          </w:tcPr>
          <w:p>
            <w:pPr>
              <w:spacing w:after="0"/>
            </w:pPr>
            <w:r>
              <w:t xml:space="preserve">D. Self-host on a company server</w:t>
            </w:r>
          </w:p>
        </w:tc>
        <w:tc>
          <w:tcPr>
            <w:tcW w:type="dxa" w:w="3600"/>
            <w:shd w:fill="F6FAFC" w:val="clear"/>
            <w:tcMar>
              <w:top w:type="dxa" w:w="90"/>
              <w:left w:type="dxa" w:w="120"/>
              <w:bottom w:type="dxa" w:w="90"/>
              <w:right w:type="dxa" w:w="120"/>
            </w:tcMar>
            <w:vAlign w:val="center"/>
          </w:tcPr>
          <w:p>
            <w:pPr>
              <w:spacing w:after="0"/>
            </w:pPr>
            <w:r>
              <w:t xml:space="preserve">A small Node + PostgreSQL/SQLite backend installed on Galil's own server, data fully in-house.</w:t>
            </w:r>
          </w:p>
        </w:tc>
        <w:tc>
          <w:tcPr>
            <w:tcW w:type="dxa" w:w="3660"/>
            <w:shd w:fill="F6FAFC" w:val="clear"/>
            <w:tcMar>
              <w:top w:type="dxa" w:w="90"/>
              <w:left w:type="dxa" w:w="120"/>
              <w:bottom w:type="dxa" w:w="90"/>
              <w:right w:type="dxa" w:w="120"/>
            </w:tcMar>
            <w:vAlign w:val="center"/>
          </w:tcPr>
          <w:p>
            <w:pPr>
              <w:spacing w:after="0"/>
            </w:pPr>
            <w:r>
              <w:t xml:space="preserve">Maximum control, but Galil becomes the database administrator: updates, TLS certificates, uptime, and backup discipline. Not recommended without a dedicated IT owner.</w:t>
            </w:r>
          </w:p>
        </w:tc>
      </w:tr>
    </w:tbl>
    <w:p>
      <w:r>
        <w:rPr>
          <w:b/>
          <w:bCs/>
        </w:rPr>
        <w:t xml:space="preserve">Recommendation: Option A.</w:t>
      </w:r>
      <w:r>
        <w:t xml:space="preserve"> It is the only path that keeps the WorkDesk the team already likes, enforces the Budgets restriction properly, needs no installation anywhere, and costs less per month than one billable hour.</w:t>
      </w:r>
    </w:p>
    <w:p>
      <w:pPr>
        <w:pStyle w:val="Heading1"/>
      </w:pPr>
      <w:r>
        <w:t xml:space="preserve">6. The recommended setup (Supabase)</w:t>
      </w:r>
    </w:p>
    <w:p>
      <w:pPr>
        <w:pStyle w:val="Heading2"/>
      </w:pPr>
      <w:r>
        <w:t xml:space="preserve">6.1 How it fits together</w:t>
      </w:r>
    </w:p>
    <w:p>
      <w:r>
        <w:t xml:space="preserve">Every employee opens the same WorkDesk address and signs in with their company email. The app then reads and writes the shared database instead of the browser's local storage. In pictures, in words:</w:t>
      </w:r>
    </w:p>
    <w:tbl>
      <w:tblPr>
        <w:tblW w:type="dxa" w:w="9360"/>
        <w:tblBorders>
          <w:top w:val="single" w:color="D5E4EA" w:sz="4"/>
          <w:left w:val="single" w:color="17A3B8" w:sz="12"/>
          <w:bottom w:val="single" w:color="D5E4EA" w:sz="4"/>
          <w:right w:val="single" w:color="D5E4EA" w:sz="4"/>
          <w:insideH w:val="none"/>
          <w:insideV w:val="none"/>
        </w:tblBorders>
      </w:tblPr>
      <w:tblGrid>
        <w:gridCol w:w="9360"/>
      </w:tblGrid>
      <w:tr>
        <w:tc>
          <w:tcPr>
            <w:tcW w:type="dxa" w:w="9360"/>
            <w:shd w:fill="F1F7FA" w:val="clear"/>
            <w:tcMar>
              <w:top w:type="dxa" w:w="120"/>
              <w:left w:type="dxa" w:w="160"/>
              <w:bottom w:type="dxa" w:w="120"/>
              <w:right w:type="dxa" w:w="160"/>
            </w:tcMar>
          </w:tcPr>
          <w:p>
            <w:pPr>
              <w:spacing w:after="30"/>
            </w:pPr>
            <w:r>
              <w:rPr>
                <w:rFonts w:ascii="Consolas" w:cs="Consolas" w:eastAsia="Consolas" w:hAnsi="Consolas"/>
                <w:sz w:val="19"/>
                <w:szCs w:val="19"/>
              </w:rPr>
              <w:t xml:space="preserve">Employee browsers  →  sign in (email + password)</w:t>
            </w:r>
          </w:p>
          <w:p>
            <w:pPr>
              <w:spacing w:after="30"/>
            </w:pPr>
            <w:r>
              <w:rPr>
                <w:rFonts w:ascii="Consolas" w:cs="Consolas" w:eastAsia="Consolas" w:hAnsi="Consolas"/>
                <w:sz w:val="19"/>
                <w:szCs w:val="19"/>
              </w:rPr>
              <w:t xml:space="preserve">        ↓</w:t>
            </w:r>
          </w:p>
          <w:p>
            <w:pPr>
              <w:spacing w:after="30"/>
            </w:pPr>
            <w:r>
              <w:rPr>
                <w:rFonts w:ascii="Consolas" w:cs="Consolas" w:eastAsia="Consolas" w:hAnsi="Consolas"/>
                <w:sz w:val="19"/>
                <w:szCs w:val="19"/>
              </w:rPr>
              <w:t xml:space="preserve">WorkDesk app (same interface as today)</w:t>
            </w:r>
          </w:p>
          <w:p>
            <w:pPr>
              <w:spacing w:after="30"/>
            </w:pPr>
            <w:r>
              <w:rPr>
                <w:rFonts w:ascii="Consolas" w:cs="Consolas" w:eastAsia="Consolas" w:hAnsi="Consolas"/>
                <w:sz w:val="19"/>
                <w:szCs w:val="19"/>
              </w:rPr>
              <w:t xml:space="preserve">        ↓</w:t>
            </w:r>
          </w:p>
          <w:p>
            <w:pPr>
              <w:spacing w:after="30"/>
            </w:pPr>
            <w:r>
              <w:rPr>
                <w:rFonts w:ascii="Consolas" w:cs="Consolas" w:eastAsia="Consolas" w:hAnsi="Consolas"/>
                <w:sz w:val="19"/>
                <w:szCs w:val="19"/>
              </w:rPr>
              <w:t xml:space="preserve">Supabase — one PostgreSQL database in the cloud:</w:t>
            </w:r>
          </w:p>
          <w:p>
            <w:pPr>
              <w:spacing w:after="30"/>
            </w:pPr>
            <w:r>
              <w:rPr>
                <w:rFonts w:ascii="Consolas" w:cs="Consolas" w:eastAsia="Consolas" w:hAnsi="Consolas"/>
                <w:sz w:val="19"/>
                <w:szCs w:val="19"/>
              </w:rPr>
              <w:t xml:space="preserve">   profiles (name, role) · entries · plans · expenses</w:t>
            </w:r>
          </w:p>
          <w:p>
            <w:pPr>
              <w:spacing w:after="30"/>
            </w:pPr>
            <w:r>
              <w:rPr>
                <w:rFonts w:ascii="Consolas" w:cs="Consolas" w:eastAsia="Consolas" w:hAnsi="Consolas"/>
                <w:sz w:val="19"/>
                <w:szCs w:val="19"/>
              </w:rPr>
              <w:t xml:space="preserve">   budgets (role-protected) · lists · settings</w:t>
            </w:r>
          </w:p>
          <w:p>
            <w:pPr>
              <w:spacing w:after="30"/>
            </w:pPr>
            <w:r>
              <w:rPr>
                <w:rFonts w:ascii="Consolas" w:cs="Consolas" w:eastAsia="Consolas" w:hAnsi="Consolas"/>
                <w:sz w:val="19"/>
                <w:szCs w:val="19"/>
              </w:rPr>
              <w:t xml:space="preserve">        ↓</w:t>
            </w:r>
          </w:p>
          <w:p>
            <w:pPr>
              <w:spacing w:after="30"/>
            </w:pPr>
            <w:r>
              <w:rPr>
                <w:rFonts w:ascii="Consolas" w:cs="Consolas" w:eastAsia="Consolas" w:hAnsi="Consolas"/>
                <w:sz w:val="19"/>
                <w:szCs w:val="19"/>
              </w:rPr>
              <w:t xml:space="preserve">Daily automatic backups + scheduled copy → OneDrive / Dropbox</w:t>
            </w:r>
          </w:p>
        </w:tc>
      </w:tr>
    </w:tbl>
    <w:p>
      <w:pPr>
        <w:pStyle w:val="Heading2"/>
      </w:pPr>
      <w:r>
        <w:t xml:space="preserve">6.2 Roles and the permission matrix</w:t>
      </w:r>
    </w:p>
    <w:p>
      <w:r>
        <w:t xml:space="preserve">Each person's profile carries a role, set by the administrator (Danny / the CEO). The database enforces this matrix on every single request:</w:t>
      </w:r>
    </w:p>
    <w:tbl>
      <w:tblPr>
        <w:tblW w:type="dxa" w:w="9360"/>
        <w:tblBorders>
          <w:top w:val="single" w:color="D5E4EA" w:sz="4"/>
          <w:left w:val="single" w:color="D5E4EA" w:sz="4"/>
          <w:bottom w:val="single" w:color="D5E4EA" w:sz="4"/>
          <w:right w:val="single" w:color="D5E4EA" w:sz="4"/>
          <w:insideH w:val="single" w:color="D5E4EA" w:sz="4"/>
          <w:insideV w:val="single" w:color="D5E4EA" w:sz="4"/>
        </w:tblBorders>
      </w:tblPr>
      <w:tblGrid>
        <w:gridCol w:w="3060"/>
        <w:gridCol w:w="1500"/>
        <w:gridCol w:w="1500"/>
        <w:gridCol w:w="1300"/>
        <w:gridCol w:w="2000"/>
      </w:tblGrid>
      <w:tr>
        <w:trPr>
          <w:tblHeader/>
        </w:trPr>
        <w:tc>
          <w:tcPr>
            <w:tcW w:type="dxa" w:w="3060"/>
            <w:shd w:fill="0F2836" w:val="clear"/>
            <w:tcMar>
              <w:top w:type="dxa" w:w="90"/>
              <w:left w:type="dxa" w:w="120"/>
              <w:bottom w:type="dxa" w:w="90"/>
              <w:right w:type="dxa" w:w="120"/>
            </w:tcMar>
            <w:vAlign w:val="center"/>
          </w:tcPr>
          <w:p>
            <w:pPr>
              <w:spacing w:after="0"/>
            </w:pPr>
            <w:r>
              <w:rPr>
                <w:b/>
                <w:bCs/>
                <w:color w:val="FFFFFF"/>
                <w:sz w:val="20"/>
                <w:szCs w:val="20"/>
              </w:rPr>
              <w:t xml:space="preserve">Ability</w:t>
            </w:r>
          </w:p>
        </w:tc>
        <w:tc>
          <w:tcPr>
            <w:tcW w:type="dxa" w:w="1500"/>
            <w:shd w:fill="0F2836" w:val="clear"/>
            <w:tcMar>
              <w:top w:type="dxa" w:w="90"/>
              <w:left w:type="dxa" w:w="120"/>
              <w:bottom w:type="dxa" w:w="90"/>
              <w:right w:type="dxa" w:w="120"/>
            </w:tcMar>
            <w:vAlign w:val="center"/>
          </w:tcPr>
          <w:p>
            <w:pPr>
              <w:spacing w:after="0"/>
            </w:pPr>
            <w:r>
              <w:rPr>
                <w:b/>
                <w:bCs/>
                <w:color w:val="FFFFFF"/>
                <w:sz w:val="20"/>
                <w:szCs w:val="20"/>
              </w:rPr>
              <w:t xml:space="preserve">Employee</w:t>
            </w:r>
          </w:p>
        </w:tc>
        <w:tc>
          <w:tcPr>
            <w:tcW w:type="dxa" w:w="1500"/>
            <w:shd w:fill="0F2836" w:val="clear"/>
            <w:tcMar>
              <w:top w:type="dxa" w:w="90"/>
              <w:left w:type="dxa" w:w="120"/>
              <w:bottom w:type="dxa" w:w="90"/>
              <w:right w:type="dxa" w:w="120"/>
            </w:tcMar>
            <w:vAlign w:val="center"/>
          </w:tcPr>
          <w:p>
            <w:pPr>
              <w:spacing w:after="0"/>
            </w:pPr>
            <w:r>
              <w:rPr>
                <w:b/>
                <w:bCs/>
                <w:color w:val="FFFFFF"/>
                <w:sz w:val="20"/>
                <w:szCs w:val="20"/>
              </w:rPr>
              <w:t xml:space="preserve">Manager / PM</w:t>
            </w:r>
          </w:p>
        </w:tc>
        <w:tc>
          <w:tcPr>
            <w:tcW w:type="dxa" w:w="1300"/>
            <w:shd w:fill="0F2836" w:val="clear"/>
            <w:tcMar>
              <w:top w:type="dxa" w:w="90"/>
              <w:left w:type="dxa" w:w="120"/>
              <w:bottom w:type="dxa" w:w="90"/>
              <w:right w:type="dxa" w:w="120"/>
            </w:tcMar>
            <w:vAlign w:val="center"/>
          </w:tcPr>
          <w:p>
            <w:pPr>
              <w:spacing w:after="0"/>
            </w:pPr>
            <w:r>
              <w:rPr>
                <w:b/>
                <w:bCs/>
                <w:color w:val="FFFFFF"/>
                <w:sz w:val="20"/>
                <w:szCs w:val="20"/>
              </w:rPr>
              <w:t xml:space="preserve">CEO</w:t>
            </w:r>
          </w:p>
        </w:tc>
        <w:tc>
          <w:tcPr>
            <w:tcW w:type="dxa" w:w="2000"/>
            <w:shd w:fill="0F2836" w:val="clear"/>
            <w:tcMar>
              <w:top w:type="dxa" w:w="90"/>
              <w:left w:type="dxa" w:w="120"/>
              <w:bottom w:type="dxa" w:w="90"/>
              <w:right w:type="dxa" w:w="120"/>
            </w:tcMar>
            <w:vAlign w:val="center"/>
          </w:tcPr>
          <w:p>
            <w:pPr>
              <w:spacing w:after="0"/>
            </w:pPr>
            <w:r>
              <w:rPr>
                <w:b/>
                <w:bCs/>
                <w:color w:val="FFFFFF"/>
                <w:sz w:val="20"/>
                <w:szCs w:val="20"/>
              </w:rPr>
              <w:t xml:space="preserve">Accountant (later)</w:t>
            </w:r>
          </w:p>
        </w:tc>
      </w:tr>
      <w:tr>
        <w:tc>
          <w:tcPr>
            <w:tcW w:type="dxa" w:w="3060"/>
            <w:tcMar>
              <w:top w:type="dxa" w:w="90"/>
              <w:left w:type="dxa" w:w="120"/>
              <w:bottom w:type="dxa" w:w="90"/>
              <w:right w:type="dxa" w:w="120"/>
            </w:tcMar>
            <w:vAlign w:val="center"/>
          </w:tcPr>
          <w:p>
            <w:pPr>
              <w:spacing w:after="0"/>
            </w:pPr>
            <w:r>
              <w:t xml:space="preserve">Log own time / plans / expenses</w:t>
            </w:r>
          </w:p>
        </w:tc>
        <w:tc>
          <w:tcPr>
            <w:tcW w:type="dxa" w:w="1500"/>
            <w:tcMar>
              <w:top w:type="dxa" w:w="90"/>
              <w:left w:type="dxa" w:w="120"/>
              <w:bottom w:type="dxa" w:w="90"/>
              <w:right w:type="dxa" w:w="120"/>
            </w:tcMar>
            <w:vAlign w:val="center"/>
          </w:tcPr>
          <w:p>
            <w:pPr>
              <w:spacing w:after="0"/>
            </w:pPr>
            <w:r>
              <w:t xml:space="preserve">Yes</w:t>
            </w:r>
          </w:p>
        </w:tc>
        <w:tc>
          <w:tcPr>
            <w:tcW w:type="dxa" w:w="1500"/>
            <w:tcMar>
              <w:top w:type="dxa" w:w="90"/>
              <w:left w:type="dxa" w:w="120"/>
              <w:bottom w:type="dxa" w:w="90"/>
              <w:right w:type="dxa" w:w="120"/>
            </w:tcMar>
            <w:vAlign w:val="center"/>
          </w:tcPr>
          <w:p>
            <w:pPr>
              <w:spacing w:after="0"/>
            </w:pPr>
            <w:r>
              <w:t xml:space="preserve">Yes</w:t>
            </w:r>
          </w:p>
        </w:tc>
        <w:tc>
          <w:tcPr>
            <w:tcW w:type="dxa" w:w="1300"/>
            <w:tcMar>
              <w:top w:type="dxa" w:w="90"/>
              <w:left w:type="dxa" w:w="120"/>
              <w:bottom w:type="dxa" w:w="90"/>
              <w:right w:type="dxa" w:w="120"/>
            </w:tcMar>
            <w:vAlign w:val="center"/>
          </w:tcPr>
          <w:p>
            <w:pPr>
              <w:spacing w:after="0"/>
            </w:pPr>
            <w:r>
              <w:t xml:space="preserve">Yes</w:t>
            </w:r>
          </w:p>
        </w:tc>
        <w:tc>
          <w:tcPr>
            <w:tcW w:type="dxa" w:w="2000"/>
            <w:tcMar>
              <w:top w:type="dxa" w:w="90"/>
              <w:left w:type="dxa" w:w="120"/>
              <w:bottom w:type="dxa" w:w="90"/>
              <w:right w:type="dxa" w:w="120"/>
            </w:tcMar>
            <w:vAlign w:val="center"/>
          </w:tcPr>
          <w:p>
            <w:pPr>
              <w:spacing w:after="0"/>
            </w:pPr>
            <w:r>
              <w:t xml:space="preserve">Yes</w:t>
            </w:r>
          </w:p>
        </w:tc>
      </w:tr>
      <w:tr>
        <w:tc>
          <w:tcPr>
            <w:tcW w:type="dxa" w:w="3060"/>
            <w:shd w:fill="F6FAFC" w:val="clear"/>
            <w:tcMar>
              <w:top w:type="dxa" w:w="90"/>
              <w:left w:type="dxa" w:w="120"/>
              <w:bottom w:type="dxa" w:w="90"/>
              <w:right w:type="dxa" w:w="120"/>
            </w:tcMar>
            <w:vAlign w:val="center"/>
          </w:tcPr>
          <w:p>
            <w:pPr>
              <w:spacing w:after="0"/>
            </w:pPr>
            <w:r>
              <w:t xml:space="preserve">See the whole team's entries &amp; dashboard</w:t>
            </w:r>
          </w:p>
        </w:tc>
        <w:tc>
          <w:tcPr>
            <w:tcW w:type="dxa" w:w="1500"/>
            <w:shd w:fill="F6FAFC" w:val="clear"/>
            <w:tcMar>
              <w:top w:type="dxa" w:w="90"/>
              <w:left w:type="dxa" w:w="120"/>
              <w:bottom w:type="dxa" w:w="90"/>
              <w:right w:type="dxa" w:w="120"/>
            </w:tcMar>
            <w:vAlign w:val="center"/>
          </w:tcPr>
          <w:p>
            <w:pPr>
              <w:spacing w:after="0"/>
            </w:pPr>
            <w:r>
              <w:t xml:space="preserve">Yes</w:t>
            </w:r>
          </w:p>
        </w:tc>
        <w:tc>
          <w:tcPr>
            <w:tcW w:type="dxa" w:w="1500"/>
            <w:shd w:fill="F6FAFC" w:val="clear"/>
            <w:tcMar>
              <w:top w:type="dxa" w:w="90"/>
              <w:left w:type="dxa" w:w="120"/>
              <w:bottom w:type="dxa" w:w="90"/>
              <w:right w:type="dxa" w:w="120"/>
            </w:tcMar>
            <w:vAlign w:val="center"/>
          </w:tcPr>
          <w:p>
            <w:pPr>
              <w:spacing w:after="0"/>
            </w:pPr>
            <w:r>
              <w:t xml:space="preserve">Yes</w:t>
            </w:r>
          </w:p>
        </w:tc>
        <w:tc>
          <w:tcPr>
            <w:tcW w:type="dxa" w:w="1300"/>
            <w:shd w:fill="F6FAFC" w:val="clear"/>
            <w:tcMar>
              <w:top w:type="dxa" w:w="90"/>
              <w:left w:type="dxa" w:w="120"/>
              <w:bottom w:type="dxa" w:w="90"/>
              <w:right w:type="dxa" w:w="120"/>
            </w:tcMar>
            <w:vAlign w:val="center"/>
          </w:tcPr>
          <w:p>
            <w:pPr>
              <w:spacing w:after="0"/>
            </w:pPr>
            <w:r>
              <w:t xml:space="preserve">Yes</w:t>
            </w:r>
          </w:p>
        </w:tc>
        <w:tc>
          <w:tcPr>
            <w:tcW w:type="dxa" w:w="2000"/>
            <w:shd w:fill="F6FAFC" w:val="clear"/>
            <w:tcMar>
              <w:top w:type="dxa" w:w="90"/>
              <w:left w:type="dxa" w:w="120"/>
              <w:bottom w:type="dxa" w:w="90"/>
              <w:right w:type="dxa" w:w="120"/>
            </w:tcMar>
            <w:vAlign w:val="center"/>
          </w:tcPr>
          <w:p>
            <w:pPr>
              <w:spacing w:after="0"/>
            </w:pPr>
            <w:r>
              <w:t xml:space="preserve">Yes</w:t>
            </w:r>
          </w:p>
        </w:tc>
      </w:tr>
      <w:tr>
        <w:tc>
          <w:tcPr>
            <w:tcW w:type="dxa" w:w="3060"/>
            <w:tcMar>
              <w:top w:type="dxa" w:w="90"/>
              <w:left w:type="dxa" w:w="120"/>
              <w:bottom w:type="dxa" w:w="90"/>
              <w:right w:type="dxa" w:w="120"/>
            </w:tcMar>
            <w:vAlign w:val="center"/>
          </w:tcPr>
          <w:p>
            <w:pPr>
              <w:spacing w:after="0"/>
            </w:pPr>
            <w:r>
              <w:t xml:space="preserve">Edit lists (clients, projects, people, types)</w:t>
            </w:r>
          </w:p>
        </w:tc>
        <w:tc>
          <w:tcPr>
            <w:tcW w:type="dxa" w:w="1500"/>
            <w:tcMar>
              <w:top w:type="dxa" w:w="90"/>
              <w:left w:type="dxa" w:w="120"/>
              <w:bottom w:type="dxa" w:w="90"/>
              <w:right w:type="dxa" w:w="120"/>
            </w:tcMar>
            <w:vAlign w:val="center"/>
          </w:tcPr>
          <w:p>
            <w:pPr>
              <w:spacing w:after="0"/>
            </w:pPr>
            <w:r>
              <w:t xml:space="preserve">Yes</w:t>
            </w:r>
          </w:p>
        </w:tc>
        <w:tc>
          <w:tcPr>
            <w:tcW w:type="dxa" w:w="1500"/>
            <w:tcMar>
              <w:top w:type="dxa" w:w="90"/>
              <w:left w:type="dxa" w:w="120"/>
              <w:bottom w:type="dxa" w:w="90"/>
              <w:right w:type="dxa" w:w="120"/>
            </w:tcMar>
            <w:vAlign w:val="center"/>
          </w:tcPr>
          <w:p>
            <w:pPr>
              <w:spacing w:after="0"/>
            </w:pPr>
            <w:r>
              <w:t xml:space="preserve">Yes</w:t>
            </w:r>
          </w:p>
        </w:tc>
        <w:tc>
          <w:tcPr>
            <w:tcW w:type="dxa" w:w="1300"/>
            <w:tcMar>
              <w:top w:type="dxa" w:w="90"/>
              <w:left w:type="dxa" w:w="120"/>
              <w:bottom w:type="dxa" w:w="90"/>
              <w:right w:type="dxa" w:w="120"/>
            </w:tcMar>
            <w:vAlign w:val="center"/>
          </w:tcPr>
          <w:p>
            <w:pPr>
              <w:spacing w:after="0"/>
            </w:pPr>
            <w:r>
              <w:t xml:space="preserve">Yes</w:t>
            </w:r>
          </w:p>
        </w:tc>
        <w:tc>
          <w:tcPr>
            <w:tcW w:type="dxa" w:w="2000"/>
            <w:tcMar>
              <w:top w:type="dxa" w:w="90"/>
              <w:left w:type="dxa" w:w="120"/>
              <w:bottom w:type="dxa" w:w="90"/>
              <w:right w:type="dxa" w:w="120"/>
            </w:tcMar>
            <w:vAlign w:val="center"/>
          </w:tcPr>
          <w:p>
            <w:pPr>
              <w:spacing w:after="0"/>
            </w:pPr>
            <w:r>
              <w:t xml:space="preserve">Yes</w:t>
            </w:r>
          </w:p>
        </w:tc>
      </w:tr>
      <w:tr>
        <w:tc>
          <w:tcPr>
            <w:tcW w:type="dxa" w:w="3060"/>
            <w:shd w:fill="F6FAFC" w:val="clear"/>
            <w:tcMar>
              <w:top w:type="dxa" w:w="90"/>
              <w:left w:type="dxa" w:w="120"/>
              <w:bottom w:type="dxa" w:w="90"/>
              <w:right w:type="dxa" w:w="120"/>
            </w:tcMar>
            <w:vAlign w:val="center"/>
          </w:tcPr>
          <w:p>
            <w:pPr>
              <w:spacing w:after="0"/>
            </w:pPr>
            <w:r>
              <w:t xml:space="preserve">See &amp; manage the Budgets tab</w:t>
            </w:r>
          </w:p>
        </w:tc>
        <w:tc>
          <w:tcPr>
            <w:tcW w:type="dxa" w:w="1500"/>
            <w:shd w:fill="F6FAFC" w:val="clear"/>
            <w:tcMar>
              <w:top w:type="dxa" w:w="90"/>
              <w:left w:type="dxa" w:w="120"/>
              <w:bottom w:type="dxa" w:w="90"/>
              <w:right w:type="dxa" w:w="120"/>
            </w:tcMar>
            <w:vAlign w:val="center"/>
          </w:tcPr>
          <w:p>
            <w:pPr>
              <w:spacing w:after="0"/>
            </w:pPr>
            <w:r>
              <w:t xml:space="preserve">No — tab hidden and data blocked</w:t>
            </w:r>
          </w:p>
        </w:tc>
        <w:tc>
          <w:tcPr>
            <w:tcW w:type="dxa" w:w="1500"/>
            <w:shd w:fill="F6FAFC" w:val="clear"/>
            <w:tcMar>
              <w:top w:type="dxa" w:w="90"/>
              <w:left w:type="dxa" w:w="120"/>
              <w:bottom w:type="dxa" w:w="90"/>
              <w:right w:type="dxa" w:w="120"/>
            </w:tcMar>
            <w:vAlign w:val="center"/>
          </w:tcPr>
          <w:p>
            <w:pPr>
              <w:spacing w:after="0"/>
            </w:pPr>
            <w:r>
              <w:t xml:space="preserve">Yes</w:t>
            </w:r>
          </w:p>
        </w:tc>
        <w:tc>
          <w:tcPr>
            <w:tcW w:type="dxa" w:w="1300"/>
            <w:shd w:fill="F6FAFC" w:val="clear"/>
            <w:tcMar>
              <w:top w:type="dxa" w:w="90"/>
              <w:left w:type="dxa" w:w="120"/>
              <w:bottom w:type="dxa" w:w="90"/>
              <w:right w:type="dxa" w:w="120"/>
            </w:tcMar>
            <w:vAlign w:val="center"/>
          </w:tcPr>
          <w:p>
            <w:pPr>
              <w:spacing w:after="0"/>
            </w:pPr>
            <w:r>
              <w:t xml:space="preserve">Yes</w:t>
            </w:r>
          </w:p>
        </w:tc>
        <w:tc>
          <w:tcPr>
            <w:tcW w:type="dxa" w:w="2000"/>
            <w:shd w:fill="F6FAFC" w:val="clear"/>
            <w:tcMar>
              <w:top w:type="dxa" w:w="90"/>
              <w:left w:type="dxa" w:w="120"/>
              <w:bottom w:type="dxa" w:w="90"/>
              <w:right w:type="dxa" w:w="120"/>
            </w:tcMar>
            <w:vAlign w:val="center"/>
          </w:tcPr>
          <w:p>
            <w:pPr>
              <w:spacing w:after="0"/>
            </w:pPr>
            <w:r>
              <w:t xml:space="preserve">Yes (read + export at minimum; write if desired)</w:t>
            </w:r>
          </w:p>
        </w:tc>
      </w:tr>
      <w:tr>
        <w:tc>
          <w:tcPr>
            <w:tcW w:type="dxa" w:w="3060"/>
            <w:tcMar>
              <w:top w:type="dxa" w:w="90"/>
              <w:left w:type="dxa" w:w="120"/>
              <w:bottom w:type="dxa" w:w="90"/>
              <w:right w:type="dxa" w:w="120"/>
            </w:tcMar>
            <w:vAlign w:val="center"/>
          </w:tcPr>
          <w:p>
            <w:pPr>
              <w:spacing w:after="0"/>
            </w:pPr>
            <w:r>
              <w:t xml:space="preserve">Set people's roles</w:t>
            </w:r>
          </w:p>
        </w:tc>
        <w:tc>
          <w:tcPr>
            <w:tcW w:type="dxa" w:w="1500"/>
            <w:tcMar>
              <w:top w:type="dxa" w:w="90"/>
              <w:left w:type="dxa" w:w="120"/>
              <w:bottom w:type="dxa" w:w="90"/>
              <w:right w:type="dxa" w:w="120"/>
            </w:tcMar>
            <w:vAlign w:val="center"/>
          </w:tcPr>
          <w:p>
            <w:pPr>
              <w:spacing w:after="0"/>
            </w:pPr>
            <w:r>
              <w:t xml:space="preserve">No</w:t>
            </w:r>
          </w:p>
        </w:tc>
        <w:tc>
          <w:tcPr>
            <w:tcW w:type="dxa" w:w="1500"/>
            <w:tcMar>
              <w:top w:type="dxa" w:w="90"/>
              <w:left w:type="dxa" w:w="120"/>
              <w:bottom w:type="dxa" w:w="90"/>
              <w:right w:type="dxa" w:w="120"/>
            </w:tcMar>
            <w:vAlign w:val="center"/>
          </w:tcPr>
          <w:p>
            <w:pPr>
              <w:spacing w:after="0"/>
            </w:pPr>
            <w:r>
              <w:t xml:space="preserve">No</w:t>
            </w:r>
          </w:p>
        </w:tc>
        <w:tc>
          <w:tcPr>
            <w:tcW w:type="dxa" w:w="1300"/>
            <w:tcMar>
              <w:top w:type="dxa" w:w="90"/>
              <w:left w:type="dxa" w:w="120"/>
              <w:bottom w:type="dxa" w:w="90"/>
              <w:right w:type="dxa" w:w="120"/>
            </w:tcMar>
            <w:vAlign w:val="center"/>
          </w:tcPr>
          <w:p>
            <w:pPr>
              <w:spacing w:after="0"/>
            </w:pPr>
            <w:r>
              <w:t xml:space="preserve">Yes</w:t>
            </w:r>
          </w:p>
        </w:tc>
        <w:tc>
          <w:tcPr>
            <w:tcW w:type="dxa" w:w="2000"/>
            <w:tcMar>
              <w:top w:type="dxa" w:w="90"/>
              <w:left w:type="dxa" w:w="120"/>
              <w:bottom w:type="dxa" w:w="90"/>
              <w:right w:type="dxa" w:w="120"/>
            </w:tcMar>
            <w:vAlign w:val="center"/>
          </w:tcPr>
          <w:p>
            <w:pPr>
              <w:spacing w:after="0"/>
            </w:pPr>
            <w:r>
              <w:t xml:space="preserve">No</w:t>
            </w:r>
          </w:p>
        </w:tc>
      </w:tr>
    </w:tbl>
    <w:p>
      <w:r>
        <w:t xml:space="preserve">Adding the accountant later is a one-line change: create their login, set the role. No new software.</w:t>
      </w:r>
    </w:p>
    <w:p>
      <w:pPr>
        <w:pStyle w:val="Heading2"/>
      </w:pPr>
      <w:r>
        <w:t xml:space="preserve">6.3 What changes in the app — and what doesn't</w:t>
      </w:r>
    </w:p>
    <w:p>
      <w:pPr>
        <w:pStyle w:val="ListParagraph"/>
        <w:numPr>
          <w:ilvl w:val="0"/>
          <w:numId w:val="2"/>
        </w:numPr>
      </w:pPr>
      <w:r>
        <w:rPr>
          <w:b/>
          <w:bCs/>
        </w:rPr>
        <w:t xml:space="preserve">Unchanged:</w:t>
      </w:r>
      <w:r>
        <w:t xml:space="preserve"> every screen, picker, export, and habit in the User Guide. The team will not need retraining.</w:t>
      </w:r>
    </w:p>
    <w:p>
      <w:pPr>
        <w:pStyle w:val="ListParagraph"/>
        <w:numPr>
          <w:ilvl w:val="0"/>
          <w:numId w:val="2"/>
        </w:numPr>
      </w:pPr>
      <w:r>
        <w:rPr>
          <w:b/>
          <w:bCs/>
        </w:rPr>
        <w:t xml:space="preserve">New:</w:t>
      </w:r>
      <w:r>
        <w:t xml:space="preserve"> a login screen; entries appear for everyone within moments of being logged; the Assignee field defaults to the signed-in person; the Budgets tab appears only for permitted roles; an admin corner for the CEO to manage people and roles.</w:t>
      </w:r>
    </w:p>
    <w:p>
      <w:pPr>
        <w:pStyle w:val="ListParagraph"/>
        <w:numPr>
          <w:ilvl w:val="0"/>
          <w:numId w:val="2"/>
        </w:numPr>
      </w:pPr>
      <w:r>
        <w:rPr>
          <w:b/>
          <w:bCs/>
        </w:rPr>
        <w:t xml:space="preserve">Retired:</w:t>
      </w:r>
      <w:r>
        <w:t xml:space="preserve"> the per-browser storage (kept only as an offline fallback), and eventually the AppSheet app.</w:t>
      </w:r>
    </w:p>
    <w:p>
      <w:pPr>
        <w:pStyle w:val="Heading2"/>
      </w:pPr>
      <w:r>
        <w:t xml:space="preserve">6.4 What it takes to get there</w:t>
      </w:r>
    </w:p>
    <w:p>
      <w:pPr>
        <w:pStyle w:val="ListParagraph"/>
        <w:numPr>
          <w:ilvl w:val="0"/>
          <w:numId w:val="3"/>
        </w:numPr>
      </w:pPr>
      <w:r>
        <w:rPr>
          <w:b/>
          <w:bCs/>
        </w:rPr>
        <w:t xml:space="preserve">Create the account (Danny, ~15 minutes).</w:t>
      </w:r>
      <w:r>
        <w:t xml:space="preserve"> Sign up at supabase.com, create a project named galil-workdesk, choose a region close to Israel (EU — e.g. Frankfurt), and keep the project's URL and key.</w:t>
      </w:r>
    </w:p>
    <w:p>
      <w:pPr>
        <w:pStyle w:val="ListParagraph"/>
        <w:numPr>
          <w:ilvl w:val="0"/>
          <w:numId w:val="3"/>
        </w:numPr>
      </w:pPr>
      <w:r>
        <w:rPr>
          <w:b/>
          <w:bCs/>
        </w:rPr>
        <w:t xml:space="preserve">Convert WorkDesk (next build phase, with Claude).</w:t>
      </w:r>
      <w:r>
        <w:t xml:space="preserve"> The storage layer is swapped for database calls, the login screen and role logic are added, and the database tables + security rules are created from a prepared script. The app was structured from day one so this swap does not disturb the interface.</w:t>
      </w:r>
    </w:p>
    <w:p>
      <w:pPr>
        <w:pStyle w:val="ListParagraph"/>
        <w:numPr>
          <w:ilvl w:val="0"/>
          <w:numId w:val="3"/>
        </w:numPr>
      </w:pPr>
      <w:r>
        <w:rPr>
          <w:b/>
          <w:bCs/>
        </w:rPr>
        <w:t xml:space="preserve">Load the data.</w:t>
      </w:r>
      <w:r>
        <w:t xml:space="preserve"> Existing WorkDesk backups import directly (same field names). AppSheet data is exported to Excel/CSV from its Google Sheet, converted once, and imported — chapter 9.</w:t>
      </w:r>
    </w:p>
    <w:p>
      <w:pPr>
        <w:pStyle w:val="ListParagraph"/>
        <w:numPr>
          <w:ilvl w:val="0"/>
          <w:numId w:val="3"/>
        </w:numPr>
      </w:pPr>
      <w:r>
        <w:rPr>
          <w:b/>
          <w:bCs/>
        </w:rPr>
        <w:t xml:space="preserve">Pilot, then roll out.</w:t>
      </w:r>
      <w:r>
        <w:t xml:space="preserve"> One week with 3–5 people (Danny + one manager + a few employees), then create the remaining logins and share the address. AppSheet runs in parallel for one overlap week, then is retired.</w:t>
      </w:r>
    </w:p>
    <w:p>
      <w:pPr>
        <w:pStyle w:val="Heading1"/>
      </w:pPr>
      <w:r>
        <w:t xml:space="preserve">7. Backups — three layers</w:t>
      </w:r>
    </w:p>
    <w:tbl>
      <w:tblPr>
        <w:tblW w:type="dxa" w:w="9360"/>
        <w:tblBorders>
          <w:top w:val="single" w:color="D5E4EA" w:sz="4"/>
          <w:left w:val="single" w:color="D5E4EA" w:sz="4"/>
          <w:bottom w:val="single" w:color="D5E4EA" w:sz="4"/>
          <w:right w:val="single" w:color="D5E4EA" w:sz="4"/>
          <w:insideH w:val="single" w:color="D5E4EA" w:sz="4"/>
          <w:insideV w:val="single" w:color="D5E4EA" w:sz="4"/>
        </w:tblBorders>
      </w:tblPr>
      <w:tblGrid>
        <w:gridCol w:w="2100"/>
        <w:gridCol w:w="4400"/>
        <w:gridCol w:w="1560"/>
        <w:gridCol w:w="1300"/>
      </w:tblGrid>
      <w:tr>
        <w:trPr>
          <w:tblHeader/>
        </w:trPr>
        <w:tc>
          <w:tcPr>
            <w:tcW w:type="dxa" w:w="2100"/>
            <w:shd w:fill="0F2836" w:val="clear"/>
            <w:tcMar>
              <w:top w:type="dxa" w:w="90"/>
              <w:left w:type="dxa" w:w="120"/>
              <w:bottom w:type="dxa" w:w="90"/>
              <w:right w:type="dxa" w:w="120"/>
            </w:tcMar>
            <w:vAlign w:val="center"/>
          </w:tcPr>
          <w:p>
            <w:pPr>
              <w:spacing w:after="0"/>
            </w:pPr>
            <w:r>
              <w:rPr>
                <w:b/>
                <w:bCs/>
                <w:color w:val="FFFFFF"/>
                <w:sz w:val="20"/>
                <w:szCs w:val="20"/>
              </w:rPr>
              <w:t xml:space="preserve">Layer</w:t>
            </w:r>
          </w:p>
        </w:tc>
        <w:tc>
          <w:tcPr>
            <w:tcW w:type="dxa" w:w="4400"/>
            <w:shd w:fill="0F2836" w:val="clear"/>
            <w:tcMar>
              <w:top w:type="dxa" w:w="90"/>
              <w:left w:type="dxa" w:w="120"/>
              <w:bottom w:type="dxa" w:w="90"/>
              <w:right w:type="dxa" w:w="120"/>
            </w:tcMar>
            <w:vAlign w:val="center"/>
          </w:tcPr>
          <w:p>
            <w:pPr>
              <w:spacing w:after="0"/>
            </w:pPr>
            <w:r>
              <w:rPr>
                <w:b/>
                <w:bCs/>
                <w:color w:val="FFFFFF"/>
                <w:sz w:val="20"/>
                <w:szCs w:val="20"/>
              </w:rPr>
              <w:t xml:space="preserve">What</w:t>
            </w:r>
          </w:p>
        </w:tc>
        <w:tc>
          <w:tcPr>
            <w:tcW w:type="dxa" w:w="1560"/>
            <w:shd w:fill="0F2836" w:val="clear"/>
            <w:tcMar>
              <w:top w:type="dxa" w:w="90"/>
              <w:left w:type="dxa" w:w="120"/>
              <w:bottom w:type="dxa" w:w="90"/>
              <w:right w:type="dxa" w:w="120"/>
            </w:tcMar>
            <w:vAlign w:val="center"/>
          </w:tcPr>
          <w:p>
            <w:pPr>
              <w:spacing w:after="0"/>
            </w:pPr>
            <w:r>
              <w:rPr>
                <w:b/>
                <w:bCs/>
                <w:color w:val="FFFFFF"/>
                <w:sz w:val="20"/>
                <w:szCs w:val="20"/>
              </w:rPr>
              <w:t xml:space="preserve">Cadence</w:t>
            </w:r>
          </w:p>
        </w:tc>
        <w:tc>
          <w:tcPr>
            <w:tcW w:type="dxa" w:w="1300"/>
            <w:shd w:fill="0F2836" w:val="clear"/>
            <w:tcMar>
              <w:top w:type="dxa" w:w="90"/>
              <w:left w:type="dxa" w:w="120"/>
              <w:bottom w:type="dxa" w:w="90"/>
              <w:right w:type="dxa" w:w="120"/>
            </w:tcMar>
            <w:vAlign w:val="center"/>
          </w:tcPr>
          <w:p>
            <w:pPr>
              <w:spacing w:after="0"/>
            </w:pPr>
            <w:r>
              <w:rPr>
                <w:b/>
                <w:bCs/>
                <w:color w:val="FFFFFF"/>
                <w:sz w:val="20"/>
                <w:szCs w:val="20"/>
              </w:rPr>
              <w:t xml:space="preserve">Where it lives</w:t>
            </w:r>
          </w:p>
        </w:tc>
      </w:tr>
      <w:tr>
        <w:tc>
          <w:tcPr>
            <w:tcW w:type="dxa" w:w="2100"/>
            <w:tcMar>
              <w:top w:type="dxa" w:w="90"/>
              <w:left w:type="dxa" w:w="120"/>
              <w:bottom w:type="dxa" w:w="90"/>
              <w:right w:type="dxa" w:w="120"/>
            </w:tcMar>
            <w:vAlign w:val="center"/>
          </w:tcPr>
          <w:p>
            <w:pPr>
              <w:spacing w:after="0"/>
            </w:pPr>
            <w:r>
              <w:t xml:space="preserve">1. Database service backups</w:t>
            </w:r>
          </w:p>
        </w:tc>
        <w:tc>
          <w:tcPr>
            <w:tcW w:type="dxa" w:w="4400"/>
            <w:tcMar>
              <w:top w:type="dxa" w:w="90"/>
              <w:left w:type="dxa" w:w="120"/>
              <w:bottom w:type="dxa" w:w="90"/>
              <w:right w:type="dxa" w:w="120"/>
            </w:tcMar>
            <w:vAlign w:val="center"/>
          </w:tcPr>
          <w:p>
            <w:pPr>
              <w:spacing w:after="0"/>
            </w:pPr>
            <w:r>
              <w:t xml:space="preserve">Supabase's automatic daily backups of the whole database (included from the Pro plan; about a week of restore points).</w:t>
            </w:r>
          </w:p>
        </w:tc>
        <w:tc>
          <w:tcPr>
            <w:tcW w:type="dxa" w:w="1560"/>
            <w:tcMar>
              <w:top w:type="dxa" w:w="90"/>
              <w:left w:type="dxa" w:w="120"/>
              <w:bottom w:type="dxa" w:w="90"/>
              <w:right w:type="dxa" w:w="120"/>
            </w:tcMar>
            <w:vAlign w:val="center"/>
          </w:tcPr>
          <w:p>
            <w:pPr>
              <w:spacing w:after="0"/>
            </w:pPr>
            <w:r>
              <w:t xml:space="preserve">Daily, automatic</w:t>
            </w:r>
          </w:p>
        </w:tc>
        <w:tc>
          <w:tcPr>
            <w:tcW w:type="dxa" w:w="1300"/>
            <w:tcMar>
              <w:top w:type="dxa" w:w="90"/>
              <w:left w:type="dxa" w:w="120"/>
              <w:bottom w:type="dxa" w:w="90"/>
              <w:right w:type="dxa" w:w="120"/>
            </w:tcMar>
            <w:vAlign w:val="center"/>
          </w:tcPr>
          <w:p>
            <w:pPr>
              <w:spacing w:after="0"/>
            </w:pPr>
            <w:r>
              <w:t xml:space="preserve">Inside the database service</w:t>
            </w:r>
          </w:p>
        </w:tc>
      </w:tr>
      <w:tr>
        <w:tc>
          <w:tcPr>
            <w:tcW w:type="dxa" w:w="2100"/>
            <w:shd w:fill="F6FAFC" w:val="clear"/>
            <w:tcMar>
              <w:top w:type="dxa" w:w="90"/>
              <w:left w:type="dxa" w:w="120"/>
              <w:bottom w:type="dxa" w:w="90"/>
              <w:right w:type="dxa" w:w="120"/>
            </w:tcMar>
            <w:vAlign w:val="center"/>
          </w:tcPr>
          <w:p>
            <w:pPr>
              <w:spacing w:after="0"/>
            </w:pPr>
            <w:r>
              <w:t xml:space="preserve">2. Company-cloud copy</w:t>
            </w:r>
          </w:p>
        </w:tc>
        <w:tc>
          <w:tcPr>
            <w:tcW w:type="dxa" w:w="4400"/>
            <w:shd w:fill="F6FAFC" w:val="clear"/>
            <w:tcMar>
              <w:top w:type="dxa" w:w="90"/>
              <w:left w:type="dxa" w:w="120"/>
              <w:bottom w:type="dxa" w:w="90"/>
              <w:right w:type="dxa" w:w="120"/>
            </w:tcMar>
            <w:vAlign w:val="center"/>
          </w:tcPr>
          <w:p>
            <w:pPr>
              <w:spacing w:after="0"/>
            </w:pPr>
            <w:r>
              <w:t xml:space="preserve">A scheduled export of all tables to a dated JSON/Excel file placed in a dedicated OneDrive or Dropbox folder (via Power Automate, Make.com, or a small scheduled script — set up once during the build phase).</w:t>
            </w:r>
          </w:p>
        </w:tc>
        <w:tc>
          <w:tcPr>
            <w:tcW w:type="dxa" w:w="1560"/>
            <w:shd w:fill="F6FAFC" w:val="clear"/>
            <w:tcMar>
              <w:top w:type="dxa" w:w="90"/>
              <w:left w:type="dxa" w:w="120"/>
              <w:bottom w:type="dxa" w:w="90"/>
              <w:right w:type="dxa" w:w="120"/>
            </w:tcMar>
            <w:vAlign w:val="center"/>
          </w:tcPr>
          <w:p>
            <w:pPr>
              <w:spacing w:after="0"/>
            </w:pPr>
            <w:r>
              <w:t xml:space="preserve">Weekly (or daily if preferred)</w:t>
            </w:r>
          </w:p>
        </w:tc>
        <w:tc>
          <w:tcPr>
            <w:tcW w:type="dxa" w:w="1300"/>
            <w:shd w:fill="F6FAFC" w:val="clear"/>
            <w:tcMar>
              <w:top w:type="dxa" w:w="90"/>
              <w:left w:type="dxa" w:w="120"/>
              <w:bottom w:type="dxa" w:w="90"/>
              <w:right w:type="dxa" w:w="120"/>
            </w:tcMar>
            <w:vAlign w:val="center"/>
          </w:tcPr>
          <w:p>
            <w:pPr>
              <w:spacing w:after="0"/>
            </w:pPr>
            <w:r>
              <w:t xml:space="preserve">Galil's OneDrive / Dropbox — your requirement, satisfied</w:t>
            </w:r>
          </w:p>
        </w:tc>
      </w:tr>
      <w:tr>
        <w:tc>
          <w:tcPr>
            <w:tcW w:type="dxa" w:w="2100"/>
            <w:tcMar>
              <w:top w:type="dxa" w:w="90"/>
              <w:left w:type="dxa" w:w="120"/>
              <w:bottom w:type="dxa" w:w="90"/>
              <w:right w:type="dxa" w:w="120"/>
            </w:tcMar>
            <w:vAlign w:val="center"/>
          </w:tcPr>
          <w:p>
            <w:pPr>
              <w:spacing w:after="0"/>
            </w:pPr>
            <w:r>
              <w:t xml:space="preserve">3. Manual snapshot</w:t>
            </w:r>
          </w:p>
        </w:tc>
        <w:tc>
          <w:tcPr>
            <w:tcW w:type="dxa" w:w="4400"/>
            <w:tcMar>
              <w:top w:type="dxa" w:w="90"/>
              <w:left w:type="dxa" w:w="120"/>
              <w:bottom w:type="dxa" w:w="90"/>
              <w:right w:type="dxa" w:w="120"/>
            </w:tcMar>
            <w:vAlign w:val="center"/>
          </w:tcPr>
          <w:p>
            <w:pPr>
              <w:spacing w:after="0"/>
            </w:pPr>
            <w:r>
              <w:t xml:space="preserve">The in-app ⚙ → Download backup, kept before risky moments (big imports, restructuring).</w:t>
            </w:r>
          </w:p>
        </w:tc>
        <w:tc>
          <w:tcPr>
            <w:tcW w:type="dxa" w:w="1560"/>
            <w:tcMar>
              <w:top w:type="dxa" w:w="90"/>
              <w:left w:type="dxa" w:w="120"/>
              <w:bottom w:type="dxa" w:w="90"/>
              <w:right w:type="dxa" w:w="120"/>
            </w:tcMar>
            <w:vAlign w:val="center"/>
          </w:tcPr>
          <w:p>
            <w:pPr>
              <w:spacing w:after="0"/>
            </w:pPr>
            <w:r>
              <w:t xml:space="preserve">On demand</w:t>
            </w:r>
          </w:p>
        </w:tc>
        <w:tc>
          <w:tcPr>
            <w:tcW w:type="dxa" w:w="1300"/>
            <w:tcMar>
              <w:top w:type="dxa" w:w="90"/>
              <w:left w:type="dxa" w:w="120"/>
              <w:bottom w:type="dxa" w:w="90"/>
              <w:right w:type="dxa" w:w="120"/>
            </w:tcMar>
            <w:vAlign w:val="center"/>
          </w:tcPr>
          <w:p>
            <w:pPr>
              <w:spacing w:after="0"/>
            </w:pPr>
            <w:r>
              <w:t xml:space="preserve">Wherever you save it</w:t>
            </w:r>
          </w:p>
        </w:tc>
      </w:tr>
    </w:tbl>
    <w:p>
      <w:r>
        <w:t xml:space="preserve">Layer 2 is the direct answer to “I need a backup on our drive/cloud”: the company's own storage always holds a recent, restorable copy, independent of the database provider.</w:t>
      </w:r>
    </w:p>
    <w:p>
      <w:pPr>
        <w:pStyle w:val="Heading1"/>
      </w:pPr>
      <w:r>
        <w:t xml:space="preserve">8. Costs and scale</w:t>
      </w:r>
    </w:p>
    <w:tbl>
      <w:tblPr>
        <w:tblW w:type="dxa" w:w="9360"/>
        <w:tblBorders>
          <w:top w:val="single" w:color="D5E4EA" w:sz="4"/>
          <w:left w:val="single" w:color="D5E4EA" w:sz="4"/>
          <w:bottom w:val="single" w:color="D5E4EA" w:sz="4"/>
          <w:right w:val="single" w:color="D5E4EA" w:sz="4"/>
          <w:insideH w:val="single" w:color="D5E4EA" w:sz="4"/>
          <w:insideV w:val="single" w:color="D5E4EA" w:sz="4"/>
        </w:tblBorders>
      </w:tblPr>
      <w:tblGrid>
        <w:gridCol w:w="1900"/>
        <w:gridCol w:w="1700"/>
        <w:gridCol w:w="1400"/>
        <w:gridCol w:w="4360"/>
      </w:tblGrid>
      <w:tr>
        <w:trPr>
          <w:tblHeader/>
        </w:trPr>
        <w:tc>
          <w:tcPr>
            <w:tcW w:type="dxa" w:w="1900"/>
            <w:shd w:fill="0F2836" w:val="clear"/>
            <w:tcMar>
              <w:top w:type="dxa" w:w="90"/>
              <w:left w:type="dxa" w:w="120"/>
              <w:bottom w:type="dxa" w:w="90"/>
              <w:right w:type="dxa" w:w="120"/>
            </w:tcMar>
            <w:vAlign w:val="center"/>
          </w:tcPr>
          <w:p>
            <w:pPr>
              <w:spacing w:after="0"/>
            </w:pPr>
            <w:r>
              <w:rPr>
                <w:b/>
                <w:bCs/>
                <w:color w:val="FFFFFF"/>
                <w:sz w:val="20"/>
                <w:szCs w:val="20"/>
              </w:rPr>
              <w:t xml:space="preserve">Stage</w:t>
            </w:r>
          </w:p>
        </w:tc>
        <w:tc>
          <w:tcPr>
            <w:tcW w:type="dxa" w:w="1700"/>
            <w:shd w:fill="0F2836" w:val="clear"/>
            <w:tcMar>
              <w:top w:type="dxa" w:w="90"/>
              <w:left w:type="dxa" w:w="120"/>
              <w:bottom w:type="dxa" w:w="90"/>
              <w:right w:type="dxa" w:w="120"/>
            </w:tcMar>
            <w:vAlign w:val="center"/>
          </w:tcPr>
          <w:p>
            <w:pPr>
              <w:spacing w:after="0"/>
            </w:pPr>
            <w:r>
              <w:rPr>
                <w:b/>
                <w:bCs/>
                <w:color w:val="FFFFFF"/>
                <w:sz w:val="20"/>
                <w:szCs w:val="20"/>
              </w:rPr>
              <w:t xml:space="preserve">Plan</w:t>
            </w:r>
          </w:p>
        </w:tc>
        <w:tc>
          <w:tcPr>
            <w:tcW w:type="dxa" w:w="1400"/>
            <w:shd w:fill="0F2836" w:val="clear"/>
            <w:tcMar>
              <w:top w:type="dxa" w:w="90"/>
              <w:left w:type="dxa" w:w="120"/>
              <w:bottom w:type="dxa" w:w="90"/>
              <w:right w:type="dxa" w:w="120"/>
            </w:tcMar>
            <w:vAlign w:val="center"/>
          </w:tcPr>
          <w:p>
            <w:pPr>
              <w:spacing w:after="0"/>
            </w:pPr>
            <w:r>
              <w:rPr>
                <w:b/>
                <w:bCs/>
                <w:color w:val="FFFFFF"/>
                <w:sz w:val="20"/>
                <w:szCs w:val="20"/>
              </w:rPr>
              <w:t xml:space="preserve">Cost</w:t>
            </w:r>
          </w:p>
        </w:tc>
        <w:tc>
          <w:tcPr>
            <w:tcW w:type="dxa" w:w="4360"/>
            <w:shd w:fill="0F2836" w:val="clear"/>
            <w:tcMar>
              <w:top w:type="dxa" w:w="90"/>
              <w:left w:type="dxa" w:w="120"/>
              <w:bottom w:type="dxa" w:w="90"/>
              <w:right w:type="dxa" w:w="120"/>
            </w:tcMar>
            <w:vAlign w:val="center"/>
          </w:tcPr>
          <w:p>
            <w:pPr>
              <w:spacing w:after="0"/>
            </w:pPr>
            <w:r>
              <w:rPr>
                <w:b/>
                <w:bCs/>
                <w:color w:val="FFFFFF"/>
                <w:sz w:val="20"/>
                <w:szCs w:val="20"/>
              </w:rPr>
              <w:t xml:space="preserve">Notes (prices as of July 2026 — confirm at supabase.com/pricing)</w:t>
            </w:r>
          </w:p>
        </w:tc>
      </w:tr>
      <w:tr>
        <w:tc>
          <w:tcPr>
            <w:tcW w:type="dxa" w:w="1900"/>
            <w:tcMar>
              <w:top w:type="dxa" w:w="90"/>
              <w:left w:type="dxa" w:w="120"/>
              <w:bottom w:type="dxa" w:w="90"/>
              <w:right w:type="dxa" w:w="120"/>
            </w:tcMar>
            <w:vAlign w:val="center"/>
          </w:tcPr>
          <w:p>
            <w:pPr>
              <w:spacing w:after="0"/>
            </w:pPr>
            <w:r>
              <w:t xml:space="preserve">Build &amp; pilot</w:t>
            </w:r>
          </w:p>
        </w:tc>
        <w:tc>
          <w:tcPr>
            <w:tcW w:type="dxa" w:w="1700"/>
            <w:tcMar>
              <w:top w:type="dxa" w:w="90"/>
              <w:left w:type="dxa" w:w="120"/>
              <w:bottom w:type="dxa" w:w="90"/>
              <w:right w:type="dxa" w:w="120"/>
            </w:tcMar>
            <w:vAlign w:val="center"/>
          </w:tcPr>
          <w:p>
            <w:pPr>
              <w:spacing w:after="0"/>
            </w:pPr>
            <w:r>
              <w:t xml:space="preserve">Supabase Free</w:t>
            </w:r>
          </w:p>
        </w:tc>
        <w:tc>
          <w:tcPr>
            <w:tcW w:type="dxa" w:w="1400"/>
            <w:tcMar>
              <w:top w:type="dxa" w:w="90"/>
              <w:left w:type="dxa" w:w="120"/>
              <w:bottom w:type="dxa" w:w="90"/>
              <w:right w:type="dxa" w:w="120"/>
            </w:tcMar>
            <w:vAlign w:val="center"/>
          </w:tcPr>
          <w:p>
            <w:pPr>
              <w:spacing w:after="0"/>
            </w:pPr>
            <w:r>
              <w:t xml:space="preserve">$0</w:t>
            </w:r>
          </w:p>
        </w:tc>
        <w:tc>
          <w:tcPr>
            <w:tcW w:type="dxa" w:w="4360"/>
            <w:tcMar>
              <w:top w:type="dxa" w:w="90"/>
              <w:left w:type="dxa" w:w="120"/>
              <w:bottom w:type="dxa" w:w="90"/>
              <w:right w:type="dxa" w:w="120"/>
            </w:tcMar>
            <w:vAlign w:val="center"/>
          </w:tcPr>
          <w:p>
            <w:pPr>
              <w:spacing w:after="0"/>
            </w:pPr>
            <w:r>
              <w:t xml:space="preserve">500 MB database, 50,000 monthly users — vast headroom. Two caveats: no automatic backups on the free plan (layer 2 + 3 cover the pilot), and a free project pauses after 7 idle days (fine during a pilot; resume is one click, data kept).</w:t>
            </w:r>
          </w:p>
        </w:tc>
      </w:tr>
      <w:tr>
        <w:tc>
          <w:tcPr>
            <w:tcW w:type="dxa" w:w="1900"/>
            <w:shd w:fill="F6FAFC" w:val="clear"/>
            <w:tcMar>
              <w:top w:type="dxa" w:w="90"/>
              <w:left w:type="dxa" w:w="120"/>
              <w:bottom w:type="dxa" w:w="90"/>
              <w:right w:type="dxa" w:w="120"/>
            </w:tcMar>
            <w:vAlign w:val="center"/>
          </w:tcPr>
          <w:p>
            <w:pPr>
              <w:spacing w:after="0"/>
            </w:pPr>
            <w:r>
              <w:t xml:space="preserve">Production (~20 people)</w:t>
            </w:r>
          </w:p>
        </w:tc>
        <w:tc>
          <w:tcPr>
            <w:tcW w:type="dxa" w:w="1700"/>
            <w:shd w:fill="F6FAFC" w:val="clear"/>
            <w:tcMar>
              <w:top w:type="dxa" w:w="90"/>
              <w:left w:type="dxa" w:w="120"/>
              <w:bottom w:type="dxa" w:w="90"/>
              <w:right w:type="dxa" w:w="120"/>
            </w:tcMar>
            <w:vAlign w:val="center"/>
          </w:tcPr>
          <w:p>
            <w:pPr>
              <w:spacing w:after="0"/>
            </w:pPr>
            <w:r>
              <w:t xml:space="preserve">Supabase Pro</w:t>
            </w:r>
          </w:p>
        </w:tc>
        <w:tc>
          <w:tcPr>
            <w:tcW w:type="dxa" w:w="1400"/>
            <w:shd w:fill="F6FAFC" w:val="clear"/>
            <w:tcMar>
              <w:top w:type="dxa" w:w="90"/>
              <w:left w:type="dxa" w:w="120"/>
              <w:bottom w:type="dxa" w:w="90"/>
              <w:right w:type="dxa" w:w="120"/>
            </w:tcMar>
            <w:vAlign w:val="center"/>
          </w:tcPr>
          <w:p>
            <w:pPr>
              <w:spacing w:after="0"/>
            </w:pPr>
            <w:r>
              <w:t xml:space="preserve">~$25 / month</w:t>
            </w:r>
          </w:p>
        </w:tc>
        <w:tc>
          <w:tcPr>
            <w:tcW w:type="dxa" w:w="4360"/>
            <w:shd w:fill="F6FAFC" w:val="clear"/>
            <w:tcMar>
              <w:top w:type="dxa" w:w="90"/>
              <w:left w:type="dxa" w:w="120"/>
              <w:bottom w:type="dxa" w:w="90"/>
              <w:right w:type="dxa" w:w="120"/>
            </w:tcMar>
            <w:vAlign w:val="center"/>
          </w:tcPr>
          <w:p>
            <w:pPr>
              <w:spacing w:after="0"/>
            </w:pPr>
            <w:r>
              <w:t xml:space="preserve">Daily automatic backups, no pausing, 8 GB database. This is the plan to run the company on.</w:t>
            </w:r>
          </w:p>
        </w:tc>
      </w:tr>
      <w:tr>
        <w:tc>
          <w:tcPr>
            <w:tcW w:type="dxa" w:w="1900"/>
            <w:tcMar>
              <w:top w:type="dxa" w:w="90"/>
              <w:left w:type="dxa" w:w="120"/>
              <w:bottom w:type="dxa" w:w="90"/>
              <w:right w:type="dxa" w:w="120"/>
            </w:tcMar>
            <w:vAlign w:val="center"/>
          </w:tcPr>
          <w:p>
            <w:pPr>
              <w:spacing w:after="0"/>
            </w:pPr>
            <w:r>
              <w:t xml:space="preserve">50 → 100 people</w:t>
            </w:r>
          </w:p>
        </w:tc>
        <w:tc>
          <w:tcPr>
            <w:tcW w:type="dxa" w:w="1700"/>
            <w:tcMar>
              <w:top w:type="dxa" w:w="90"/>
              <w:left w:type="dxa" w:w="120"/>
              <w:bottom w:type="dxa" w:w="90"/>
              <w:right w:type="dxa" w:w="120"/>
            </w:tcMar>
            <w:vAlign w:val="center"/>
          </w:tcPr>
          <w:p>
            <w:pPr>
              <w:spacing w:after="0"/>
            </w:pPr>
            <w:r>
              <w:t xml:space="preserve">Supabase Pro (same)</w:t>
            </w:r>
          </w:p>
        </w:tc>
        <w:tc>
          <w:tcPr>
            <w:tcW w:type="dxa" w:w="1400"/>
            <w:tcMar>
              <w:top w:type="dxa" w:w="90"/>
              <w:left w:type="dxa" w:w="120"/>
              <w:bottom w:type="dxa" w:w="90"/>
              <w:right w:type="dxa" w:w="120"/>
            </w:tcMar>
            <w:vAlign w:val="center"/>
          </w:tcPr>
          <w:p>
            <w:pPr>
              <w:spacing w:after="0"/>
            </w:pPr>
            <w:r>
              <w:t xml:space="preserve">~$25 / month</w:t>
            </w:r>
          </w:p>
        </w:tc>
        <w:tc>
          <w:tcPr>
            <w:tcW w:type="dxa" w:w="4360"/>
            <w:tcMar>
              <w:top w:type="dxa" w:w="90"/>
              <w:left w:type="dxa" w:w="120"/>
              <w:bottom w:type="dxa" w:w="90"/>
              <w:right w:type="dxa" w:w="120"/>
            </w:tcMar>
            <w:vAlign w:val="center"/>
          </w:tcPr>
          <w:p>
            <w:pPr>
              <w:spacing w:after="0"/>
            </w:pPr>
            <w:r>
              <w:t xml:space="preserve">Still the same plan. 100 people logging ~250 entries a year is roughly 25,000 small rows annually — around 1% of even the free tier's storage. User counts and traffic are far below any limit.</w:t>
            </w:r>
          </w:p>
        </w:tc>
      </w:tr>
    </w:tbl>
    <w:p>
      <w:r>
        <w:t xml:space="preserve">For comparison: AppSheet's per-user subscription for 20+ users typically costs more per month than this entire setup.</w:t>
      </w:r>
    </w:p>
    <w:p>
      <w:pPr>
        <w:pStyle w:val="Heading1"/>
      </w:pPr>
      <w:r>
        <w:t xml:space="preserve">9. Migration from AppSheet and today's WorkDesk</w:t>
      </w:r>
    </w:p>
    <w:p>
      <w:pPr>
        <w:pStyle w:val="ListParagraph"/>
        <w:numPr>
          <w:ilvl w:val="0"/>
          <w:numId w:val="3"/>
        </w:numPr>
      </w:pPr>
      <w:r>
        <w:rPr>
          <w:b/>
          <w:bCs/>
        </w:rPr>
        <w:t xml:space="preserve">Freeze a date.</w:t>
      </w:r>
      <w:r>
        <w:t xml:space="preserve"> Announce that from Monday X, time/planning/budgets live in WorkDesk.</w:t>
      </w:r>
    </w:p>
    <w:p>
      <w:pPr>
        <w:pStyle w:val="ListParagraph"/>
        <w:numPr>
          <w:ilvl w:val="0"/>
          <w:numId w:val="3"/>
        </w:numPr>
      </w:pPr>
      <w:r>
        <w:rPr>
          <w:b/>
          <w:bCs/>
        </w:rPr>
        <w:t xml:space="preserve">Export AppSheet's data.</w:t>
      </w:r>
      <w:r>
        <w:t xml:space="preserve"> AppSheet stores data in its backing source (usually a Google Sheet) — download it as Excel/CSV. Include the time log, plans, and any budget records.</w:t>
      </w:r>
    </w:p>
    <w:p>
      <w:pPr>
        <w:pStyle w:val="ListParagraph"/>
        <w:numPr>
          <w:ilvl w:val="0"/>
          <w:numId w:val="3"/>
        </w:numPr>
      </w:pPr>
      <w:r>
        <w:rPr>
          <w:b/>
          <w:bCs/>
        </w:rPr>
        <w:t xml:space="preserve">Convert once.</w:t>
      </w:r>
      <w:r>
        <w:t xml:space="preserve"> Hand the exported files to Claude; they are mapped to WorkDesk's fields (date, assignee, client, project, red/yellow hours, descriptions) and loaded into the database. Historical data arrives filterable and exportable like everything else.</w:t>
      </w:r>
    </w:p>
    <w:p>
      <w:pPr>
        <w:pStyle w:val="ListParagraph"/>
        <w:numPr>
          <w:ilvl w:val="0"/>
          <w:numId w:val="3"/>
        </w:numPr>
      </w:pPr>
      <w:r>
        <w:rPr>
          <w:b/>
          <w:bCs/>
        </w:rPr>
        <w:t xml:space="preserve">Import the vocabulary.</w:t>
      </w:r>
      <w:r>
        <w:t xml:space="preserve"> Clients, projects, people, and expense types load via the lists-import format — one JSON file, chapter 8.2 of the User Guide.</w:t>
      </w:r>
    </w:p>
    <w:p>
      <w:pPr>
        <w:pStyle w:val="ListParagraph"/>
        <w:numPr>
          <w:ilvl w:val="0"/>
          <w:numId w:val="3"/>
        </w:numPr>
      </w:pPr>
      <w:r>
        <w:rPr>
          <w:b/>
          <w:bCs/>
        </w:rPr>
        <w:t xml:space="preserve">Anyone's local WorkDesk data</w:t>
      </w:r>
      <w:r>
        <w:t xml:space="preserve"> (from the current version) imports via their ⚙ backup file — nothing done so far is lost.</w:t>
      </w:r>
    </w:p>
    <w:p>
      <w:pPr>
        <w:pStyle w:val="Heading1"/>
      </w:pPr>
      <w:r>
        <w:t xml:space="preserve">10. Decisions needed &amp; next step</w:t>
      </w:r>
    </w:p>
    <w:p>
      <w:pPr>
        <w:pStyle w:val="ListParagraph"/>
        <w:numPr>
          <w:ilvl w:val="0"/>
          <w:numId w:val="2"/>
        </w:numPr>
      </w:pPr>
      <w:r>
        <w:rPr>
          <w:b/>
          <w:bCs/>
        </w:rPr>
        <w:t xml:space="preserve">Confirm option A</w:t>
      </w:r>
      <w:r>
        <w:t xml:space="preserve"> (hosted database / Supabase) — or flag if IT mandates the Microsoft-only route, and chapter 5B becomes the plan.</w:t>
      </w:r>
    </w:p>
    <w:p>
      <w:pPr>
        <w:pStyle w:val="ListParagraph"/>
        <w:numPr>
          <w:ilvl w:val="0"/>
          <w:numId w:val="2"/>
        </w:numPr>
      </w:pPr>
      <w:r>
        <w:rPr>
          <w:b/>
          <w:bCs/>
        </w:rPr>
        <w:t xml:space="preserve">List the roles:</w:t>
      </w:r>
      <w:r>
        <w:t xml:space="preserve"> who is Manager/PM, who administers (CEO), whether the accountant joins now or later.</w:t>
      </w:r>
    </w:p>
    <w:p>
      <w:pPr>
        <w:pStyle w:val="ListParagraph"/>
        <w:numPr>
          <w:ilvl w:val="0"/>
          <w:numId w:val="2"/>
        </w:numPr>
      </w:pPr>
      <w:r>
        <w:rPr>
          <w:b/>
          <w:bCs/>
        </w:rPr>
        <w:t xml:space="preserve">Pick the backup folder</w:t>
      </w:r>
      <w:r>
        <w:t xml:space="preserve"> (OneDrive or Dropbox) and cadence (weekly is the sensible default).</w:t>
      </w:r>
    </w:p>
    <w:p>
      <w:pPr>
        <w:pStyle w:val="ListParagraph"/>
        <w:numPr>
          <w:ilvl w:val="0"/>
          <w:numId w:val="2"/>
        </w:numPr>
      </w:pPr>
      <w:r>
        <w:rPr>
          <w:b/>
          <w:bCs/>
        </w:rPr>
        <w:t xml:space="preserve">Create the Supabase account</w:t>
      </w:r>
      <w:r>
        <w:t xml:space="preserve"> (15 minutes, free) when ready.</w:t>
      </w:r>
    </w:p>
    <w:p>
      <w:r>
        <w:t xml:space="preserve">With those four answers, the next build phase turns this guide into the running system: the multi-user WorkDesk with logins, the protected Budgets tab, and the automated backup flow — delivered and documented the same way every version so far has been.</w:t>
      </w:r>
    </w:p>
    <w:p>
      <w:pPr>
        <w:pStyle w:val="Heading1"/>
      </w:pPr>
      <w:r>
        <w:t xml:space="preserve">11. Questions likely to come up</w:t>
      </w:r>
    </w:p>
    <w:tbl>
      <w:tblPr>
        <w:tblW w:type="dxa" w:w="9360"/>
        <w:tblBorders>
          <w:top w:val="single" w:color="D5E4EA" w:sz="4"/>
          <w:left w:val="single" w:color="D5E4EA" w:sz="4"/>
          <w:bottom w:val="single" w:color="D5E4EA" w:sz="4"/>
          <w:right w:val="single" w:color="D5E4EA" w:sz="4"/>
          <w:insideH w:val="single" w:color="D5E4EA" w:sz="4"/>
          <w:insideV w:val="single" w:color="D5E4EA" w:sz="4"/>
        </w:tblBorders>
      </w:tblPr>
      <w:tblGrid>
        <w:gridCol w:w="3000"/>
        <w:gridCol w:w="6360"/>
      </w:tblGrid>
      <w:tr>
        <w:trPr>
          <w:tblHeader/>
        </w:trPr>
        <w:tc>
          <w:tcPr>
            <w:tcW w:type="dxa" w:w="3000"/>
            <w:shd w:fill="0F2836" w:val="clear"/>
            <w:tcMar>
              <w:top w:type="dxa" w:w="90"/>
              <w:left w:type="dxa" w:w="120"/>
              <w:bottom w:type="dxa" w:w="90"/>
              <w:right w:type="dxa" w:w="120"/>
            </w:tcMar>
            <w:vAlign w:val="center"/>
          </w:tcPr>
          <w:p>
            <w:pPr>
              <w:spacing w:after="0"/>
            </w:pPr>
            <w:r>
              <w:rPr>
                <w:b/>
                <w:bCs/>
                <w:color w:val="FFFFFF"/>
                <w:sz w:val="20"/>
                <w:szCs w:val="20"/>
              </w:rPr>
              <w:t xml:space="preserve">Question</w:t>
            </w:r>
          </w:p>
        </w:tc>
        <w:tc>
          <w:tcPr>
            <w:tcW w:type="dxa" w:w="6360"/>
            <w:shd w:fill="0F2836" w:val="clear"/>
            <w:tcMar>
              <w:top w:type="dxa" w:w="90"/>
              <w:left w:type="dxa" w:w="120"/>
              <w:bottom w:type="dxa" w:w="90"/>
              <w:right w:type="dxa" w:w="120"/>
            </w:tcMar>
            <w:vAlign w:val="center"/>
          </w:tcPr>
          <w:p>
            <w:pPr>
              <w:spacing w:after="0"/>
            </w:pPr>
            <w:r>
              <w:rPr>
                <w:b/>
                <w:bCs/>
                <w:color w:val="FFFFFF"/>
                <w:sz w:val="20"/>
                <w:szCs w:val="20"/>
              </w:rPr>
              <w:t xml:space="preserve">Answer</w:t>
            </w:r>
          </w:p>
        </w:tc>
      </w:tr>
      <w:tr>
        <w:tc>
          <w:tcPr>
            <w:tcW w:type="dxa" w:w="3000"/>
            <w:tcMar>
              <w:top w:type="dxa" w:w="90"/>
              <w:left w:type="dxa" w:w="120"/>
              <w:bottom w:type="dxa" w:w="90"/>
              <w:right w:type="dxa" w:w="120"/>
            </w:tcMar>
            <w:vAlign w:val="center"/>
          </w:tcPr>
          <w:p>
            <w:pPr>
              <w:spacing w:after="0"/>
            </w:pPr>
            <w:r>
              <w:t xml:space="preserve">Do employees install anything?</w:t>
            </w:r>
          </w:p>
        </w:tc>
        <w:tc>
          <w:tcPr>
            <w:tcW w:type="dxa" w:w="6360"/>
            <w:tcMar>
              <w:top w:type="dxa" w:w="90"/>
              <w:left w:type="dxa" w:w="120"/>
              <w:bottom w:type="dxa" w:w="90"/>
              <w:right w:type="dxa" w:w="120"/>
            </w:tcMar>
            <w:vAlign w:val="center"/>
          </w:tcPr>
          <w:p>
            <w:pPr>
              <w:spacing w:after="0"/>
            </w:pPr>
            <w:r>
              <w:t xml:space="preserve">No. Same address as today, now with a login. Works on any browser, including phones.</w:t>
            </w:r>
          </w:p>
        </w:tc>
      </w:tr>
      <w:tr>
        <w:tc>
          <w:tcPr>
            <w:tcW w:type="dxa" w:w="3000"/>
            <w:shd w:fill="F6FAFC" w:val="clear"/>
            <w:tcMar>
              <w:top w:type="dxa" w:w="90"/>
              <w:left w:type="dxa" w:w="120"/>
              <w:bottom w:type="dxa" w:w="90"/>
              <w:right w:type="dxa" w:w="120"/>
            </w:tcMar>
            <w:vAlign w:val="center"/>
          </w:tcPr>
          <w:p>
            <w:pPr>
              <w:spacing w:after="0"/>
            </w:pPr>
            <w:r>
              <w:t xml:space="preserve">What if the internet is down?</w:t>
            </w:r>
          </w:p>
        </w:tc>
        <w:tc>
          <w:tcPr>
            <w:tcW w:type="dxa" w:w="6360"/>
            <w:shd w:fill="F6FAFC" w:val="clear"/>
            <w:tcMar>
              <w:top w:type="dxa" w:w="90"/>
              <w:left w:type="dxa" w:w="120"/>
              <w:bottom w:type="dxa" w:w="90"/>
              <w:right w:type="dxa" w:w="120"/>
            </w:tcMar>
            <w:vAlign w:val="center"/>
          </w:tcPr>
          <w:p>
            <w:pPr>
              <w:spacing w:after="0"/>
            </w:pPr>
            <w:r>
              <w:t xml:space="preserve">The shared database needs a connection — like AppSheet, OneDrive, and email today. The current per-browser version remains usable offline as a personal fallback.</w:t>
            </w:r>
          </w:p>
        </w:tc>
      </w:tr>
      <w:tr>
        <w:tc>
          <w:tcPr>
            <w:tcW w:type="dxa" w:w="3000"/>
            <w:tcMar>
              <w:top w:type="dxa" w:w="90"/>
              <w:left w:type="dxa" w:w="120"/>
              <w:bottom w:type="dxa" w:w="90"/>
              <w:right w:type="dxa" w:w="120"/>
            </w:tcMar>
            <w:vAlign w:val="center"/>
          </w:tcPr>
          <w:p>
            <w:pPr>
              <w:spacing w:after="0"/>
            </w:pPr>
            <w:r>
              <w:t xml:space="preserve">Can data still be lost?</w:t>
            </w:r>
          </w:p>
        </w:tc>
        <w:tc>
          <w:tcPr>
            <w:tcW w:type="dxa" w:w="6360"/>
            <w:tcMar>
              <w:top w:type="dxa" w:w="90"/>
              <w:left w:type="dxa" w:w="120"/>
              <w:bottom w:type="dxa" w:w="90"/>
              <w:right w:type="dxa" w:w="120"/>
            </w:tcMar>
            <w:vAlign w:val="center"/>
          </w:tcPr>
          <w:p>
            <w:pPr>
              <w:spacing w:after="0"/>
            </w:pPr>
            <w:r>
              <w:t xml:space="preserve">Three independent backup layers would all have to fail simultaneously. The realistic risks shift to the mundane: someone deleting a record (Undo + backups cover it) or a forgotten password (admin reset).</w:t>
            </w:r>
          </w:p>
        </w:tc>
      </w:tr>
      <w:tr>
        <w:tc>
          <w:tcPr>
            <w:tcW w:type="dxa" w:w="3000"/>
            <w:shd w:fill="F6FAFC" w:val="clear"/>
            <w:tcMar>
              <w:top w:type="dxa" w:w="90"/>
              <w:left w:type="dxa" w:w="120"/>
              <w:bottom w:type="dxa" w:w="90"/>
              <w:right w:type="dxa" w:w="120"/>
            </w:tcMar>
            <w:vAlign w:val="center"/>
          </w:tcPr>
          <w:p>
            <w:pPr>
              <w:spacing w:after="0"/>
            </w:pPr>
            <w:r>
              <w:t xml:space="preserve">Do we stop using Dropbox/OneDrive?</w:t>
            </w:r>
          </w:p>
        </w:tc>
        <w:tc>
          <w:tcPr>
            <w:tcW w:type="dxa" w:w="6360"/>
            <w:shd w:fill="F6FAFC" w:val="clear"/>
            <w:tcMar>
              <w:top w:type="dxa" w:w="90"/>
              <w:left w:type="dxa" w:w="120"/>
              <w:bottom w:type="dxa" w:w="90"/>
              <w:right w:type="dxa" w:w="120"/>
            </w:tcMar>
            <w:vAlign w:val="center"/>
          </w:tcPr>
          <w:p>
            <w:pPr>
              <w:spacing w:after="0"/>
            </w:pPr>
            <w:r>
              <w:t xml:space="preserve">No — they keep their real jobs: company documents, and now also the standing backup shelf for WorkDesk.</w:t>
            </w:r>
          </w:p>
        </w:tc>
      </w:tr>
      <w:tr>
        <w:tc>
          <w:tcPr>
            <w:tcW w:type="dxa" w:w="3000"/>
            <w:tcMar>
              <w:top w:type="dxa" w:w="90"/>
              <w:left w:type="dxa" w:w="120"/>
              <w:bottom w:type="dxa" w:w="90"/>
              <w:right w:type="dxa" w:w="120"/>
            </w:tcMar>
            <w:vAlign w:val="center"/>
          </w:tcPr>
          <w:p>
            <w:pPr>
              <w:spacing w:after="0"/>
            </w:pPr>
            <w:r>
              <w:t xml:space="preserve">Hebrew names and text?</w:t>
            </w:r>
          </w:p>
        </w:tc>
        <w:tc>
          <w:tcPr>
            <w:tcW w:type="dxa" w:w="6360"/>
            <w:tcMar>
              <w:top w:type="dxa" w:w="90"/>
              <w:left w:type="dxa" w:w="120"/>
              <w:bottom w:type="dxa" w:w="90"/>
              <w:right w:type="dxa" w:w="120"/>
            </w:tcMar>
            <w:vAlign w:val="center"/>
          </w:tcPr>
          <w:p>
            <w:pPr>
              <w:spacing w:after="0"/>
            </w:pPr>
            <w:r>
              <w:t xml:space="preserve">Fully supported end to end — database, app, and Excel exports.</w:t>
            </w:r>
          </w:p>
        </w:tc>
      </w:tr>
      <w:tr>
        <w:tc>
          <w:tcPr>
            <w:tcW w:type="dxa" w:w="3000"/>
            <w:shd w:fill="F6FAFC" w:val="clear"/>
            <w:tcMar>
              <w:top w:type="dxa" w:w="90"/>
              <w:left w:type="dxa" w:w="120"/>
              <w:bottom w:type="dxa" w:w="90"/>
              <w:right w:type="dxa" w:w="120"/>
            </w:tcMar>
            <w:vAlign w:val="center"/>
          </w:tcPr>
          <w:p>
            <w:pPr>
              <w:spacing w:after="0"/>
            </w:pPr>
            <w:r>
              <w:t xml:space="preserve">Is our data private?</w:t>
            </w:r>
          </w:p>
        </w:tc>
        <w:tc>
          <w:tcPr>
            <w:tcW w:type="dxa" w:w="6360"/>
            <w:shd w:fill="F6FAFC" w:val="clear"/>
            <w:tcMar>
              <w:top w:type="dxa" w:w="90"/>
              <w:left w:type="dxa" w:w="120"/>
              <w:bottom w:type="dxa" w:w="90"/>
              <w:right w:type="dxa" w:w="120"/>
            </w:tcMar>
            <w:vAlign w:val="center"/>
          </w:tcPr>
          <w:p>
            <w:pPr>
              <w:spacing w:after="0"/>
            </w:pPr>
            <w:r>
              <w:t xml:space="preserve">The database is password-protected per user, encrypted in transit, hosted in an EU region, and exportable in full at any time — no lock-in. For stricter requirements later, option D (self-hosting) remains open, and the data moves with a standard export.</w:t>
            </w:r>
          </w:p>
        </w:tc>
      </w:tr>
      <w:tr>
        <w:tc>
          <w:tcPr>
            <w:tcW w:type="dxa" w:w="3000"/>
            <w:tcMar>
              <w:top w:type="dxa" w:w="90"/>
              <w:left w:type="dxa" w:w="120"/>
              <w:bottom w:type="dxa" w:w="90"/>
              <w:right w:type="dxa" w:w="120"/>
            </w:tcMar>
            <w:vAlign w:val="center"/>
          </w:tcPr>
          <w:p>
            <w:pPr>
              <w:spacing w:after="0"/>
            </w:pPr>
            <w:r>
              <w:t xml:space="preserve">Why not just make the current app save to OneDrive?</w:t>
            </w:r>
          </w:p>
        </w:tc>
        <w:tc>
          <w:tcPr>
            <w:tcW w:type="dxa" w:w="6360"/>
            <w:tcMar>
              <w:top w:type="dxa" w:w="90"/>
              <w:left w:type="dxa" w:w="120"/>
              <w:bottom w:type="dxa" w:w="90"/>
              <w:right w:type="dxa" w:w="120"/>
            </w:tcMar>
            <w:vAlign w:val="center"/>
          </w:tcPr>
          <w:p>
            <w:pPr>
              <w:spacing w:after="0"/>
            </w:pPr>
            <w:r>
              <w:t xml:space="preserve">Chapter 3 — simultaneous edits would overwrite each other and budgets could not be protected. It would feel fine with one user and fail quietly with twenty.</w:t>
            </w:r>
          </w:p>
        </w:tc>
      </w:tr>
    </w:tbl>
    <w:p>
      <w:pPr>
        <w:spacing w:after="80"/>
      </w:pPr>
    </w:p>
    <w:p>
      <w:r>
        <w:rPr>
          <w:i/>
          <w:iCs/>
          <w:color w:val="5B7683"/>
        </w:rPr>
        <w:t xml:space="preserve">Prepared as the decision basis for WorkDesk's multi-user phase. Questions and decisions to Danny; the build follows the same request → deliver → document cycle as every WorkDesk release.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83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E7A8A"/>
      <w:sz w:val="30"/>
      <w:szCs w:val="30"/>
    </w:rPr>
  </w:style>
  <w:style w:type="paragraph" w:styleId="Heading2">
    <w:name w:val="Heading 2"/>
    <w:basedOn w:val="Normal"/>
    <w:next w:val="Normal"/>
    <w:qFormat/>
    <w:pPr>
      <w:spacing w:after="120" w:before="240"/>
    </w:pPr>
    <w:rPr>
      <w:rFonts w:ascii="Calibri" w:cs="Calibri" w:eastAsia="Calibri" w:hAnsi="Calibri"/>
      <w:b/>
      <w:bCs/>
      <w:color w:val="0F2836"/>
      <w:sz w:val="24"/>
      <w:szCs w:val="24"/>
    </w:rPr>
  </w:style>
  <w:style w:type="paragraph" w:styleId="Heading3">
    <w:name w:val="Heading 3"/>
    <w:basedOn w:val="Normal"/>
    <w:next w:val="Normal"/>
    <w:qFormat/>
    <w:pPr>
      <w:spacing w:after="100" w:before="180"/>
    </w:pPr>
    <w:rPr>
      <w:rFonts w:ascii="Calibri" w:cs="Calibri" w:eastAsia="Calibri" w:hAnsi="Calibri"/>
      <w:b/>
      <w:bCs/>
      <w:color w:val="5B768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2026-07-25T19:25:26.753Z</dcterms:created>
  <dcterms:modified xsi:type="dcterms:W3CDTF">2026-07-25T19:25:26.753Z</dcterms:modified>
</cp:coreProperties>
</file>

<file path=docProps/custom.xml><?xml version="1.0" encoding="utf-8"?>
<Properties xmlns="http://schemas.openxmlformats.org/officeDocument/2006/custom-properties" xmlns:vt="http://schemas.openxmlformats.org/officeDocument/2006/docPropsVTypes"/>
</file>