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4.png" ContentType="image/png"/>
  <Override PartName="/word/media/rId112.png" ContentType="image/png"/>
  <Override PartName="/word/media/rId98.png" ContentType="image/png"/>
  <Override PartName="/word/media/rId106.png" ContentType="image/png"/>
  <Override PartName="/word/media/rId80.png" ContentType="image/png"/>
  <Override PartName="/word/media/rId116.png" ContentType="image/png"/>
  <Override PartName="/word/media/rId88.png" ContentType="image/png"/>
  <Override PartName="/word/media/rId61.png" ContentType="image/png"/>
  <Override PartName="/word/media/rId63.png" ContentType="image/png"/>
  <Override PartName="/word/media/rId115.png" ContentType="image/png"/>
  <Override PartName="/word/media/rId123.png" ContentType="image/png"/>
  <Override PartName="/word/media/rId124.png" ContentType="image/png"/>
  <Override PartName="/word/media/rId125.png" ContentType="image/png"/>
  <Override PartName="/word/media/rId1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Heading2"/>
      </w:pPr>
      <w:bookmarkStart w:id="21" w:name="preamble"/>
      <w:bookmarkEnd w:id="21"/>
      <w:r>
        <w:t xml:space="preserve">Preamble</w:t>
      </w:r>
    </w:p>
    <w:p>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r>
        <w:t xml:space="preserve">These data are compiled using a set of R scripts and released to the public as open access data via the website: www.compadre-db.org.</w:t>
      </w:r>
    </w:p>
    <w:p>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Link"/>
          </w:rPr>
          <w:t xml:space="preserve">compadre-contact@demogr.mpg.de</w:t>
        </w:r>
      </w:hyperlink>
      <w:r>
        <w:t xml:space="preserve">. Specific questions can also be directed to Rob Salguero-Gómez (</w:t>
      </w:r>
      <w:hyperlink r:id="rId23">
        <w:r>
          <w:rPr>
            <w:rStyle w:val="Link"/>
          </w:rPr>
          <w:t xml:space="preserve">r.salguero@uq.edu.au</w:t>
        </w:r>
      </w:hyperlink>
      <w:r>
        <w:t xml:space="preserve">) or Owen Jones (</w:t>
      </w:r>
      <w:hyperlink r:id="rId24">
        <w:r>
          <w:rPr>
            <w:rStyle w:val="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e.g. growth form), whereas "A" pertains only to animals (COMADRE; e.g. class).</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 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2">
        <w:r>
          <w:rPr>
            <w:rStyle w:val="Link"/>
          </w:rPr>
          <w:t xml:space="preserve">compadre-contact@demogr.mpg.de</w:t>
        </w:r>
      </w:hyperlink>
      <w:r>
        <w:t xml:space="preserve">.</w:t>
      </w:r>
    </w:p>
    <w:p>
      <w:pPr>
        <w:numPr>
          <w:numId w:val="1001"/>
          <w:ilvl w:val="0"/>
        </w:numPr>
      </w:pPr>
      <w:r>
        <w:t xml:space="preserve">Latin names of species for variable "SpeciesAccepted" must be checked using reliable sources (e.g. Catalogue of Life [</w:t>
      </w:r>
      <w:hyperlink r:id="rId26">
        <w:r>
          <w:rPr>
            <w:rStyle w:val="Link"/>
          </w:rPr>
          <w:t xml:space="preserve">http://www.catalogueoflife.org/</w:t>
        </w:r>
      </w:hyperlink>
      <w:r>
        <w:t xml:space="preserve">], iPlant Collaborative [</w:t>
      </w:r>
      <w:hyperlink r:id="rId27">
        <w:r>
          <w:rPr>
            <w:rStyle w:val="Link"/>
          </w:rPr>
          <w:t xml:space="preserve">http://www.iplantcollaborative.org/</w:t>
        </w:r>
      </w:hyperlink>
      <w:r>
        <w:t xml:space="preserve">], Wikipedia [</w:t>
      </w:r>
      <w:hyperlink r:id="rId28">
        <w:r>
          <w:rPr>
            <w:rStyle w:val="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r>
        <w:pict>
          <v:rect style="width:0;height:1.5pt" o:hralign="center" o:hrstd="t" o:hr="t"/>
        </w:pict>
      </w:r>
    </w:p>
    <w:p>
      <w:pPr>
        <w:pStyle w:val="Heading1"/>
      </w:pPr>
      <w:bookmarkStart w:id="29" w:name="values-used-throughout-the-database"/>
      <w:bookmarkEnd w:id="29"/>
      <w:r>
        <w:t xml:space="preserve">Values used throughout the database</w:t>
      </w:r>
    </w:p>
    <w:p>
      <w:r>
        <w:t xml:space="preserve">The following values are commonly used throughout the database.</w:t>
      </w:r>
    </w:p>
    <w:p>
      <w:r>
        <w:rPr>
          <w:b/>
        </w:rPr>
        <w:t xml:space="preserve">NA</w:t>
      </w:r>
      <w:r>
        <w:t xml:space="preserve"> </w:t>
      </w:r>
      <w:r>
        <w:t xml:space="preserve">- Not available - The information is not available either because the author does not have it or because the information is not recognized as “priority” (see below) for the digitalisation.</w:t>
      </w:r>
    </w:p>
    <w:p>
      <w:r>
        <w:rPr>
          <w:b/>
        </w:rPr>
        <w:t xml:space="preserve">AFI</w:t>
      </w:r>
      <w:r>
        <w:t xml:space="preserve"> </w:t>
      </w:r>
      <w:r>
        <w:t xml:space="preserve">- Asked for it - The information is not yet in the database, but the COMPADRino has already contacted the author requesting it (i.e. the author has not yet replied).</w:t>
      </w:r>
    </w:p>
    <w:p>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Same for ranges, where author provides a range of latitudes and longitudes for a given population. Ranges are noted into the observation column</w:t>
      </w:r>
    </w:p>
    <w:p>
      <w:r>
        <w:rPr>
          <w:b/>
        </w:rPr>
        <w:t xml:space="preserve">LAB</w:t>
      </w:r>
      <w:r>
        <w:t xml:space="preserve"> </w:t>
      </w:r>
      <w:r>
        <w:t xml:space="preserve">- Laboratory - The author collected demographic data for the studied species in a laboratory or under greenhouse conditions – controlled, usually indoor, conditions that mean the study species is not affected by the environment conditions typical of the actual geographic location of the study.</w:t>
      </w:r>
    </w:p>
    <w:p>
      <w:r>
        <w:rPr>
          <w:b/>
        </w:rPr>
        <w:t xml:space="preserve">FRANK</w:t>
      </w:r>
      <w:r>
        <w:t xml:space="preserve"> </w:t>
      </w:r>
      <w:r>
        <w:t xml:space="preserve">- Frankenstein matrix - The author used demographic data from at least two other papers and calculated a</w:t>
      </w:r>
      <w:r>
        <w:t xml:space="preserve"> </w:t>
      </w:r>
      <w:r>
        <w:rPr>
          <w:i/>
        </w:rPr>
        <w:t xml:space="preserve">new</w:t>
      </w:r>
      <w:r>
        <w:t xml:space="preserve"> </w:t>
      </w:r>
      <w:r>
        <w:t xml:space="preserve">matrix population model out of tose data. In those cases, we typically have different study sites and years of study. For these data we do not calculate averages or ranges but instead enter</w:t>
      </w:r>
      <w:r>
        <w:t xml:space="preserve"> </w:t>
      </w:r>
      <w:r>
        <w:rPr>
          <w:b/>
        </w:rPr>
        <w:t xml:space="preserve">FRANK</w:t>
      </w:r>
      <w:r>
        <w:t xml:space="preserve">.</w:t>
      </w:r>
    </w:p>
    <w:p>
      <w:r>
        <w:pict>
          <v:rect style="width:0;height:1.5pt" o:hralign="center" o:hrstd="t" o:hr="t"/>
        </w:pict>
      </w:r>
    </w:p>
    <w:p>
      <w:pPr>
        <w:pStyle w:val="Heading1"/>
      </w:pPr>
      <w:bookmarkStart w:id="30" w:name="priority-variables"/>
      <w:bookmarkEnd w:id="30"/>
      <w:r>
        <w:t xml:space="preserve">Priority variables</w:t>
      </w:r>
    </w:p>
    <w:p>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Heading2"/>
      </w:pPr>
      <w:bookmarkStart w:id="31" w:name="references"/>
      <w:bookmarkEnd w:id="31"/>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2" w:name="descriptor-file"/>
      <w:bookmarkEnd w:id="32"/>
      <w:r>
        <w:t xml:space="preserve">DESCRIPTOR FILE</w:t>
      </w:r>
    </w:p>
    <w:p>
      <w:pPr>
        <w:pStyle w:val="Heading2"/>
      </w:pPr>
      <w:bookmarkStart w:id="33" w:name="student"/>
      <w:bookmarkEnd w:id="33"/>
      <w:r>
        <w:t xml:space="preserve">Student</w:t>
      </w:r>
    </w:p>
    <w:p>
      <w:r>
        <w:t xml:space="preserve">First name of COMPADRino</w:t>
      </w:r>
    </w:p>
    <w:p>
      <w:r>
        <w:t xml:space="preserve">Possible values</w:t>
      </w:r>
    </w:p>
    <w:p>
      <w:pPr>
        <w:pStyle w:val="Compact"/>
        <w:numPr>
          <w:numId w:val="1004"/>
          <w:ilvl w:val="0"/>
        </w:numPr>
      </w:pPr>
      <w:r>
        <w:t xml:space="preserve">Alex</w:t>
      </w:r>
    </w:p>
    <w:p>
      <w:pPr>
        <w:pStyle w:val="Compact"/>
        <w:numPr>
          <w:numId w:val="1004"/>
          <w:ilvl w:val="0"/>
        </w:numPr>
      </w:pPr>
      <w:r>
        <w:t xml:space="preserve">Anne</w:t>
      </w:r>
    </w:p>
    <w:p>
      <w:pPr>
        <w:pStyle w:val="Compact"/>
        <w:numPr>
          <w:numId w:val="1004"/>
          <w:ilvl w:val="0"/>
        </w:numPr>
      </w:pPr>
      <w:r>
        <w:t xml:space="preserve">Claudia</w:t>
      </w:r>
    </w:p>
    <w:p>
      <w:pPr>
        <w:pStyle w:val="Compact"/>
        <w:numPr>
          <w:numId w:val="1004"/>
          <w:ilvl w:val="0"/>
        </w:numPr>
      </w:pPr>
      <w:r>
        <w:t xml:space="preserve">Christoph</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Gesa</w:t>
      </w:r>
    </w:p>
    <w:p>
      <w:pPr>
        <w:pStyle w:val="Compact"/>
        <w:numPr>
          <w:numId w:val="1004"/>
          <w:ilvl w:val="0"/>
        </w:numPr>
      </w:pPr>
      <w:r>
        <w:t xml:space="preserve">Gabriel</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Veronika</w:t>
      </w:r>
    </w:p>
    <w:p>
      <w:pPr>
        <w:pStyle w:val="Compact"/>
        <w:numPr>
          <w:numId w:val="1004"/>
          <w:ilvl w:val="0"/>
        </w:numPr>
      </w:pPr>
      <w:r>
        <w:t xml:space="preserve">Rob</w:t>
      </w:r>
    </w:p>
    <w:p>
      <w:pPr>
        <w:pStyle w:val="Compact"/>
        <w:numPr>
          <w:numId w:val="1004"/>
          <w:ilvl w:val="0"/>
        </w:numPr>
      </w:pPr>
      <w:r>
        <w:t xml:space="preserve">Tara</w:t>
      </w:r>
    </w:p>
    <w:p>
      <w:r>
        <w:t xml:space="preserve">Information for Species Descriptors file:</w:t>
      </w:r>
    </w:p>
    <w:p>
      <w:r>
        <w:t xml:space="preserve">The fill color of the variable Student in the Species descriptors means the following:</w:t>
      </w:r>
    </w:p>
    <w:p>
      <w:pPr>
        <w:pStyle w:val="Compact"/>
        <w:numPr>
          <w:numId w:val="1005"/>
          <w:ilvl w:val="0"/>
        </w:numPr>
      </w:pPr>
      <w:r>
        <w:t xml:space="preserve">LIGHT ORANGE The Transferred column has been checked. The entry in that column is correct. If something was missing (see MissingData) author has been contacted again by Gesa or Fränce (in late 2014 / early 2015). Everything else is fine.</w:t>
      </w:r>
    </w:p>
    <w:p>
      <w:pPr>
        <w:pStyle w:val="Compact"/>
        <w:numPr>
          <w:numId w:val="1005"/>
          <w:ilvl w:val="0"/>
        </w:numPr>
      </w:pPr>
      <w:r>
        <w:t xml:space="preserve">DARK ORANGE The Transferred column has been checked. The entry in that column is correct but a problem occurred which is explained in the Notes column (e.g. no mail address of author(s) found/functional/outdated).</w:t>
      </w:r>
    </w:p>
    <w:p>
      <w:r>
        <w:t xml:space="preserve">Note: Excel might color the cell (in green or orange) automatically when entering a new species. Please always change the fill color for all new entries into "no fill". The students who do the error-checking will change into orange/red/green when necessary.</w:t>
      </w:r>
    </w:p>
    <w:p>
      <w:r>
        <w:t xml:space="preserve">__Information for the Stacked</w:t>
      </w:r>
      <w:r>
        <w:t xml:space="preserve"> </w:t>
      </w:r>
      <w:hyperlink r:id="rId34">
        <w:r>
          <w:rPr>
            <w:rStyle w:val="Link"/>
          </w:rPr>
          <w:t xml:space="preserve">File:__</w:t>
        </w:r>
      </w:hyperlink>
    </w:p>
    <w:p>
      <w:r>
        <w:t xml:space="preserve">The color coding in the EnteredBy column of the Stacked File means the following:</w:t>
      </w:r>
    </w:p>
    <w:p>
      <w:pPr>
        <w:pStyle w:val="Compact"/>
        <w:numPr>
          <w:numId w:val="1006"/>
          <w:ilvl w:val="0"/>
        </w:numPr>
      </w:pPr>
      <w:r>
        <w:t xml:space="preserve">RED There is some problem with this entry, the student who entered the species is informed and works on the species/species again</w:t>
      </w:r>
    </w:p>
    <w:p>
      <w:pPr>
        <w:pStyle w:val="Compact"/>
        <w:numPr>
          <w:numId w:val="1006"/>
          <w:ilvl w:val="0"/>
        </w:numPr>
      </w:pPr>
      <w:r>
        <w:t xml:space="preserve">ORANGE The entry is checked once (e.g. by Gesa). No faults have been found.</w:t>
      </w:r>
    </w:p>
    <w:p>
      <w:pPr>
        <w:pStyle w:val="Compact"/>
        <w:numPr>
          <w:numId w:val="1006"/>
          <w:ilvl w:val="0"/>
        </w:numPr>
      </w:pPr>
      <w:r>
        <w:t xml:space="preserve">GREEN The entry has been checked twice. No faults have been found. Species/study is ready to go online.</w:t>
      </w:r>
    </w:p>
    <w:p>
      <w:r>
        <w:t xml:space="preserve">Excel might color the cell (in green or orange)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5" w:name="notes"/>
      <w:bookmarkEnd w:id="35"/>
      <w:r>
        <w:t xml:space="preserve">Notes</w:t>
      </w:r>
    </w:p>
    <w:p>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6" w:name="versionrelease"/>
      <w:bookmarkEnd w:id="36"/>
      <w:r>
        <w:t xml:space="preserve">VersionRelease</w:t>
      </w:r>
    </w:p>
    <w:p>
      <w:r>
        <w:t xml:space="preserve">The Version number of the database where the data is/will be released. e.g. 3.0.0, 3.1.0. 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37" w:name="transferred"/>
      <w:bookmarkEnd w:id="37"/>
      <w:r>
        <w:t xml:space="preserve">Transferred</w:t>
      </w:r>
    </w:p>
    <w:p>
      <w:r>
        <w:t xml:space="preserve">Record the status of transference of matrices into the stacked file.</w:t>
      </w:r>
    </w:p>
    <w:p>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r>
        <w:rPr>
          <w:b/>
        </w:rPr>
        <w:t xml:space="preserve">Partly</w:t>
      </w:r>
      <w:r>
        <w:t xml:space="preserve"> </w:t>
      </w:r>
      <w:r>
        <w:t xml:space="preserve">- Only sections have been transferred. Some information is missing, which is reported in the column “Missing data” below. At least one matrix is transferred into the stacked file. Check out E-Mail - Reply under "Contacted" to find out what to do when author does not answer.</w:t>
      </w:r>
    </w:p>
    <w:p>
      <w:r>
        <w:rPr>
          <w:b/>
        </w:rPr>
        <w:t xml:space="preserve">No</w:t>
      </w:r>
      <w:r>
        <w:t xml:space="preserve"> </w:t>
      </w:r>
      <w:r>
        <w:t xml:space="preserve">- Nothing has yet been transferred, but the COMPADRino has started working on this species.</w:t>
      </w:r>
    </w:p>
    <w:p>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38" w:name="missingdata"/>
      <w:bookmarkEnd w:id="38"/>
      <w:r>
        <w:t xml:space="preserve">MissingData</w:t>
      </w:r>
    </w:p>
    <w:p>
      <w:r>
        <w:t xml:space="preserve">What data are still missing?</w:t>
      </w:r>
    </w:p>
    <w:p>
      <w:pPr>
        <w:pStyle w:val="Compact"/>
        <w:numPr>
          <w:numId w:val="1007"/>
          <w:ilvl w:val="0"/>
        </w:numPr>
      </w:pPr>
      <w:r>
        <w:rPr>
          <w:b/>
        </w:rPr>
        <w:t xml:space="preserve">M</w:t>
      </w:r>
      <w:r>
        <w:t xml:space="preserve"> </w:t>
      </w:r>
      <w:r>
        <w:t xml:space="preserve">- All matrices missing</w:t>
      </w:r>
    </w:p>
    <w:p>
      <w:pPr>
        <w:pStyle w:val="Compact"/>
        <w:numPr>
          <w:numId w:val="1007"/>
          <w:ilvl w:val="0"/>
        </w:numPr>
      </w:pPr>
      <w:r>
        <w:rPr>
          <w:b/>
        </w:rPr>
        <w:t xml:space="preserve">I</w:t>
      </w:r>
      <w:r>
        <w:t xml:space="preserve"> </w:t>
      </w:r>
      <w:r>
        <w:t xml:space="preserve">- Only individual matrices are missing</w:t>
      </w:r>
    </w:p>
    <w:p>
      <w:pPr>
        <w:pStyle w:val="Compact"/>
        <w:numPr>
          <w:numId w:val="1007"/>
          <w:ilvl w:val="0"/>
        </w:numPr>
      </w:pPr>
      <w:r>
        <w:rPr>
          <w:b/>
        </w:rPr>
        <w:t xml:space="preserve">L</w:t>
      </w:r>
      <w:r>
        <w:t xml:space="preserve"> </w:t>
      </w:r>
      <w:r>
        <w:t xml:space="preserve">- Labels are missing (e.g. information about the populations and years)</w:t>
      </w:r>
    </w:p>
    <w:p>
      <w:pPr>
        <w:pStyle w:val="Compact"/>
        <w:numPr>
          <w:numId w:val="1007"/>
          <w:ilvl w:val="0"/>
        </w:numPr>
      </w:pPr>
      <w:r>
        <w:rPr>
          <w:b/>
        </w:rPr>
        <w:t xml:space="preserve">S</w:t>
      </w:r>
      <w:r>
        <w:t xml:space="preserve"> </w:t>
      </w:r>
      <w:r>
        <w:t xml:space="preserve">- Information about study site missing (e.g. country, geolocation, WithinSite etc)</w:t>
      </w:r>
    </w:p>
    <w:p>
      <w:pPr>
        <w:pStyle w:val="Compact"/>
        <w:numPr>
          <w:numId w:val="1007"/>
          <w:ilvl w:val="0"/>
        </w:numPr>
      </w:pPr>
      <w:r>
        <w:rPr>
          <w:b/>
        </w:rPr>
        <w:t xml:space="preserve">O</w:t>
      </w:r>
      <w:r>
        <w:t xml:space="preserve"> </w:t>
      </w:r>
      <w:r>
        <w:t xml:space="preserve">- Other priority information missing</w:t>
      </w:r>
    </w:p>
    <w:p>
      <w:pPr>
        <w:pStyle w:val="Compact"/>
        <w:numPr>
          <w:numId w:val="1007"/>
          <w:ilvl w:val="0"/>
        </w:numPr>
      </w:pPr>
      <w:r>
        <w:rPr>
          <w:b/>
        </w:rPr>
        <w:t xml:space="preserve">No</w:t>
      </w:r>
      <w:r>
        <w:t xml:space="preserve"> </w:t>
      </w:r>
      <w:r>
        <w:t xml:space="preserve">- Everything is digitised</w:t>
      </w:r>
    </w:p>
    <w:p>
      <w:r>
        <w:t xml:space="preserve">If more than one piece of information is missing, these are separated with ";" (without white-space in between), e.g. "I;S;O".</w:t>
      </w:r>
    </w:p>
    <w:p>
      <w:r>
        <w:pict>
          <v:rect style="width:0;height:1.5pt" o:hralign="center" o:hrstd="t" o:hr="t"/>
        </w:pict>
      </w:r>
    </w:p>
    <w:p>
      <w:pPr>
        <w:pStyle w:val="Heading2"/>
      </w:pPr>
      <w:bookmarkStart w:id="39" w:name="datedigitalization"/>
      <w:bookmarkEnd w:id="39"/>
      <w:r>
        <w:t xml:space="preserve">DateDigitalization</w:t>
      </w:r>
    </w:p>
    <w:p>
      <w:r>
        <w:t xml:space="preserve">Records the date when COMPADRino started working on this species resp. when the first matrix population model of that study was digitised in stacked file. Dates should be recorded in US date format: mm.dd.yyyy, e.g. 12.25.2015 for 25th Dec 2015.</w:t>
      </w:r>
    </w:p>
    <w:p>
      <w:r>
        <w:pict>
          <v:rect style="width:0;height:1.5pt" o:hralign="center" o:hrstd="t" o:hr="t"/>
        </w:pict>
      </w:r>
    </w:p>
    <w:p>
      <w:pPr>
        <w:pStyle w:val="Heading2"/>
      </w:pPr>
      <w:bookmarkStart w:id="40" w:name="embargo"/>
      <w:bookmarkEnd w:id="40"/>
      <w:r>
        <w:t xml:space="preserve">Embargo</w:t>
      </w:r>
    </w:p>
    <w:p>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1" w:name="growthtype-p"/>
      <w:bookmarkEnd w:id="41"/>
      <w:r>
        <w:t xml:space="preserve">GrowthType (P)</w:t>
      </w:r>
    </w:p>
    <w:p>
      <w:r>
        <w:t xml:space="preserve">This entry applies only to plants and records the plant/algae type, based mainly on architectural organisation. This information is intended mostly for internal use and reflects how our PDF library is organized on our servers, as well as the tab in the Matrix Stacked file where the matrices are stored.</w:t>
      </w:r>
    </w:p>
    <w:p>
      <w:r>
        <w:t xml:space="preserve">Possible values are:</w:t>
      </w:r>
    </w:p>
    <w:p>
      <w:pPr>
        <w:pStyle w:val="Compact"/>
        <w:numPr>
          <w:numId w:val="1008"/>
          <w:ilvl w:val="0"/>
        </w:numPr>
      </w:pPr>
      <w:r>
        <w:t xml:space="preserve">Algae</w:t>
      </w:r>
    </w:p>
    <w:p>
      <w:pPr>
        <w:pStyle w:val="Compact"/>
        <w:numPr>
          <w:numId w:val="1008"/>
          <w:ilvl w:val="0"/>
        </w:numPr>
      </w:pPr>
      <w:r>
        <w:t xml:space="preserve">Annual</w:t>
      </w:r>
    </w:p>
    <w:p>
      <w:pPr>
        <w:pStyle w:val="Compact"/>
        <w:numPr>
          <w:numId w:val="1008"/>
          <w:ilvl w:val="0"/>
        </w:numPr>
      </w:pPr>
      <w:r>
        <w:t xml:space="preserve">Bryophyte</w:t>
      </w:r>
    </w:p>
    <w:p>
      <w:pPr>
        <w:pStyle w:val="Compact"/>
        <w:numPr>
          <w:numId w:val="1008"/>
          <w:ilvl w:val="0"/>
        </w:numPr>
      </w:pPr>
      <w:r>
        <w:t xml:space="preserve">Epiphyte</w:t>
      </w:r>
    </w:p>
    <w:p>
      <w:pPr>
        <w:pStyle w:val="Compact"/>
        <w:numPr>
          <w:numId w:val="1008"/>
          <w:ilvl w:val="0"/>
        </w:numPr>
      </w:pPr>
      <w:r>
        <w:t xml:space="preserve">Fern</w:t>
      </w:r>
    </w:p>
    <w:p>
      <w:pPr>
        <w:pStyle w:val="Compact"/>
        <w:numPr>
          <w:numId w:val="1008"/>
          <w:ilvl w:val="0"/>
        </w:numPr>
      </w:pPr>
      <w:r>
        <w:t xml:space="preserve">Herbaceous perennial</w:t>
      </w:r>
    </w:p>
    <w:p>
      <w:pPr>
        <w:pStyle w:val="Compact"/>
        <w:numPr>
          <w:numId w:val="1008"/>
          <w:ilvl w:val="0"/>
        </w:numPr>
      </w:pPr>
      <w:r>
        <w:t xml:space="preserve">Liana</w:t>
      </w:r>
    </w:p>
    <w:p>
      <w:pPr>
        <w:pStyle w:val="Compact"/>
        <w:numPr>
          <w:numId w:val="1008"/>
          <w:ilvl w:val="0"/>
        </w:numPr>
      </w:pPr>
      <w:r>
        <w:t xml:space="preserve">Palm</w:t>
      </w:r>
    </w:p>
    <w:p>
      <w:pPr>
        <w:pStyle w:val="Compact"/>
        <w:numPr>
          <w:numId w:val="1008"/>
          <w:ilvl w:val="0"/>
        </w:numPr>
      </w:pPr>
      <w:r>
        <w:t xml:space="preserve">Shrub</w:t>
      </w:r>
    </w:p>
    <w:p>
      <w:pPr>
        <w:pStyle w:val="Compact"/>
        <w:numPr>
          <w:numId w:val="1008"/>
          <w:ilvl w:val="0"/>
        </w:numPr>
      </w:pPr>
      <w:r>
        <w:t xml:space="preserve">Succulent</w:t>
      </w:r>
    </w:p>
    <w:p>
      <w:pPr>
        <w:pStyle w:val="Compact"/>
        <w:numPr>
          <w:numId w:val="1008"/>
          <w:ilvl w:val="0"/>
        </w:numPr>
      </w:pPr>
      <w:r>
        <w:t xml:space="preserve">Tree</w:t>
      </w:r>
    </w:p>
    <w:p>
      <w:r>
        <w:t xml:space="preserve">The species should be assigned to one of these possible values using the description of plant growth type provided by the author and by reference to other sources (e.g. other publications).</w:t>
      </w:r>
    </w:p>
    <w:p>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r>
        <w:pict>
          <v:rect style="width:0;height:1.5pt" o:hralign="center" o:hrstd="t" o:hr="t"/>
        </w:pict>
      </w:r>
    </w:p>
    <w:p>
      <w:pPr>
        <w:pStyle w:val="Heading2"/>
      </w:pPr>
      <w:bookmarkStart w:id="42" w:name="class-a"/>
      <w:bookmarkEnd w:id="42"/>
      <w:r>
        <w:t xml:space="preserve">Class (A)</w:t>
      </w:r>
    </w:p>
    <w:p>
      <w:r>
        <w:t xml:space="preserve">This entry only applies to animals. For animals, taxonomic class is recorded in both the Descriptors file and the Stacked Matrix file. This information is intended for internal use and reflects how our PDF library is organised on our servers, as well as the tab in the Matrix Stacked file where the matrices are stored.</w:t>
      </w:r>
    </w:p>
    <w:p>
      <w:r>
        <w:t xml:space="preserve">Possible values include:</w:t>
      </w:r>
    </w:p>
    <w:p>
      <w:pPr>
        <w:pStyle w:val="Compact"/>
        <w:numPr>
          <w:numId w:val="1009"/>
          <w:ilvl w:val="0"/>
        </w:numPr>
      </w:pPr>
      <w:r>
        <w:t xml:space="preserve">Actinopterygii</w:t>
      </w:r>
    </w:p>
    <w:p>
      <w:pPr>
        <w:pStyle w:val="Compact"/>
        <w:numPr>
          <w:numId w:val="1009"/>
          <w:ilvl w:val="0"/>
        </w:numPr>
      </w:pPr>
      <w:r>
        <w:t xml:space="preserve">Amphibia</w:t>
      </w:r>
    </w:p>
    <w:p>
      <w:pPr>
        <w:pStyle w:val="Compact"/>
        <w:numPr>
          <w:numId w:val="1009"/>
          <w:ilvl w:val="0"/>
        </w:numPr>
      </w:pPr>
      <w:r>
        <w:t xml:space="preserve">Anthozoa</w:t>
      </w:r>
    </w:p>
    <w:p>
      <w:pPr>
        <w:pStyle w:val="Compact"/>
        <w:numPr>
          <w:numId w:val="1009"/>
          <w:ilvl w:val="0"/>
        </w:numPr>
      </w:pPr>
      <w:r>
        <w:t xml:space="preserve">Arachnida</w:t>
      </w:r>
    </w:p>
    <w:p>
      <w:pPr>
        <w:pStyle w:val="Compact"/>
        <w:numPr>
          <w:numId w:val="1009"/>
          <w:ilvl w:val="0"/>
        </w:numPr>
      </w:pPr>
      <w:r>
        <w:t xml:space="preserve">Ascidiacea</w:t>
      </w:r>
    </w:p>
    <w:p>
      <w:pPr>
        <w:pStyle w:val="Compact"/>
        <w:numPr>
          <w:numId w:val="1009"/>
          <w:ilvl w:val="0"/>
        </w:numPr>
      </w:pPr>
      <w:r>
        <w:t xml:space="preserve">Aves</w:t>
      </w:r>
    </w:p>
    <w:p>
      <w:pPr>
        <w:pStyle w:val="Compact"/>
        <w:numPr>
          <w:numId w:val="1009"/>
          <w:ilvl w:val="0"/>
        </w:numPr>
      </w:pPr>
      <w:r>
        <w:t xml:space="preserve">Bivalvia</w:t>
      </w:r>
    </w:p>
    <w:p>
      <w:pPr>
        <w:pStyle w:val="Compact"/>
        <w:numPr>
          <w:numId w:val="1009"/>
          <w:ilvl w:val="0"/>
        </w:numPr>
      </w:pPr>
      <w:r>
        <w:t xml:space="preserve">Branchiopoda</w:t>
      </w:r>
    </w:p>
    <w:p>
      <w:pPr>
        <w:pStyle w:val="Compact"/>
        <w:numPr>
          <w:numId w:val="1009"/>
          <w:ilvl w:val="0"/>
        </w:numPr>
      </w:pPr>
      <w:r>
        <w:t xml:space="preserve">Cephalaspidomorphi</w:t>
      </w:r>
    </w:p>
    <w:p>
      <w:pPr>
        <w:pStyle w:val="Compact"/>
        <w:numPr>
          <w:numId w:val="1009"/>
          <w:ilvl w:val="0"/>
        </w:numPr>
      </w:pPr>
      <w:r>
        <w:t xml:space="preserve">Chondrichthyes</w:t>
      </w:r>
    </w:p>
    <w:p>
      <w:pPr>
        <w:pStyle w:val="Compact"/>
        <w:numPr>
          <w:numId w:val="1009"/>
          <w:ilvl w:val="0"/>
        </w:numPr>
      </w:pPr>
      <w:r>
        <w:t xml:space="preserve">Chromadorea</w:t>
      </w:r>
    </w:p>
    <w:p>
      <w:pPr>
        <w:pStyle w:val="Compact"/>
        <w:numPr>
          <w:numId w:val="1009"/>
          <w:ilvl w:val="0"/>
        </w:numPr>
      </w:pPr>
      <w:r>
        <w:t xml:space="preserve">Clitellata</w:t>
      </w:r>
    </w:p>
    <w:p>
      <w:pPr>
        <w:pStyle w:val="Compact"/>
        <w:numPr>
          <w:numId w:val="1009"/>
          <w:ilvl w:val="0"/>
        </w:numPr>
      </w:pPr>
      <w:r>
        <w:t xml:space="preserve">Demospongiae</w:t>
      </w:r>
    </w:p>
    <w:p>
      <w:pPr>
        <w:pStyle w:val="Compact"/>
        <w:numPr>
          <w:numId w:val="1009"/>
          <w:ilvl w:val="0"/>
        </w:numPr>
      </w:pPr>
      <w:r>
        <w:t xml:space="preserve">Diplopoda</w:t>
      </w:r>
    </w:p>
    <w:p>
      <w:pPr>
        <w:pStyle w:val="Compact"/>
        <w:numPr>
          <w:numId w:val="1009"/>
          <w:ilvl w:val="0"/>
        </w:numPr>
      </w:pPr>
      <w:r>
        <w:t xml:space="preserve">Echinoidea</w:t>
      </w:r>
    </w:p>
    <w:p>
      <w:pPr>
        <w:pStyle w:val="Compact"/>
        <w:numPr>
          <w:numId w:val="1009"/>
          <w:ilvl w:val="0"/>
        </w:numPr>
      </w:pPr>
      <w:r>
        <w:t xml:space="preserve">Eurotatoria</w:t>
      </w:r>
    </w:p>
    <w:p>
      <w:pPr>
        <w:pStyle w:val="Compact"/>
        <w:numPr>
          <w:numId w:val="1009"/>
          <w:ilvl w:val="0"/>
        </w:numPr>
      </w:pPr>
      <w:r>
        <w:t xml:space="preserve">Gastropoda</w:t>
      </w:r>
    </w:p>
    <w:p>
      <w:pPr>
        <w:pStyle w:val="Compact"/>
        <w:numPr>
          <w:numId w:val="1009"/>
          <w:ilvl w:val="0"/>
        </w:numPr>
      </w:pPr>
      <w:r>
        <w:t xml:space="preserve">Gymnolaemata</w:t>
      </w:r>
    </w:p>
    <w:p>
      <w:pPr>
        <w:pStyle w:val="Compact"/>
        <w:numPr>
          <w:numId w:val="1009"/>
          <w:ilvl w:val="0"/>
        </w:numPr>
      </w:pPr>
      <w:r>
        <w:t xml:space="preserve">Malacostraca</w:t>
      </w:r>
    </w:p>
    <w:p>
      <w:pPr>
        <w:pStyle w:val="Compact"/>
        <w:numPr>
          <w:numId w:val="1009"/>
          <w:ilvl w:val="0"/>
        </w:numPr>
      </w:pPr>
      <w:r>
        <w:t xml:space="preserve">Mammalia</w:t>
      </w:r>
    </w:p>
    <w:p>
      <w:pPr>
        <w:pStyle w:val="Compact"/>
        <w:numPr>
          <w:numId w:val="1009"/>
          <w:ilvl w:val="0"/>
        </w:numPr>
      </w:pPr>
      <w:r>
        <w:t xml:space="preserve">Maxillopoda</w:t>
      </w:r>
    </w:p>
    <w:p>
      <w:pPr>
        <w:pStyle w:val="Compact"/>
        <w:numPr>
          <w:numId w:val="1009"/>
          <w:ilvl w:val="0"/>
        </w:numPr>
      </w:pPr>
      <w:r>
        <w:t xml:space="preserve">Merostomata</w:t>
      </w:r>
    </w:p>
    <w:p>
      <w:pPr>
        <w:pStyle w:val="Compact"/>
        <w:numPr>
          <w:numId w:val="1009"/>
          <w:ilvl w:val="0"/>
        </w:numPr>
      </w:pPr>
      <w:r>
        <w:t xml:space="preserve">Onychophorida</w:t>
      </w:r>
    </w:p>
    <w:p>
      <w:pPr>
        <w:pStyle w:val="Compact"/>
        <w:numPr>
          <w:numId w:val="1009"/>
          <w:ilvl w:val="0"/>
        </w:numPr>
      </w:pPr>
      <w:r>
        <w:t xml:space="preserve">Ostracoda</w:t>
      </w:r>
    </w:p>
    <w:p>
      <w:pPr>
        <w:pStyle w:val="Compact"/>
        <w:numPr>
          <w:numId w:val="1009"/>
          <w:ilvl w:val="0"/>
        </w:numPr>
      </w:pPr>
      <w:r>
        <w:t xml:space="preserve">Polychaeta</w:t>
      </w:r>
    </w:p>
    <w:p>
      <w:pPr>
        <w:pStyle w:val="Compact"/>
        <w:numPr>
          <w:numId w:val="1009"/>
          <w:ilvl w:val="0"/>
        </w:numPr>
      </w:pPr>
      <w:r>
        <w:t xml:space="preserve">Reptilia</w:t>
      </w:r>
    </w:p>
    <w:p>
      <w:pPr>
        <w:pStyle w:val="Compact"/>
        <w:numPr>
          <w:numId w:val="1009"/>
          <w:ilvl w:val="0"/>
        </w:numPr>
      </w:pPr>
      <w:r>
        <w:t xml:space="preserve">Secernentea</w:t>
      </w:r>
    </w:p>
    <w:p>
      <w:pPr>
        <w:pStyle w:val="Compact"/>
        <w:numPr>
          <w:numId w:val="1009"/>
          <w:ilvl w:val="0"/>
        </w:numPr>
      </w:pPr>
      <w:r>
        <w:t xml:space="preserve">Spirochaetes</w:t>
      </w:r>
    </w:p>
    <w:p>
      <w:r>
        <w:pict>
          <v:rect style="width:0;height:1.5pt" o:hralign="center" o:hrstd="t" o:hr="t"/>
        </w:pict>
      </w:r>
    </w:p>
    <w:p>
      <w:pPr>
        <w:pStyle w:val="Heading2"/>
      </w:pPr>
      <w:bookmarkStart w:id="43" w:name="speciesauthor"/>
      <w:bookmarkEnd w:id="43"/>
      <w:r>
        <w:t xml:space="preserve">SpeciesAuthor</w:t>
      </w:r>
    </w:p>
    <w:p>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r>
        <w:t xml:space="preserve">The word following “var.”, “subsp.” or “cf.” must not be capitalised. Excel will try to capitalise it via auto-correct because it follows a period punctuation.</w:t>
      </w:r>
    </w:p>
    <w:p>
      <w:r>
        <w:t xml:space="preserve">Always use an underscore "_" to substitute spaces (e.g. write "Cryptantha_flava" instead of "Cryptantha flava").</w:t>
      </w:r>
    </w:p>
    <w:p>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44" w:name="commonname"/>
      <w:bookmarkEnd w:id="44"/>
      <w:r>
        <w:t xml:space="preserve">CommonName</w:t>
      </w:r>
    </w:p>
    <w:p>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45" w:name="authors"/>
      <w:bookmarkEnd w:id="45"/>
      <w:r>
        <w:t xml:space="preserve">Authors</w:t>
      </w:r>
    </w:p>
    <w:p>
      <w:r>
        <w:t xml:space="preserve">Last name of all authors on the publication. Separate multiple names with "; ". 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46" w:name="journal"/>
      <w:bookmarkEnd w:id="46"/>
      <w:r>
        <w:t xml:space="preserve">Journal</w:t>
      </w:r>
    </w:p>
    <w:p>
      <w:r>
        <w:t xml:space="preserve">Record the name of the journal from which data were sourced. If the data were sourced from a book, thesis, report, or conference talk/poster, record that as appropriate. For journal abbreviations see list here:</w:t>
      </w:r>
      <w:r>
        <w:t xml:space="preserve"> </w:t>
      </w:r>
      <w:hyperlink r:id="rId47">
        <w:r>
          <w:rPr>
            <w:rStyle w:val="Link"/>
          </w:rPr>
          <w:t xml:space="preserve">http://images.webofknowledge.com/WOK46/help/WOS/A_abrvjt.html</w:t>
        </w:r>
      </w:hyperlink>
      <w:r>
        <w:t xml:space="preserve">.</w:t>
      </w:r>
    </w:p>
    <w:p>
      <w:r>
        <w:t xml:space="preserve">If no abbreviation is available in both of those list, take a look into the paper. Often there are abbreviations in the left corner of the paper or at the first page.</w:t>
      </w:r>
    </w:p>
    <w:p>
      <w:pPr>
        <w:pStyle w:val="Compact"/>
        <w:numPr>
          <w:numId w:val="1010"/>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0"/>
          <w:ilvl w:val="0"/>
        </w:numPr>
      </w:pPr>
      <w:r>
        <w:t xml:space="preserve">Book - Matrices are from a book, or book chapter. Note: If our source is a book name the author of the related chapter in Authors, not the author of the book.</w:t>
      </w:r>
    </w:p>
    <w:p>
      <w:pPr>
        <w:pStyle w:val="Compact"/>
        <w:numPr>
          <w:numId w:val="1010"/>
          <w:ilvl w:val="0"/>
        </w:numPr>
      </w:pPr>
      <w:r>
        <w:t xml:space="preserve">PhD thesis - Matrices are from a doctoral thesis.</w:t>
      </w:r>
    </w:p>
    <w:p>
      <w:pPr>
        <w:pStyle w:val="Compact"/>
        <w:numPr>
          <w:numId w:val="1010"/>
          <w:ilvl w:val="0"/>
        </w:numPr>
      </w:pPr>
      <w:r>
        <w:t xml:space="preserve">MSc thesis - Matrices are from a masters thesis.</w:t>
      </w:r>
    </w:p>
    <w:p>
      <w:pPr>
        <w:pStyle w:val="Compact"/>
        <w:numPr>
          <w:numId w:val="1010"/>
          <w:ilvl w:val="0"/>
        </w:numPr>
      </w:pPr>
      <w:r>
        <w:t xml:space="preserve">Report - Matrices are from a report.</w:t>
      </w:r>
    </w:p>
    <w:p>
      <w:pPr>
        <w:pStyle w:val="Compact"/>
        <w:numPr>
          <w:numId w:val="1010"/>
          <w:ilvl w:val="0"/>
        </w:numPr>
      </w:pPr>
      <w:r>
        <w:t xml:space="preserve">Conference talk - Matrices reported in a conference talk.</w:t>
      </w:r>
    </w:p>
    <w:p>
      <w:pPr>
        <w:pStyle w:val="Compact"/>
        <w:numPr>
          <w:numId w:val="1010"/>
          <w:ilvl w:val="0"/>
        </w:numPr>
      </w:pPr>
      <w:r>
        <w:t xml:space="preserve">Conference poster - Matrices reported in a conference poster.</w:t>
      </w:r>
    </w:p>
    <w:p>
      <w:r>
        <w:pict>
          <v:rect style="width:0;height:1.5pt" o:hralign="center" o:hrstd="t" o:hr="t"/>
        </w:pict>
      </w:r>
    </w:p>
    <w:p>
      <w:pPr>
        <w:pStyle w:val="Heading2"/>
      </w:pPr>
      <w:bookmarkStart w:id="48" w:name="yearpublication"/>
      <w:bookmarkEnd w:id="48"/>
      <w:r>
        <w:t xml:space="preserve">YearPublication</w:t>
      </w:r>
    </w:p>
    <w:p>
      <w:r>
        <w:t xml:space="preserve">Year of publication of the source publication. This should be recorded as YYYY (e.g. 2002).</w:t>
      </w:r>
    </w:p>
    <w:p>
      <w:r>
        <w:pict>
          <v:rect style="width:0;height:1.5pt" o:hralign="center" o:hrstd="t" o:hr="t"/>
        </w:pict>
      </w:r>
    </w:p>
    <w:p>
      <w:pPr>
        <w:pStyle w:val="Heading2"/>
      </w:pPr>
      <w:bookmarkStart w:id="49" w:name="correspondingauthor"/>
      <w:bookmarkEnd w:id="49"/>
      <w:r>
        <w:t xml:space="preserve">CorrespondingAuthor</w:t>
      </w:r>
    </w:p>
    <w:p>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50" w:name="email"/>
      <w:bookmarkEnd w:id="50"/>
      <w:r>
        <w:t xml:space="preserve">Email</w:t>
      </w:r>
    </w:p>
    <w:p>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r>
        <w:t xml:space="preserve">e.g.</w:t>
      </w:r>
      <w:r>
        <w:t xml:space="preserve"> </w:t>
      </w:r>
      <w:hyperlink r:id="rId24">
        <w:r>
          <w:rPr>
            <w:rStyle w:val="Link"/>
          </w:rPr>
          <w:t xml:space="preserve">jones@biology.sdu.dk</w:t>
        </w:r>
      </w:hyperlink>
      <w:r>
        <w:t xml:space="preserve"> </w:t>
      </w:r>
      <w:r>
        <w:t xml:space="preserve">(2015)</w:t>
      </w:r>
    </w:p>
    <w:p>
      <w:r>
        <w:pict>
          <v:rect style="width:0;height:1.5pt" o:hralign="center" o:hrstd="t" o:hr="t"/>
        </w:pict>
      </w:r>
    </w:p>
    <w:p>
      <w:pPr>
        <w:pStyle w:val="Heading2"/>
      </w:pPr>
      <w:bookmarkStart w:id="51" w:name="contacted"/>
      <w:bookmarkEnd w:id="51"/>
      <w:r>
        <w:t xml:space="preserve">Contacted</w:t>
      </w:r>
    </w:p>
    <w:p>
      <w:r>
        <w:t xml:space="preserve">Record the date(s) when the publication author was contacted asking for information in US date format (mm.dd.yyyy). Authors should always be contacted from the</w:t>
      </w:r>
      <w:r>
        <w:t xml:space="preserve"> </w:t>
      </w:r>
      <w:hyperlink r:id="rId22">
        <w:r>
          <w:rPr>
            <w:rStyle w:val="Link"/>
          </w:rPr>
          <w:t xml:space="preserve">compadre-contact@demogr.mpg.de</w:t>
        </w:r>
      </w:hyperlink>
      <w:r>
        <w:t xml:space="preserve"> </w:t>
      </w:r>
      <w:r>
        <w:t xml:space="preserve">email address rather than a personal email address.</w:t>
      </w:r>
    </w:p>
    <w:p>
      <w:r>
        <w:t xml:space="preserve">Procedure for lack of response depends on the YearPublication of the source:</w:t>
      </w:r>
    </w:p>
    <w:p>
      <w:pPr>
        <w:numPr>
          <w:numId w:val="1011"/>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1"/>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52" w:name="contentemail"/>
      <w:bookmarkEnd w:id="52"/>
      <w:r>
        <w:t xml:space="preserve">ContentEmail</w:t>
      </w:r>
    </w:p>
    <w:p>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53" w:name="reply"/>
      <w:bookmarkEnd w:id="53"/>
      <w:r>
        <w:t xml:space="preserve">Reply</w:t>
      </w:r>
    </w:p>
    <w:p>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54" w:name="doiisbn"/>
      <w:bookmarkEnd w:id="54"/>
      <w:r>
        <w:t xml:space="preserve">DOI/ISBN</w:t>
      </w:r>
    </w:p>
    <w:p>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r>
        <w:t xml:space="preserve">Use the DOI resolution service at</w:t>
      </w:r>
      <w:r>
        <w:t xml:space="preserve"> </w:t>
      </w:r>
      <w:hyperlink r:id="rId55">
        <w:r>
          <w:rPr>
            <w:rStyle w:val="Link"/>
          </w:rPr>
          <w:t xml:space="preserve">http://dx.doi.org/</w:t>
        </w:r>
      </w:hyperlink>
      <w:r>
        <w:t xml:space="preserve"> </w:t>
      </w:r>
      <w:r>
        <w:t xml:space="preserve">to confirm the DOI. Do this by appending the DOI after this web page. For example, for the DOI "10.1111/1365-2745.12334" --</w:t>
      </w:r>
    </w:p>
    <w:p>
      <w:hyperlink r:id="rId56">
        <w:r>
          <w:rPr>
            <w:rStyle w:val="Link"/>
          </w:rPr>
          <w:t xml:space="preserve">http://dx.doi.org/10.1111/1365-2745.12334</w:t>
        </w:r>
      </w:hyperlink>
    </w:p>
    <w:p>
      <w:r>
        <w:t xml:space="preserve">This should take you to the journal page for the article.</w:t>
      </w:r>
    </w:p>
    <w:p>
      <w:r>
        <w:t xml:space="preserve">Only enter the DOI itself into this field do not add additional text like the full web-link, or "DOI:" or other text.</w:t>
      </w:r>
    </w:p>
    <w:p>
      <w:r>
        <w:t xml:space="preserve">Note that older references may not actually have a DOI. In these cases, use "NA".</w:t>
      </w:r>
    </w:p>
    <w:p>
      <w:r>
        <w:pict>
          <v:rect style="width:0;height:1.5pt" o:hralign="center" o:hrstd="t" o:hr="t"/>
        </w:pict>
      </w:r>
    </w:p>
    <w:p>
      <w:pPr>
        <w:pStyle w:val="Heading2"/>
      </w:pPr>
      <w:bookmarkStart w:id="57" w:name="additionalsource"/>
      <w:bookmarkEnd w:id="57"/>
      <w:r>
        <w:t xml:space="preserve">AdditionalSource</w:t>
      </w:r>
    </w:p>
    <w:p>
      <w:r>
        <w:t xml:space="preserve">Record additional source(s) used to reconstruct the matrix, or to obtain additional ancillary data. 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58" w:name="database"/>
      <w:bookmarkEnd w:id="58"/>
      <w:r>
        <w:t xml:space="preserve">Database</w:t>
      </w:r>
    </w:p>
    <w:p>
      <w:r>
        <w:t xml:space="preserve">Over the years COMPADRE database has obtained data from similar matrix databases. This column records whenever this is the case. The possible values are:</w:t>
      </w:r>
    </w:p>
    <w:p>
      <w:pPr>
        <w:pStyle w:val="Compact"/>
        <w:numPr>
          <w:numId w:val="1012"/>
          <w:ilvl w:val="0"/>
        </w:numPr>
      </w:pPr>
      <w:r>
        <w:t xml:space="preserve">Exeter - David Hodgson</w:t>
      </w:r>
    </w:p>
    <w:p>
      <w:pPr>
        <w:pStyle w:val="Compact"/>
        <w:numPr>
          <w:numId w:val="1012"/>
          <w:ilvl w:val="0"/>
        </w:numPr>
      </w:pPr>
      <w:r>
        <w:t xml:space="preserve">COMPADRE I - Miguel Franco &amp; Jonathan Silvertown</w:t>
      </w:r>
    </w:p>
    <w:p>
      <w:pPr>
        <w:pStyle w:val="Compact"/>
        <w:numPr>
          <w:numId w:val="1012"/>
          <w:ilvl w:val="0"/>
        </w:numPr>
      </w:pPr>
      <w:r>
        <w:t xml:space="preserve">Ramula - Satu Ramula</w:t>
      </w:r>
    </w:p>
    <w:p>
      <w:pPr>
        <w:pStyle w:val="Compact"/>
        <w:numPr>
          <w:numId w:val="1012"/>
          <w:ilvl w:val="0"/>
        </w:numPr>
      </w:pPr>
      <w:r>
        <w:t xml:space="preserve">NCEAS - Jennifer Williams et al.</w:t>
      </w:r>
    </w:p>
    <w:p>
      <w:pPr>
        <w:pStyle w:val="Compact"/>
        <w:numPr>
          <w:numId w:val="1012"/>
          <w:ilvl w:val="0"/>
        </w:numPr>
      </w:pPr>
      <w:r>
        <w:t xml:space="preserve">UQ - Yvonne Buckley and collaborators</w:t>
      </w:r>
    </w:p>
    <w:p>
      <w:r>
        <w:pict>
          <v:rect style="width:0;height:1.5pt" o:hralign="center" o:hrstd="t" o:hr="t"/>
        </w:pict>
      </w:r>
    </w:p>
    <w:p>
      <w:pPr>
        <w:pStyle w:val="Heading2"/>
      </w:pPr>
      <w:bookmarkStart w:id="59" w:name="ecoregion"/>
      <w:bookmarkEnd w:id="59"/>
      <w:r>
        <w:t xml:space="preserve">Ecoregion</w:t>
      </w:r>
    </w:p>
    <w:p>
      <w:r>
        <w:t xml:space="preserve">Description of the Ecoregion for the study, using the categories described in Figure 1 of Olson et al. (2001).</w:t>
      </w:r>
    </w:p>
    <w:p>
      <w:r>
        <w:rPr>
          <w:b/>
        </w:rPr>
        <w:t xml:space="preserve">Terrestrial ecoregions</w:t>
      </w:r>
    </w:p>
    <w:p>
      <w:pPr>
        <w:pStyle w:val="Compact"/>
        <w:numPr>
          <w:numId w:val="1013"/>
          <w:ilvl w:val="0"/>
        </w:numPr>
      </w:pPr>
      <w:r>
        <w:t xml:space="preserve">TMB tropical and subtropical moist broadleaf forests</w:t>
      </w:r>
    </w:p>
    <w:p>
      <w:pPr>
        <w:pStyle w:val="Compact"/>
        <w:numPr>
          <w:numId w:val="1013"/>
          <w:ilvl w:val="0"/>
        </w:numPr>
      </w:pPr>
      <w:r>
        <w:t xml:space="preserve">TDB tropical and subtropical dry broadleaf forests</w:t>
      </w:r>
    </w:p>
    <w:p>
      <w:pPr>
        <w:pStyle w:val="Compact"/>
        <w:numPr>
          <w:numId w:val="1013"/>
          <w:ilvl w:val="0"/>
        </w:numPr>
      </w:pPr>
      <w:r>
        <w:t xml:space="preserve">TSC tropical and subtropical coniferous forests</w:t>
      </w:r>
    </w:p>
    <w:p>
      <w:pPr>
        <w:pStyle w:val="Compact"/>
        <w:numPr>
          <w:numId w:val="1013"/>
          <w:ilvl w:val="0"/>
        </w:numPr>
      </w:pPr>
      <w:r>
        <w:t xml:space="preserve">TBM temperate broadleaf and mixed forests</w:t>
      </w:r>
    </w:p>
    <w:p>
      <w:pPr>
        <w:pStyle w:val="Compact"/>
        <w:numPr>
          <w:numId w:val="1013"/>
          <w:ilvl w:val="0"/>
        </w:numPr>
      </w:pPr>
      <w:r>
        <w:t xml:space="preserve">TCF temperate coniferous forests</w:t>
      </w:r>
    </w:p>
    <w:p>
      <w:pPr>
        <w:pStyle w:val="Compact"/>
        <w:numPr>
          <w:numId w:val="1013"/>
          <w:ilvl w:val="0"/>
        </w:numPr>
      </w:pPr>
      <w:r>
        <w:t xml:space="preserve">BOR boreal forests/ taiga</w:t>
      </w:r>
    </w:p>
    <w:p>
      <w:pPr>
        <w:pStyle w:val="Compact"/>
        <w:numPr>
          <w:numId w:val="1013"/>
          <w:ilvl w:val="0"/>
        </w:numPr>
      </w:pPr>
      <w:r>
        <w:t xml:space="preserve">TGV tropical and subtropical grasslands, savannas and shrublands</w:t>
      </w:r>
    </w:p>
    <w:p>
      <w:pPr>
        <w:pStyle w:val="Compact"/>
        <w:numPr>
          <w:numId w:val="1013"/>
          <w:ilvl w:val="0"/>
        </w:numPr>
      </w:pPr>
      <w:r>
        <w:t xml:space="preserve">TGS temperate grasslands, savannas, and shrublands</w:t>
      </w:r>
    </w:p>
    <w:p>
      <w:pPr>
        <w:pStyle w:val="Compact"/>
        <w:numPr>
          <w:numId w:val="1013"/>
          <w:ilvl w:val="0"/>
        </w:numPr>
      </w:pPr>
      <w:r>
        <w:t xml:space="preserve">FGS flooded grasslands and savannas</w:t>
      </w:r>
    </w:p>
    <w:p>
      <w:pPr>
        <w:pStyle w:val="Compact"/>
        <w:numPr>
          <w:numId w:val="1013"/>
          <w:ilvl w:val="0"/>
        </w:numPr>
      </w:pPr>
      <w:r>
        <w:t xml:space="preserve">MON montane grasslands and shrublands</w:t>
      </w:r>
    </w:p>
    <w:p>
      <w:pPr>
        <w:pStyle w:val="Compact"/>
        <w:numPr>
          <w:numId w:val="1013"/>
          <w:ilvl w:val="0"/>
        </w:numPr>
      </w:pPr>
      <w:r>
        <w:t xml:space="preserve">TUN tundra</w:t>
      </w:r>
    </w:p>
    <w:p>
      <w:pPr>
        <w:pStyle w:val="Compact"/>
        <w:numPr>
          <w:numId w:val="1013"/>
          <w:ilvl w:val="0"/>
        </w:numPr>
      </w:pPr>
      <w:r>
        <w:t xml:space="preserve">MED Mediterranean forests, woodlands and scrubs</w:t>
      </w:r>
    </w:p>
    <w:p>
      <w:pPr>
        <w:pStyle w:val="Compact"/>
        <w:numPr>
          <w:numId w:val="1013"/>
          <w:ilvl w:val="0"/>
        </w:numPr>
      </w:pPr>
      <w:r>
        <w:t xml:space="preserve">DES deserts and xeric shrublands</w:t>
      </w:r>
    </w:p>
    <w:p>
      <w:pPr>
        <w:pStyle w:val="Compact"/>
        <w:numPr>
          <w:numId w:val="1013"/>
          <w:ilvl w:val="0"/>
        </w:numPr>
      </w:pPr>
      <w:r>
        <w:t xml:space="preserve">MAN mangroves</w:t>
      </w:r>
    </w:p>
    <w:p>
      <w:r>
        <w:rPr>
          <w:b/>
        </w:rPr>
        <w:t xml:space="preserve">Freshwater ecoregions</w:t>
      </w:r>
    </w:p>
    <w:p>
      <w:pPr>
        <w:pStyle w:val="Compact"/>
        <w:numPr>
          <w:numId w:val="1014"/>
          <w:ilvl w:val="0"/>
        </w:numPr>
      </w:pPr>
      <w:r>
        <w:t xml:space="preserve">LRE large river ecosystems</w:t>
      </w:r>
    </w:p>
    <w:p>
      <w:pPr>
        <w:pStyle w:val="Compact"/>
        <w:numPr>
          <w:numId w:val="1014"/>
          <w:ilvl w:val="0"/>
        </w:numPr>
      </w:pPr>
      <w:r>
        <w:t xml:space="preserve">LRH large river headwater ecosystems</w:t>
      </w:r>
    </w:p>
    <w:p>
      <w:pPr>
        <w:pStyle w:val="Compact"/>
        <w:numPr>
          <w:numId w:val="1014"/>
          <w:ilvl w:val="0"/>
        </w:numPr>
      </w:pPr>
      <w:r>
        <w:t xml:space="preserve">LRD large river delta ecosystems</w:t>
      </w:r>
    </w:p>
    <w:p>
      <w:pPr>
        <w:pStyle w:val="Compact"/>
        <w:numPr>
          <w:numId w:val="1014"/>
          <w:ilvl w:val="0"/>
        </w:numPr>
      </w:pPr>
      <w:r>
        <w:t xml:space="preserve">SRE small river ecosystems</w:t>
      </w:r>
    </w:p>
    <w:p>
      <w:pPr>
        <w:pStyle w:val="Compact"/>
        <w:numPr>
          <w:numId w:val="1014"/>
          <w:ilvl w:val="0"/>
        </w:numPr>
      </w:pPr>
      <w:r>
        <w:t xml:space="preserve">SLE small lake ecosystems</w:t>
      </w:r>
    </w:p>
    <w:p>
      <w:pPr>
        <w:pStyle w:val="Compact"/>
        <w:numPr>
          <w:numId w:val="1014"/>
          <w:ilvl w:val="0"/>
        </w:numPr>
      </w:pPr>
      <w:r>
        <w:t xml:space="preserve">LLE large lake ecosystems</w:t>
      </w:r>
    </w:p>
    <w:p>
      <w:pPr>
        <w:pStyle w:val="Compact"/>
        <w:numPr>
          <w:numId w:val="1014"/>
          <w:ilvl w:val="0"/>
        </w:numPr>
      </w:pPr>
      <w:r>
        <w:t xml:space="preserve">XBE xeric basin ecosystems</w:t>
      </w:r>
    </w:p>
    <w:p>
      <w:r>
        <w:rPr>
          <w:b/>
        </w:rPr>
        <w:t xml:space="preserve">Marine ecoregions</w:t>
      </w:r>
    </w:p>
    <w:p>
      <w:pPr>
        <w:pStyle w:val="Compact"/>
        <w:numPr>
          <w:numId w:val="1015"/>
          <w:ilvl w:val="0"/>
        </w:numPr>
      </w:pPr>
      <w:r>
        <w:t xml:space="preserve">POE polar ecosystems</w:t>
      </w:r>
    </w:p>
    <w:p>
      <w:pPr>
        <w:pStyle w:val="Compact"/>
        <w:numPr>
          <w:numId w:val="1015"/>
          <w:ilvl w:val="0"/>
        </w:numPr>
      </w:pPr>
      <w:r>
        <w:t xml:space="preserve">TSS temperate shelf and seas ecosystems</w:t>
      </w:r>
    </w:p>
    <w:p>
      <w:pPr>
        <w:pStyle w:val="Compact"/>
        <w:numPr>
          <w:numId w:val="1015"/>
          <w:ilvl w:val="0"/>
        </w:numPr>
      </w:pPr>
      <w:r>
        <w:t xml:space="preserve">TEU temperate upwellings</w:t>
      </w:r>
    </w:p>
    <w:p>
      <w:pPr>
        <w:pStyle w:val="Compact"/>
        <w:numPr>
          <w:numId w:val="1015"/>
          <w:ilvl w:val="0"/>
        </w:numPr>
      </w:pPr>
      <w:r>
        <w:t xml:space="preserve">TRU tropical upwellings</w:t>
      </w:r>
    </w:p>
    <w:p>
      <w:pPr>
        <w:pStyle w:val="Compact"/>
        <w:numPr>
          <w:numId w:val="1015"/>
          <w:ilvl w:val="0"/>
        </w:numPr>
      </w:pPr>
      <w:r>
        <w:t xml:space="preserve">TRC tropical coral</w:t>
      </w:r>
    </w:p>
    <w:p>
      <w:r>
        <w:t xml:space="preserve">For a more inclusive description of water ecoregions, see</w:t>
      </w:r>
      <w:r>
        <w:t xml:space="preserve"> </w:t>
      </w:r>
      <w:hyperlink r:id="rId60">
        <w:r>
          <w:rPr>
            <w:rStyle w:val="Link"/>
          </w:rPr>
          <w:t xml:space="preserve">http://worldwildlife.org/biomes</w:t>
        </w:r>
      </w:hyperlink>
    </w:p>
    <w:p>
      <w:r>
        <w:t xml:space="preserve">This is a drop-down variable. Separate with "; " if more than one</w:t>
      </w:r>
    </w:p>
    <w:p>
      <w:r>
        <w:t xml:space="preserve">To find out within which terrestrial ecoregion your study has been made, search for the place on the following map:</w:t>
      </w:r>
    </w:p>
    <w:p>
      <w:r>
        <w:drawing>
          <wp:inline>
            <wp:extent cx="5440680" cy="4203063"/>
            <wp:effectExtent b="0" l="0" r="0" t="0"/>
            <wp:docPr descr="" id="1" name="Picture"/>
            <a:graphic>
              <a:graphicData uri="http://schemas.openxmlformats.org/drawingml/2006/picture">
                <pic:pic>
                  <pic:nvPicPr>
                    <pic:cNvPr descr="images/OlsonEcoregions.png" id="0" name="Picture"/>
                    <pic:cNvPicPr>
                      <a:picLocks noChangeArrowheads="1" noChangeAspect="1"/>
                    </pic:cNvPicPr>
                  </pic:nvPicPr>
                  <pic:blipFill>
                    <a:blip r:embed="rId61"/>
                    <a:stretch>
                      <a:fillRect/>
                    </a:stretch>
                  </pic:blipFill>
                  <pic:spPr bwMode="auto">
                    <a:xfrm>
                      <a:off x="0" y="0"/>
                      <a:ext cx="5440680" cy="4203063"/>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62" w:name="growthformraunkiaer-p"/>
      <w:bookmarkEnd w:id="62"/>
      <w:r>
        <w:t xml:space="preserve">GrowthFormRaunkiaer (P)</w:t>
      </w:r>
    </w:p>
    <w:p>
      <w:r>
        <w:t xml:space="preserve">Plant classification according to Raunkiaer (classified after the position of the overwintering buds)</w:t>
      </w:r>
    </w:p>
    <w:p>
      <w:r>
        <w:t xml:space="preserve">Possible values</w:t>
      </w:r>
    </w:p>
    <w:p>
      <w:pPr>
        <w:pStyle w:val="Compact"/>
        <w:numPr>
          <w:numId w:val="1016"/>
          <w:ilvl w:val="0"/>
        </w:numPr>
      </w:pPr>
      <w:r>
        <w:t xml:space="preserve">Megaphanerophyte Overwintering buds positioned at &gt;30 m height (e.g. large trees)</w:t>
      </w:r>
    </w:p>
    <w:p>
      <w:pPr>
        <w:pStyle w:val="Compact"/>
        <w:numPr>
          <w:numId w:val="1016"/>
          <w:ilvl w:val="0"/>
        </w:numPr>
      </w:pPr>
      <w:r>
        <w:t xml:space="preserve">Mesophanerophyte Overwintering buds positioned at 8-30 m height (e.g. medium trees)</w:t>
      </w:r>
    </w:p>
    <w:p>
      <w:pPr>
        <w:pStyle w:val="Compact"/>
        <w:numPr>
          <w:numId w:val="1016"/>
          <w:ilvl w:val="0"/>
        </w:numPr>
      </w:pPr>
      <w:r>
        <w:t xml:space="preserve">Nanophanerophyte Overwintering buds positioned at0.25-8 m max height (e.g. small trees and all shrubs)</w:t>
      </w:r>
    </w:p>
    <w:p>
      <w:pPr>
        <w:pStyle w:val="Compact"/>
        <w:numPr>
          <w:numId w:val="1016"/>
          <w:ilvl w:val="0"/>
        </w:numPr>
      </w:pPr>
      <w:r>
        <w:t xml:space="preserve">Chamaephyte Buds on persistent shoots near the ground</w:t>
      </w:r>
    </w:p>
    <w:p>
      <w:pPr>
        <w:pStyle w:val="Compact"/>
        <w:numPr>
          <w:numId w:val="1016"/>
          <w:ilvl w:val="0"/>
        </w:numPr>
      </w:pPr>
      <w:r>
        <w:t xml:space="preserve">Hemicryptophyte Buds at or near the soil surface (e.g. daisy, dandelion)</w:t>
      </w:r>
    </w:p>
    <w:p>
      <w:pPr>
        <w:pStyle w:val="Compact"/>
        <w:numPr>
          <w:numId w:val="1016"/>
          <w:ilvl w:val="0"/>
        </w:numPr>
      </w:pPr>
      <w:r>
        <w:t xml:space="preserve">Geophyte Buds resting under dry ground (e.g. crocus, tulip)</w:t>
      </w:r>
    </w:p>
    <w:p>
      <w:pPr>
        <w:pStyle w:val="Compact"/>
        <w:numPr>
          <w:numId w:val="1016"/>
          <w:ilvl w:val="0"/>
        </w:numPr>
      </w:pPr>
      <w:r>
        <w:t xml:space="preserve">Helophyte Buds resting in marshy ground (e.g. reedmace, marsh-marigold)</w:t>
      </w:r>
    </w:p>
    <w:p>
      <w:pPr>
        <w:pStyle w:val="Compact"/>
        <w:numPr>
          <w:numId w:val="1016"/>
          <w:ilvl w:val="0"/>
        </w:numPr>
      </w:pPr>
      <w:r>
        <w:t xml:space="preserve">Hydrophyte Resting by being submerged under water (e.g. water-lily, frogbit)</w:t>
      </w:r>
    </w:p>
    <w:p>
      <w:pPr>
        <w:pStyle w:val="Compact"/>
        <w:numPr>
          <w:numId w:val="1016"/>
          <w:ilvl w:val="0"/>
        </w:numPr>
      </w:pPr>
      <w:r>
        <w:t xml:space="preserve">Therophyte Mostly annual and biennial plants</w:t>
      </w:r>
    </w:p>
    <w:p>
      <w:pPr>
        <w:pStyle w:val="Compact"/>
        <w:numPr>
          <w:numId w:val="1016"/>
          <w:ilvl w:val="0"/>
        </w:numPr>
      </w:pPr>
      <w:r>
        <w:t xml:space="preserve">Epiphyte Plants living on to of other plants</w:t>
      </w:r>
    </w:p>
    <w:p>
      <w:r>
        <w:t xml:space="preserve">For further information see www.en.wikipedia.org/wiki/Raunkiaer_plant_life-form.</w:t>
      </w:r>
    </w:p>
    <w:p>
      <w:r>
        <w:drawing>
          <wp:inline>
            <wp:extent cx="5440680" cy="2689072"/>
            <wp:effectExtent b="0" l="0" r="0" t="0"/>
            <wp:docPr descr="" id="1" name="Picture"/>
            <a:graphic>
              <a:graphicData uri="http://schemas.openxmlformats.org/drawingml/2006/picture">
                <pic:pic>
                  <pic:nvPicPr>
                    <pic:cNvPr descr="images/Raunkiaer.png" id="0" name="Picture"/>
                    <pic:cNvPicPr>
                      <a:picLocks noChangeArrowheads="1" noChangeAspect="1"/>
                    </pic:cNvPicPr>
                  </pic:nvPicPr>
                  <pic:blipFill>
                    <a:blip r:embed="rId63"/>
                    <a:stretch>
                      <a:fillRect/>
                    </a:stretch>
                  </pic:blipFill>
                  <pic:spPr bwMode="auto">
                    <a:xfrm>
                      <a:off x="0" y="0"/>
                      <a:ext cx="5440680" cy="2689072"/>
                    </a:xfrm>
                    <a:prstGeom prst="rect">
                      <a:avLst/>
                    </a:prstGeom>
                    <a:noFill/>
                    <a:ln w="9525">
                      <a:noFill/>
                      <a:headEnd/>
                      <a:tailEnd/>
                    </a:ln>
                  </pic:spPr>
                </pic:pic>
              </a:graphicData>
            </a:graphic>
          </wp:inline>
        </w:drawing>
      </w:r>
    </w:p>
    <w:p>
      <w:pPr>
        <w:pStyle w:val="Compact"/>
        <w:numPr>
          <w:numId w:val="1017"/>
          <w:ilvl w:val="0"/>
        </w:numPr>
      </w:pPr>
      <w:r>
        <w:t xml:space="preserve">Phanerophytes</w:t>
      </w:r>
    </w:p>
    <w:p>
      <w:pPr>
        <w:pStyle w:val="Compact"/>
        <w:numPr>
          <w:numId w:val="1017"/>
          <w:ilvl w:val="0"/>
        </w:numPr>
      </w:pPr>
      <w:r>
        <w:t xml:space="preserve">Chamaephyte</w:t>
      </w:r>
    </w:p>
    <w:p>
      <w:pPr>
        <w:pStyle w:val="Compact"/>
        <w:numPr>
          <w:numId w:val="1017"/>
          <w:ilvl w:val="0"/>
        </w:numPr>
      </w:pPr>
      <w:r>
        <w:t xml:space="preserve">Chamaephyte</w:t>
      </w:r>
    </w:p>
    <w:p>
      <w:pPr>
        <w:pStyle w:val="Compact"/>
        <w:numPr>
          <w:numId w:val="1017"/>
          <w:ilvl w:val="0"/>
        </w:numPr>
      </w:pPr>
      <w:r>
        <w:t xml:space="preserve">Hemicryptophyte</w:t>
      </w:r>
    </w:p>
    <w:p>
      <w:pPr>
        <w:pStyle w:val="Compact"/>
        <w:numPr>
          <w:numId w:val="1017"/>
          <w:ilvl w:val="0"/>
        </w:numPr>
      </w:pPr>
      <w:r>
        <w:t xml:space="preserve">Cryptophytes, more specifically: Geophyte</w:t>
      </w:r>
    </w:p>
    <w:p>
      <w:pPr>
        <w:pStyle w:val="Compact"/>
        <w:numPr>
          <w:numId w:val="1017"/>
          <w:ilvl w:val="0"/>
        </w:numPr>
      </w:pPr>
      <w:r>
        <w:t xml:space="preserve">Cryptophytes, more specifically: Geophyte</w:t>
      </w:r>
    </w:p>
    <w:p>
      <w:pPr>
        <w:pStyle w:val="Compact"/>
        <w:numPr>
          <w:numId w:val="1017"/>
          <w:ilvl w:val="0"/>
        </w:numPr>
      </w:pPr>
      <w:r>
        <w:t xml:space="preserve">Cryptophytes, more specifically: Helophyte</w:t>
      </w:r>
    </w:p>
    <w:p>
      <w:pPr>
        <w:pStyle w:val="Compact"/>
        <w:numPr>
          <w:numId w:val="1017"/>
          <w:ilvl w:val="0"/>
        </w:numPr>
      </w:pPr>
      <w:r>
        <w:t xml:space="preserve">Cryptophytes, more specifically: Hydrophyte</w:t>
      </w:r>
    </w:p>
    <w:p>
      <w:pPr>
        <w:pStyle w:val="Compact"/>
        <w:numPr>
          <w:numId w:val="1017"/>
          <w:ilvl w:val="0"/>
        </w:numPr>
      </w:pPr>
      <w:r>
        <w:t xml:space="preserve">Cryptophytes, more specifically: Hydrophyte</w:t>
      </w:r>
    </w:p>
    <w:p>
      <w:pPr>
        <w:pStyle w:val="Compact"/>
        <w:numPr>
          <w:numId w:val="1017"/>
          <w:ilvl w:val="0"/>
        </w:numPr>
      </w:pPr>
      <w:r>
        <w:t xml:space="preserve">Therophyte, aerophyte and epiphyte not shown</w:t>
      </w:r>
    </w:p>
    <w:p>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18"/>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 “Shrub” and “Succulent” are either “Chamaephyte” or (most often) “Nanophanerophyte”, but in some species they be “Mesophanerophyte”.</w:t>
      </w:r>
    </w:p>
    <w:p>
      <w:pPr>
        <w:pStyle w:val="Compact"/>
        <w:numPr>
          <w:numId w:val="1018"/>
          <w:ilvl w:val="0"/>
        </w:numPr>
      </w:pPr>
      <w:r>
        <w:t xml:space="preserve">“Herbaceous perennials” may be “Hydrophyte”, “Helophyte”, “Epiphyte”, “Geophyte”, “Hemicryptophyte” or “Chamaephyte”.</w:t>
      </w:r>
    </w:p>
    <w:p>
      <w:pPr>
        <w:pStyle w:val="Compact"/>
        <w:numPr>
          <w:numId w:val="1019"/>
          <w:ilvl w:val="1"/>
        </w:numPr>
      </w:pPr>
      <w:r>
        <w:t xml:space="preserve">Hydrophyte: herbaceous perennial that lives in or really close to a lake, river or sea</w:t>
      </w:r>
    </w:p>
    <w:p>
      <w:pPr>
        <w:pStyle w:val="Compact"/>
        <w:numPr>
          <w:numId w:val="1019"/>
          <w:ilvl w:val="1"/>
        </w:numPr>
      </w:pPr>
      <w:r>
        <w:t xml:space="preserve">Helophyte: herbaceous perennial that lives in a marsh or wetland</w:t>
      </w:r>
    </w:p>
    <w:p>
      <w:pPr>
        <w:pStyle w:val="Compact"/>
        <w:numPr>
          <w:numId w:val="1019"/>
          <w:ilvl w:val="1"/>
        </w:numPr>
      </w:pPr>
      <w:r>
        <w:t xml:space="preserve">Geophyte: herbaceous perennial that overwinters below ground. These species have a storage below ground of the following types: rhizome, tuber, bulb or similar</w:t>
      </w:r>
    </w:p>
    <w:p>
      <w:pPr>
        <w:pStyle w:val="Compact"/>
        <w:numPr>
          <w:numId w:val="1019"/>
          <w:ilvl w:val="1"/>
        </w:numPr>
      </w:pPr>
      <w:r>
        <w:t xml:space="preserve">Hemicryptophyte: herbaceous perennial without storage organ below ground that will overwinter right at ground level</w:t>
      </w:r>
    </w:p>
    <w:p>
      <w:pPr>
        <w:pStyle w:val="Compact"/>
        <w:numPr>
          <w:numId w:val="1019"/>
          <w:ilvl w:val="1"/>
        </w:numPr>
      </w:pPr>
      <w:r>
        <w:t xml:space="preserve">Chamaephyte: herbaceous perennial that will overwinter above ground but no higher than 25 cm.</w:t>
      </w:r>
    </w:p>
    <w:p>
      <w:pPr>
        <w:pStyle w:val="Compact"/>
        <w:numPr>
          <w:numId w:val="1018"/>
          <w:ilvl w:val="0"/>
        </w:numPr>
      </w:pPr>
      <w:r>
        <w:t xml:space="preserve">“Annual” (and biennials or pseudo-annuals) are “Therophyte”.</w:t>
      </w:r>
    </w:p>
    <w:p>
      <w:pPr>
        <w:pStyle w:val="Compact"/>
        <w:numPr>
          <w:numId w:val="1018"/>
          <w:ilvl w:val="0"/>
        </w:numPr>
      </w:pPr>
      <w:r>
        <w:t xml:space="preserve">“Algae” is “Hydrophyte”.</w:t>
      </w:r>
    </w:p>
    <w:p>
      <w:pPr>
        <w:pStyle w:val="Compact"/>
        <w:numPr>
          <w:numId w:val="1018"/>
          <w:ilvl w:val="0"/>
        </w:numPr>
      </w:pPr>
      <w:r>
        <w:t xml:space="preserve">“Bryophyte” can be “Epiphyte” or “Hemicryptophyte”.</w:t>
      </w:r>
    </w:p>
    <w:p>
      <w:pPr>
        <w:pStyle w:val="Compact"/>
        <w:numPr>
          <w:numId w:val="1018"/>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64" w:name="iucnstatus"/>
      <w:bookmarkEnd w:id="64"/>
      <w:r>
        <w:t xml:space="preserve">IUCNStatus</w:t>
      </w:r>
    </w:p>
    <w:p>
      <w:r>
        <w:t xml:space="preserve">Status of conservation of the species as a whole as per criteria of the International Union for the Conservation of Nature (IUCN).</w:t>
      </w:r>
    </w:p>
    <w:p>
      <w:pPr>
        <w:pStyle w:val="Compact"/>
        <w:numPr>
          <w:numId w:val="1020"/>
          <w:ilvl w:val="0"/>
        </w:numPr>
      </w:pPr>
      <w:r>
        <w:t xml:space="preserve">EX - Extinct - no known individuals remaining.</w:t>
      </w:r>
    </w:p>
    <w:p>
      <w:pPr>
        <w:pStyle w:val="Compact"/>
        <w:numPr>
          <w:numId w:val="1020"/>
          <w:ilvl w:val="0"/>
        </w:numPr>
      </w:pPr>
      <w:r>
        <w:t xml:space="preserve">EW - Extinct in Wild - known only to survive in captivity, or as a naturalised population outside its historic range.</w:t>
      </w:r>
    </w:p>
    <w:p>
      <w:pPr>
        <w:pStyle w:val="Compact"/>
        <w:numPr>
          <w:numId w:val="1020"/>
          <w:ilvl w:val="0"/>
        </w:numPr>
      </w:pPr>
      <w:r>
        <w:t xml:space="preserve">CR - Critically Endangered - extremely high risk of extinction in the wild</w:t>
      </w:r>
    </w:p>
    <w:p>
      <w:pPr>
        <w:pStyle w:val="Compact"/>
        <w:numPr>
          <w:numId w:val="1020"/>
          <w:ilvl w:val="0"/>
        </w:numPr>
      </w:pPr>
      <w:r>
        <w:t xml:space="preserve">EN - Endangered - high risk of extinction in the wild.</w:t>
      </w:r>
    </w:p>
    <w:p>
      <w:pPr>
        <w:pStyle w:val="Compact"/>
        <w:numPr>
          <w:numId w:val="1020"/>
          <w:ilvl w:val="0"/>
        </w:numPr>
      </w:pPr>
      <w:r>
        <w:t xml:space="preserve">VU - Vulnerable - high risk of endangerment in the wild.</w:t>
      </w:r>
    </w:p>
    <w:p>
      <w:pPr>
        <w:pStyle w:val="Compact"/>
        <w:numPr>
          <w:numId w:val="1020"/>
          <w:ilvl w:val="0"/>
        </w:numPr>
      </w:pPr>
      <w:r>
        <w:t xml:space="preserve">NT - Near Threatened - likely to become endangered in the near future.</w:t>
      </w:r>
    </w:p>
    <w:p>
      <w:pPr>
        <w:pStyle w:val="Compact"/>
        <w:numPr>
          <w:numId w:val="1020"/>
          <w:ilvl w:val="0"/>
        </w:numPr>
      </w:pPr>
      <w:r>
        <w:t xml:space="preserve">LC - Least Concern - Lowest risk. Does not qualify for a more at risk category. Widespread and abundant taxa are included in this category.</w:t>
      </w:r>
    </w:p>
    <w:p>
      <w:pPr>
        <w:pStyle w:val="Compact"/>
        <w:numPr>
          <w:numId w:val="1020"/>
          <w:ilvl w:val="0"/>
        </w:numPr>
      </w:pPr>
      <w:r>
        <w:t xml:space="preserve">DD - Data Deficient - not enough data to make an assessment of its risk of extinction.</w:t>
      </w:r>
    </w:p>
    <w:p>
      <w:pPr>
        <w:pStyle w:val="Compact"/>
        <w:numPr>
          <w:numId w:val="1020"/>
          <w:ilvl w:val="0"/>
        </w:numPr>
      </w:pPr>
      <w:r>
        <w:t xml:space="preserve">NE - Not Evaluated - has not yet been evaluated against the IUCN criteria.</w:t>
      </w:r>
    </w:p>
    <w:p>
      <w:pPr>
        <w:pStyle w:val="Compact"/>
        <w:numPr>
          <w:numId w:val="1020"/>
          <w:ilvl w:val="0"/>
        </w:numPr>
      </w:pPr>
      <w:r>
        <w:t xml:space="preserve">LR/cd - Lower Risk/conservation dependent - at lower risk of extinction, but requiring conservation intervention to maintain the population. This is an older (1994) category, not used in recent assessments.</w:t>
      </w:r>
    </w:p>
    <w:p>
      <w:pPr>
        <w:pStyle w:val="Compact"/>
        <w:numPr>
          <w:numId w:val="1020"/>
          <w:ilvl w:val="0"/>
        </w:numPr>
      </w:pPr>
      <w:r>
        <w:t xml:space="preserve">LR/nt - Lower Risk/near threatened - at lower risk of extinction, but considered to be near threatened. This is an older (1994) category, not used in recent assessments.</w:t>
      </w:r>
    </w:p>
    <w:p>
      <w:pPr>
        <w:pStyle w:val="Compact"/>
        <w:numPr>
          <w:numId w:val="1020"/>
          <w:ilvl w:val="0"/>
        </w:numPr>
      </w:pPr>
      <w:r>
        <w:t xml:space="preserve">LR/lc - Lower Risk/least concern - at lower risk of extinction, considered to be widespread and abundant. This is an older (1994) category, not used in recent assessments.</w:t>
      </w:r>
    </w:p>
    <w:p>
      <w:r>
        <w:t xml:space="preserve">More detailed information on IUCN Red-list and Wikipedia Red List Categories</w:t>
      </w:r>
    </w:p>
    <w:p>
      <w:r>
        <w:t xml:space="preserve">Several assessments have been carried out since the 1990s. Recent assessments use the 2001 IUCN Red List Categories and Criteria. Version 3.1. However, some taxa included in the current IUCN Red List database have not been reassessed since before 2000 and therefore still use the 1994 IUCN Red List Categories and Criteria. Version 2.3.</w:t>
      </w:r>
    </w:p>
    <w:p>
      <w:r>
        <w:pict>
          <v:rect style="width:0;height:1.5pt" o:hralign="center" o:hrstd="t" o:hr="t"/>
        </w:pict>
      </w:r>
    </w:p>
    <w:p>
      <w:pPr>
        <w:pStyle w:val="Heading2"/>
      </w:pPr>
      <w:bookmarkStart w:id="65" w:name="invasivestatus"/>
      <w:bookmarkEnd w:id="65"/>
      <w:r>
        <w:t xml:space="preserve">InvasiveStatus</w:t>
      </w:r>
    </w:p>
    <w:p>
      <w:r>
        <w:t xml:space="preserve">Records whether the species is present in the Global Invasive Species Database. www.issg.org.</w:t>
      </w:r>
    </w:p>
    <w:p>
      <w:pPr>
        <w:pStyle w:val="Compact"/>
        <w:numPr>
          <w:numId w:val="1021"/>
          <w:ilvl w:val="0"/>
        </w:numPr>
      </w:pPr>
      <w:r>
        <w:t xml:space="preserve">No - Not present in ISSG database.</w:t>
      </w:r>
    </w:p>
    <w:p>
      <w:pPr>
        <w:pStyle w:val="Compact"/>
        <w:numPr>
          <w:numId w:val="1021"/>
          <w:ilvl w:val="0"/>
        </w:numPr>
      </w:pPr>
      <w:r>
        <w:t xml:space="preserve">Yes - Identified as invasive in ISSG database.</w:t>
      </w:r>
    </w:p>
    <w:p>
      <w:r>
        <w:pict>
          <v:rect style="width:0;height:1.5pt" o:hralign="center" o:hrstd="t" o:hr="t"/>
        </w:pict>
      </w:r>
    </w:p>
    <w:p>
      <w:pPr>
        <w:pStyle w:val="Heading2"/>
      </w:pPr>
      <w:bookmarkStart w:id="66" w:name="conservationstatusus"/>
      <w:bookmarkEnd w:id="66"/>
      <w:r>
        <w:t xml:space="preserve">ConservationStatusUS</w:t>
      </w:r>
    </w:p>
    <w:p>
      <w:r>
        <w:t xml:space="preserve">Records the conservation status under the U.S. Endangered Species Act, according to the United States Fisheries and Wildlife Service (</w:t>
      </w:r>
      <w:hyperlink r:id="rId67">
        <w:r>
          <w:rPr>
            <w:rStyle w:val="Link"/>
          </w:rPr>
          <w:t xml:space="preserve">http://www.fws.gov/endangered/</w:t>
        </w:r>
      </w:hyperlink>
      <w:r>
        <w:t xml:space="preserve">). Note that in a few cases this information also applies to species outside of the US territory (e.g. emperor penguin).</w:t>
      </w:r>
    </w:p>
    <w:p>
      <w:pPr>
        <w:pStyle w:val="Compact"/>
        <w:numPr>
          <w:numId w:val="1022"/>
          <w:ilvl w:val="0"/>
        </w:numPr>
      </w:pPr>
      <w:r>
        <w:t xml:space="preserve">EN - Endangered</w:t>
      </w:r>
    </w:p>
    <w:p>
      <w:pPr>
        <w:pStyle w:val="Compact"/>
        <w:numPr>
          <w:numId w:val="1022"/>
          <w:ilvl w:val="0"/>
        </w:numPr>
      </w:pPr>
      <w:r>
        <w:t xml:space="preserve">TH - Threatened</w:t>
      </w:r>
    </w:p>
    <w:p>
      <w:pPr>
        <w:pStyle w:val="Compact"/>
        <w:numPr>
          <w:numId w:val="1022"/>
          <w:ilvl w:val="0"/>
        </w:numPr>
      </w:pPr>
      <w:r>
        <w:t xml:space="preserve">NA - Not classified</w:t>
      </w:r>
    </w:p>
    <w:p>
      <w:r>
        <w:pict>
          <v:rect style="width:0;height:1.5pt" o:hralign="center" o:hrstd="t" o:hr="t"/>
        </w:pict>
      </w:r>
    </w:p>
    <w:p>
      <w:pPr>
        <w:pStyle w:val="Heading2"/>
      </w:pPr>
      <w:bookmarkStart w:id="68" w:name="purposes"/>
      <w:bookmarkEnd w:id="68"/>
      <w:r>
        <w:t xml:space="preserve">Purposes</w:t>
      </w:r>
    </w:p>
    <w:p>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r>
        <w:t xml:space="preserve">We have categorised the purposes as follows:</w:t>
      </w:r>
    </w:p>
    <w:p>
      <w:pPr>
        <w:pStyle w:val="Compact"/>
        <w:numPr>
          <w:numId w:val="1023"/>
          <w:ilvl w:val="0"/>
        </w:numPr>
      </w:pPr>
      <w:r>
        <w:t xml:space="preserve">Comparative demography - When the authors studied two or more species</w:t>
      </w:r>
    </w:p>
    <w:p>
      <w:pPr>
        <w:pStyle w:val="Compact"/>
        <w:numPr>
          <w:numId w:val="1023"/>
          <w:ilvl w:val="0"/>
        </w:numPr>
      </w:pPr>
      <w:r>
        <w:t xml:space="preserve">Spatial demography - When the authors studied the demography of two or more populations within the same species</w:t>
      </w:r>
    </w:p>
    <w:p>
      <w:pPr>
        <w:pStyle w:val="Compact"/>
        <w:numPr>
          <w:numId w:val="1023"/>
          <w:ilvl w:val="0"/>
        </w:numPr>
      </w:pPr>
      <w:r>
        <w:t xml:space="preserve">Abiotic impacts - When the authors studied the effects of abiotic factors (e.g fire, hurricanes, rain, fertilisers, droughts, etc)</w:t>
      </w:r>
    </w:p>
    <w:p>
      <w:pPr>
        <w:pStyle w:val="Compact"/>
        <w:numPr>
          <w:numId w:val="1023"/>
          <w:ilvl w:val="0"/>
        </w:numPr>
      </w:pPr>
      <w:r>
        <w:t xml:space="preserve">PVA - When the authors report a Population Viability Analysis of an endangered species</w:t>
      </w:r>
    </w:p>
    <w:p>
      <w:pPr>
        <w:pStyle w:val="Compact"/>
        <w:numPr>
          <w:numId w:val="1023"/>
          <w:ilvl w:val="0"/>
        </w:numPr>
      </w:pPr>
      <w:r>
        <w:t xml:space="preserve">Species dynamics description - When there is no actual treatment in the study (Unmanipulated). Instead, the goal was to describe the natural dynamics of a species</w:t>
      </w:r>
    </w:p>
    <w:p>
      <w:pPr>
        <w:pStyle w:val="Compact"/>
        <w:numPr>
          <w:numId w:val="1023"/>
          <w:ilvl w:val="0"/>
        </w:numPr>
      </w:pPr>
      <w:r>
        <w:t xml:space="preserve">Interspecific interactions - When the authors studied the interactions between different species (e.g herbivory, pollinators, inter-specific competition, predation, parasitism, etc)</w:t>
      </w:r>
    </w:p>
    <w:p>
      <w:pPr>
        <w:pStyle w:val="Compact"/>
        <w:numPr>
          <w:numId w:val="1023"/>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3"/>
          <w:ilvl w:val="0"/>
        </w:numPr>
      </w:pPr>
      <w:r>
        <w:t xml:space="preserve">Methodological advancement - When the novelty of the paper is not an ecological question, but mostly to introduce a new mathematical tool often using already published matrices</w:t>
      </w:r>
    </w:p>
    <w:p>
      <w:r>
        <w:pict>
          <v:rect style="width:0;height:1.5pt" o:hralign="center" o:hrstd="t" o:hr="t"/>
        </w:pict>
      </w:r>
    </w:p>
    <w:p>
      <w:pPr>
        <w:pStyle w:val="Heading2"/>
      </w:pPr>
      <w:bookmarkStart w:id="69" w:name="treatment"/>
      <w:bookmarkEnd w:id="69"/>
      <w:r>
        <w:t xml:space="preserve">Treatment</w:t>
      </w:r>
    </w:p>
    <w:p>
      <w:r>
        <w:t xml:space="preserve">Records any treatments of any kind other than control/unmanipulated. Be concise with the treatment description. Multiple treatments should be separated with a semi-colon ";". Enter "No" if the matrices are only obtained from unmanipulated conditions (for definition of "unmanipulated" see "MatrixTreatment" below).</w:t>
      </w:r>
    </w:p>
    <w:p>
      <w:r>
        <w:pict>
          <v:rect style="width:0;height:1.5pt" o:hralign="center" o:hrstd="t" o:hr="t"/>
        </w:pict>
      </w:r>
    </w:p>
    <w:p>
      <w:pPr>
        <w:pStyle w:val="Heading2"/>
      </w:pPr>
      <w:bookmarkStart w:id="70" w:name="studystart"/>
      <w:bookmarkEnd w:id="70"/>
      <w:r>
        <w:t xml:space="preserve">StudyStart</w:t>
      </w:r>
    </w:p>
    <w:p>
      <w:r>
        <w:t xml:space="preserve">Records the first year of the study, e.g. 2008</w:t>
      </w:r>
    </w:p>
    <w:p>
      <w:r>
        <w:pict>
          <v:rect style="width:0;height:1.5pt" o:hralign="center" o:hrstd="t" o:hr="t"/>
        </w:pict>
      </w:r>
    </w:p>
    <w:p>
      <w:pPr>
        <w:pStyle w:val="Heading2"/>
      </w:pPr>
      <w:bookmarkStart w:id="71" w:name="studyend"/>
      <w:bookmarkEnd w:id="71"/>
      <w:r>
        <w:t xml:space="preserve">StudyEnd</w:t>
      </w:r>
    </w:p>
    <w:p>
      <w:r>
        <w:t xml:space="preserve">Records the last year of the study, e.g. 2012</w:t>
      </w:r>
    </w:p>
    <w:p>
      <w:r>
        <w:pict>
          <v:rect style="width:0;height:1.5pt" o:hralign="center" o:hrstd="t" o:hr="t"/>
        </w:pict>
      </w:r>
    </w:p>
    <w:p>
      <w:pPr>
        <w:pStyle w:val="Heading2"/>
      </w:pPr>
      <w:bookmarkStart w:id="72" w:name="studyduration"/>
      <w:bookmarkEnd w:id="72"/>
      <w:r>
        <w:t xml:space="preserve">StudyDuration</w:t>
      </w:r>
    </w:p>
    <w:p>
      <w:r>
        <w:t xml:space="preserve">Records the number of years of observation, e.g. 5. 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73" w:name="annualperiodicity"/>
      <w:bookmarkEnd w:id="73"/>
      <w:r>
        <w:t xml:space="preserve">AnnualPeriodicity</w:t>
      </w:r>
    </w:p>
    <w:p>
      <w:r>
        <w:t xml:space="preserve">Frequency with which seasonal or annual the matrix population model was constructed. For example:</w:t>
      </w:r>
    </w:p>
    <w:p>
      <w:pPr>
        <w:pStyle w:val="Compact"/>
        <w:numPr>
          <w:numId w:val="1024"/>
          <w:ilvl w:val="0"/>
        </w:numPr>
      </w:pPr>
      <w:r>
        <w:t xml:space="preserve">1 - Once a year</w:t>
      </w:r>
    </w:p>
    <w:p>
      <w:pPr>
        <w:pStyle w:val="Compact"/>
        <w:numPr>
          <w:numId w:val="1024"/>
          <w:ilvl w:val="0"/>
        </w:numPr>
      </w:pPr>
      <w:r>
        <w:t xml:space="preserve">2 - Twice per year (e.g. in January and in June)</w:t>
      </w:r>
    </w:p>
    <w:p>
      <w:pPr>
        <w:pStyle w:val="Compact"/>
        <w:numPr>
          <w:numId w:val="1024"/>
          <w:ilvl w:val="0"/>
        </w:numPr>
      </w:pPr>
      <w:r>
        <w:t xml:space="preserve">0.2 - Once every five years</w:t>
      </w:r>
    </w:p>
    <w:p>
      <w:pPr>
        <w:pStyle w:val="Compact"/>
        <w:numPr>
          <w:numId w:val="1024"/>
          <w:ilvl w:val="0"/>
        </w:numPr>
      </w:pPr>
      <w:r>
        <w:t xml:space="preserve">? - Other annual periodicities</w:t>
      </w:r>
    </w:p>
    <w:p>
      <w:r>
        <w:t xml:space="preserve">Annual periodicities can be calculated as follows: If the study site has been visited more than once a year calculate</w:t>
      </w:r>
      <w:r>
        <w:t xml:space="preserve"> </w:t>
      </w:r>
      <m:oMath>
        <m:r>
          <m:rPr>
            <m:sty m:val="p"/>
          </m:rPr>
          <m:t>1</m:t>
        </m:r>
        <m:r>
          <m:rPr>
            <m:sty m:val="p"/>
          </m:rPr>
          <m:t>*</m:t>
        </m:r>
        <m:r>
          <m:rPr>
            <m:sty m:val="p"/>
          </m:rPr>
          <m:t>N</m:t>
        </m:r>
      </m:oMath>
      <w:r>
        <w:t xml:space="preserve">, where N is the number of visits to the site per year, e.g.</w:t>
      </w:r>
      <w:r>
        <w:t xml:space="preserve"> </w:t>
      </w:r>
      <m:oMath>
        <m:r>
          <m:rPr>
            <m:sty m:val="p"/>
          </m:rPr>
          <m:t>1</m:t>
        </m:r>
        <m:r>
          <m:rPr>
            <m:sty m:val="p"/>
          </m:rPr>
          <m:t>*</m:t>
        </m:r>
        <m:r>
          <m:rPr>
            <m:sty m:val="p"/>
          </m:rPr>
          <m:t>2</m:t>
        </m:r>
        <m:r>
          <m:rPr>
            <m:sty m:val="p"/>
          </m:rPr>
          <m:t>=</m:t>
        </m:r>
        <m:r>
          <m:rPr>
            <m:sty m:val="p"/>
          </m:rPr>
          <m:t>2</m:t>
        </m:r>
      </m:oMath>
      <w:r>
        <w:t xml:space="preserve">. If the study site has been revisited less than once per year calculate</w:t>
      </w:r>
      <w:r>
        <w:t xml:space="preserve"> </w:t>
      </w:r>
      <m:oMath>
        <m:r>
          <m:rPr>
            <m:sty m:val="p"/>
          </m:rPr>
          <m:t>1</m:t>
        </m:r>
        <m:r>
          <m:rPr>
            <m:sty m:val="p"/>
          </m:rPr>
          <m:t>/</m:t>
        </m:r>
        <m:r>
          <m:rPr>
            <m:sty m:val="p"/>
          </m:rPr>
          <m:t>Y</m:t>
        </m:r>
      </m:oMath>
      <w:r>
        <w:t xml:space="preserve">, where Y is the number of years, e.g.</w:t>
      </w:r>
      <w:r>
        <w:t xml:space="preserve"> </w:t>
      </w:r>
      <m:oMath>
        <m:r>
          <m:rPr>
            <m:sty m:val="p"/>
          </m:rPr>
          <m:t>1</m:t>
        </m:r>
        <m:r>
          <m:rPr>
            <m:sty m:val="p"/>
          </m:rPr>
          <m:t>/</m:t>
        </m:r>
        <m:r>
          <m:rPr>
            <m:sty m:val="p"/>
          </m:rPr>
          <m:t>5</m:t>
        </m:r>
        <m:r>
          <m:rPr>
            <m:sty m:val="p"/>
          </m:rPr>
          <m:t>=</m:t>
        </m:r>
        <m:r>
          <m:rPr>
            <m:sty m:val="p"/>
          </m:rPr>
          <m:t>0</m:t>
        </m:r>
        <m:r>
          <m:rPr>
            <m:sty m:val="p"/>
          </m:rPr>
          <m:t>.</m:t>
        </m:r>
        <m:r>
          <m:rPr>
            <m:sty m:val="p"/>
          </m:rPr>
          <m:t>2</m:t>
        </m:r>
      </m:oMath>
      <w:r>
        <w:t xml:space="preserve">.</w:t>
      </w:r>
    </w:p>
    <w:p>
      <w:r>
        <w:pict>
          <v:rect style="width:0;height:1.5pt" o:hralign="center" o:hrstd="t" o:hr="t"/>
        </w:pict>
      </w:r>
    </w:p>
    <w:p>
      <w:pPr>
        <w:pStyle w:val="Heading2"/>
      </w:pPr>
      <w:bookmarkStart w:id="74" w:name="numberpopulations"/>
      <w:bookmarkEnd w:id="74"/>
      <w:r>
        <w:t xml:space="preserve">NumberPopulations</w:t>
      </w:r>
    </w:p>
    <w:p>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75" w:name="withinsitereplication"/>
      <w:bookmarkEnd w:id="75"/>
      <w:r>
        <w:t xml:space="preserve">WithinSiteReplication</w:t>
      </w:r>
    </w:p>
    <w:p>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76" w:name="matrixcriteriasize"/>
      <w:bookmarkEnd w:id="76"/>
      <w:r>
        <w:t xml:space="preserve">MatrixCriteriaSize</w:t>
      </w:r>
    </w:p>
    <w:p>
      <w:r>
        <w:t xml:space="preserve">Records whether the matrix model is based on size (e.g. stem length/number, body length/mass, etc).</w:t>
      </w:r>
    </w:p>
    <w:p>
      <w:pPr>
        <w:pStyle w:val="Compact"/>
        <w:numPr>
          <w:numId w:val="1025"/>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5"/>
          <w:ilvl w:val="0"/>
        </w:numPr>
      </w:pPr>
      <w:r>
        <w:t xml:space="preserve">No - The matrix population model is not based on size.</w:t>
      </w:r>
    </w:p>
    <w:p>
      <w:r>
        <w:pict>
          <v:rect style="width:0;height:1.5pt" o:hralign="center" o:hrstd="t" o:hr="t"/>
        </w:pict>
      </w:r>
    </w:p>
    <w:p>
      <w:pPr>
        <w:pStyle w:val="Heading2"/>
      </w:pPr>
      <w:bookmarkStart w:id="77" w:name="matrixcriteriaontogeny"/>
      <w:bookmarkEnd w:id="77"/>
      <w:r>
        <w:t xml:space="preserve">MatrixCriteriaOntogeny</w:t>
      </w:r>
    </w:p>
    <w:p>
      <w:r>
        <w:t xml:space="preserve">Records whether the matrix model is based on ontogenetic stage (e.g. seedbank, reproductive, vegetative, dormant, etc).</w:t>
      </w:r>
    </w:p>
    <w:p>
      <w:pPr>
        <w:pStyle w:val="Compact"/>
        <w:numPr>
          <w:numId w:val="1026"/>
          <w:ilvl w:val="0"/>
        </w:numPr>
      </w:pPr>
      <w:r>
        <w:t xml:space="preserve">Yes - The matrix population model contains at least one class that is based on development/ontogeny (e.g. seedbank, reproductive, vegetative, dormant, etc).</w:t>
      </w:r>
    </w:p>
    <w:p>
      <w:pPr>
        <w:pStyle w:val="Compact"/>
        <w:numPr>
          <w:numId w:val="1026"/>
          <w:ilvl w:val="0"/>
        </w:numPr>
      </w:pPr>
      <w:r>
        <w:t xml:space="preserve">No - Matrix population model is not based on ontogeny.</w:t>
      </w:r>
    </w:p>
    <w:p>
      <w:pPr>
        <w:pStyle w:val="Compact"/>
        <w:numPr>
          <w:numId w:val="1026"/>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78" w:name="matrixcriteriaage"/>
      <w:bookmarkEnd w:id="78"/>
      <w:r>
        <w:t xml:space="preserve">MatrixCriteriaAge</w:t>
      </w:r>
    </w:p>
    <w:p>
      <w:r>
        <w:t xml:space="preserve">Records whether there are any classes that are based on age.</w:t>
      </w:r>
    </w:p>
    <w:p>
      <w:pPr>
        <w:pStyle w:val="Compact"/>
        <w:numPr>
          <w:numId w:val="1027"/>
          <w:ilvl w:val="0"/>
        </w:numPr>
      </w:pPr>
      <w:r>
        <w:t xml:space="preserve">Yes - The matrix population model contains at least one class that is based on age (e.g. individuals of 0 year old)</w:t>
      </w:r>
    </w:p>
    <w:p>
      <w:pPr>
        <w:pStyle w:val="Compact"/>
        <w:numPr>
          <w:numId w:val="1027"/>
          <w:ilvl w:val="0"/>
        </w:numPr>
      </w:pPr>
      <w:r>
        <w:t xml:space="preserve">No - The matrix population model is not based on age</w:t>
      </w:r>
    </w:p>
    <w:p>
      <w:pPr>
        <w:pStyle w:val="Compact"/>
        <w:numPr>
          <w:numId w:val="1027"/>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2"/>
      </w:pPr>
      <w:bookmarkStart w:id="79" w:name="taxonomy-columns"/>
      <w:bookmarkEnd w:id="79"/>
      <w:r>
        <w:t xml:space="preserve">Taxonomy columns</w:t>
      </w:r>
    </w:p>
    <w:p>
      <w:r>
        <w:t xml:space="preserve">This series of 22 columns includes taxonomic information.</w:t>
      </w:r>
    </w:p>
    <w:p>
      <w:pPr>
        <w:pStyle w:val="Compact"/>
        <w:numPr>
          <w:numId w:val="1028"/>
          <w:ilvl w:val="0"/>
        </w:numPr>
      </w:pPr>
      <w:r>
        <w:t xml:space="preserve">Kingdom - Kingdom to which species belongs.</w:t>
      </w:r>
    </w:p>
    <w:p>
      <w:pPr>
        <w:pStyle w:val="Compact"/>
        <w:numPr>
          <w:numId w:val="1028"/>
          <w:ilvl w:val="0"/>
        </w:numPr>
      </w:pPr>
      <w:r>
        <w:t xml:space="preserve">Phylum - Phylum to which species belongs e.g. Magnoliophyta.</w:t>
      </w:r>
    </w:p>
    <w:p>
      <w:pPr>
        <w:pStyle w:val="Compact"/>
        <w:numPr>
          <w:numId w:val="1028"/>
          <w:ilvl w:val="0"/>
        </w:numPr>
      </w:pPr>
      <w:r>
        <w:t xml:space="preserve">AngioGymno Whether species is an angiosperm or a gymnosperm (record Angiosperm or Gymnosperm). If it is neither angiosperm nor gymnosperm fill in NA.</w:t>
      </w:r>
    </w:p>
    <w:p>
      <w:pPr>
        <w:pStyle w:val="Compact"/>
        <w:numPr>
          <w:numId w:val="1028"/>
          <w:ilvl w:val="0"/>
        </w:numPr>
      </w:pPr>
      <w:r>
        <w:t xml:space="preserve">DicotMonoc - Whether species is a dicot or monocot (record Eudicot or Monocot). If species is neither dicot nor monocot (i.e. if it is not an angiosperm) fill in NA.</w:t>
      </w:r>
    </w:p>
    <w:p>
      <w:pPr>
        <w:pStyle w:val="Compact"/>
        <w:numPr>
          <w:numId w:val="1028"/>
          <w:ilvl w:val="0"/>
        </w:numPr>
      </w:pPr>
      <w:r>
        <w:t xml:space="preserve">Class - Class to which species belongs e.g. Magnoliopsida.</w:t>
      </w:r>
    </w:p>
    <w:p>
      <w:pPr>
        <w:pStyle w:val="Compact"/>
        <w:numPr>
          <w:numId w:val="1028"/>
          <w:ilvl w:val="0"/>
        </w:numPr>
      </w:pPr>
      <w:r>
        <w:t xml:space="preserve">Family - Family to which species belongs e.g. Polygonaceae.</w:t>
      </w:r>
    </w:p>
    <w:p>
      <w:pPr>
        <w:pStyle w:val="Compact"/>
        <w:numPr>
          <w:numId w:val="1028"/>
          <w:ilvl w:val="0"/>
        </w:numPr>
      </w:pPr>
      <w:r>
        <w:t xml:space="preserve">Order - Order to which species belongs e.g. Caryophyllales.</w:t>
      </w:r>
    </w:p>
    <w:p>
      <w:pPr>
        <w:pStyle w:val="Compact"/>
        <w:numPr>
          <w:numId w:val="1028"/>
          <w:ilvl w:val="0"/>
        </w:numPr>
      </w:pPr>
      <w:r>
        <w:t xml:space="preserve">Genus - Genus used in SpeciesAuthor e.g. Chorizanthe.</w:t>
      </w:r>
    </w:p>
    <w:p>
      <w:pPr>
        <w:pStyle w:val="Compact"/>
        <w:numPr>
          <w:numId w:val="1028"/>
          <w:ilvl w:val="0"/>
        </w:numPr>
      </w:pPr>
      <w:r>
        <w:t xml:space="preserve">SpeciesAccepted - Currently accepted Latin name. This information is is obtained from The Plant List.</w:t>
      </w:r>
    </w:p>
    <w:p>
      <w:pPr>
        <w:pStyle w:val="Compact"/>
        <w:numPr>
          <w:numId w:val="1028"/>
          <w:ilvl w:val="0"/>
        </w:numPr>
      </w:pPr>
      <w:r>
        <w:t xml:space="preserve">GenusAccepted Taxonomic genus name of study SpeciesAccepted, as per The Plant List.</w:t>
      </w:r>
    </w:p>
    <w:p>
      <w:pPr>
        <w:pStyle w:val="Compact"/>
        <w:numPr>
          <w:numId w:val="1028"/>
          <w:ilvl w:val="0"/>
        </w:numPr>
      </w:pPr>
      <w:r>
        <w:t xml:space="preserve">SpeciesEpithetAccepted Taxonomic species epithet name of study SpeciesAccepted (see above), as per The Plant List epithet e.g. pungens</w:t>
      </w:r>
    </w:p>
    <w:p>
      <w:pPr>
        <w:pStyle w:val="Compact"/>
        <w:numPr>
          <w:numId w:val="1028"/>
          <w:ilvl w:val="0"/>
        </w:numPr>
      </w:pPr>
      <w:r>
        <w:t xml:space="preserve">InfraspecificAccepted Taxonomic infraspecific name of study SpeciesAccepted, as per The Plant List infraspecies e.g. pungens.</w:t>
      </w:r>
    </w:p>
    <w:p>
      <w:pPr>
        <w:pStyle w:val="Compact"/>
        <w:numPr>
          <w:numId w:val="1028"/>
          <w:ilvl w:val="0"/>
        </w:numPr>
      </w:pPr>
      <w:r>
        <w:t xml:space="preserve">TPLVersion - Version of The Plant List used for taxonomic validation 1.0 Version 1.0</w:t>
      </w:r>
    </w:p>
    <w:p>
      <w:pPr>
        <w:pStyle w:val="Compact"/>
        <w:numPr>
          <w:numId w:val="1028"/>
          <w:ilvl w:val="0"/>
        </w:numPr>
      </w:pPr>
      <w:r>
        <w:t xml:space="preserve">TaxonomicStatus - Taxonomic correspondence of SpeciesAuthor with SpeciesAccepted (above). Possible values include, NoMatch; Unresolved; Accepted; Synonym.</w:t>
      </w:r>
    </w:p>
    <w:p>
      <w:pPr>
        <w:pStyle w:val="Compact"/>
        <w:numPr>
          <w:numId w:val="1028"/>
          <w:ilvl w:val="0"/>
        </w:numPr>
      </w:pPr>
      <w:r>
        <w:t xml:space="preserve">NewGenus</w:t>
      </w:r>
    </w:p>
    <w:p>
      <w:pPr>
        <w:pStyle w:val="Compact"/>
        <w:numPr>
          <w:numId w:val="1028"/>
          <w:ilvl w:val="0"/>
        </w:numPr>
      </w:pPr>
      <w:r>
        <w:t xml:space="preserve">NewSpecies</w:t>
      </w:r>
    </w:p>
    <w:p>
      <w:pPr>
        <w:pStyle w:val="Compact"/>
        <w:numPr>
          <w:numId w:val="1028"/>
          <w:ilvl w:val="0"/>
        </w:numPr>
      </w:pPr>
      <w:r>
        <w:t xml:space="preserve">NewInfraspecific</w:t>
      </w:r>
    </w:p>
    <w:p>
      <w:pPr>
        <w:pStyle w:val="Compact"/>
        <w:numPr>
          <w:numId w:val="1028"/>
          <w:ilvl w:val="0"/>
        </w:numPr>
      </w:pPr>
      <w:r>
        <w:t xml:space="preserve">Authority - Taxonomic authority of SpeciesAccepted, as per The Plant List or Catalogue of Life.</w:t>
      </w:r>
    </w:p>
    <w:p>
      <w:pPr>
        <w:pStyle w:val="Compact"/>
        <w:numPr>
          <w:numId w:val="1028"/>
          <w:ilvl w:val="0"/>
        </w:numPr>
      </w:pPr>
      <w:r>
        <w:t xml:space="preserve">Typo</w:t>
      </w:r>
    </w:p>
    <w:p>
      <w:pPr>
        <w:pStyle w:val="Compact"/>
        <w:numPr>
          <w:numId w:val="1028"/>
          <w:ilvl w:val="0"/>
        </w:numPr>
      </w:pPr>
      <w:r>
        <w:t xml:space="preserve">WFormat</w:t>
      </w:r>
    </w:p>
    <w:p>
      <w:r>
        <w:t xml:space="preserve">Those variables will be digitised and checked frequently by the database curators.</w:t>
      </w:r>
    </w:p>
    <w:p>
      <w:r>
        <w:t xml:space="preserve">For COMPADRinos to get an idea of what kingdom, class etc means:</w:t>
      </w:r>
    </w:p>
    <w:p>
      <w:r>
        <w:drawing>
          <wp:inline>
            <wp:extent cx="2374900" cy="6096000"/>
            <wp:effectExtent b="0" l="0" r="0" t="0"/>
            <wp:docPr descr=""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80"/>
                    <a:stretch>
                      <a:fillRect/>
                    </a:stretch>
                  </pic:blipFill>
                  <pic:spPr bwMode="auto">
                    <a:xfrm>
                      <a:off x="0" y="0"/>
                      <a:ext cx="2374900" cy="6096000"/>
                    </a:xfrm>
                    <a:prstGeom prst="rect">
                      <a:avLst/>
                    </a:prstGeom>
                    <a:noFill/>
                    <a:ln w="9525">
                      <a:noFill/>
                      <a:headEnd/>
                      <a:tailEnd/>
                    </a:ln>
                  </pic:spPr>
                </pic:pic>
              </a:graphicData>
            </a:graphic>
          </wp:inline>
        </w:drawing>
      </w:r>
    </w:p>
    <w:p>
      <w:r>
        <w:pict>
          <v:rect style="width:0;height:1.5pt" o:hralign="center" o:hrstd="t" o:hr="t"/>
        </w:pict>
      </w:r>
    </w:p>
    <w:p>
      <w:pPr>
        <w:pStyle w:val="Heading1"/>
      </w:pPr>
      <w:bookmarkStart w:id="81" w:name="stacked-matrix-files"/>
      <w:bookmarkEnd w:id="81"/>
      <w:r>
        <w:t xml:space="preserve">STACKED MATRIX FILES</w:t>
      </w:r>
    </w:p>
    <w:p>
      <w:r>
        <w:pict>
          <v:rect style="width:0;height:1.5pt" o:hralign="center" o:hrstd="t" o:hr="t"/>
        </w:pict>
      </w:r>
    </w:p>
    <w:p>
      <w:pPr>
        <w:pStyle w:val="Heading2"/>
      </w:pPr>
      <w:bookmarkStart w:id="82" w:name="enteredby"/>
      <w:bookmarkEnd w:id="82"/>
      <w:r>
        <w:t xml:space="preserve">EnteredBy</w:t>
      </w:r>
    </w:p>
    <w:p>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83" w:name="entereddate"/>
      <w:bookmarkEnd w:id="83"/>
      <w:r>
        <w:t xml:space="preserve">EnteredDate</w:t>
      </w:r>
    </w:p>
    <w:p>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84" w:name="source"/>
      <w:bookmarkEnd w:id="84"/>
      <w:r>
        <w:t xml:space="preserve">Source</w:t>
      </w:r>
    </w:p>
    <w:p>
      <w:r>
        <w:t xml:space="preserve">Origin of data. If sources other than those below are used, a short but useful description should be given. The aim of this column is that everybody can find the related information ASAP e.g. if something needs to be fixed.</w:t>
      </w:r>
    </w:p>
    <w:p>
      <w:pPr>
        <w:pStyle w:val="Compact"/>
        <w:numPr>
          <w:numId w:val="1029"/>
          <w:ilvl w:val="0"/>
        </w:numPr>
      </w:pPr>
      <w:r>
        <w:t xml:space="preserve">Author communication - Matrices derived from personal communication with author.</w:t>
      </w:r>
    </w:p>
    <w:p>
      <w:pPr>
        <w:pStyle w:val="Compact"/>
        <w:numPr>
          <w:numId w:val="1029"/>
          <w:ilvl w:val="0"/>
        </w:numPr>
      </w:pPr>
      <w:r>
        <w:t xml:space="preserve">Paper - Matrices derived from a published manuscript</w:t>
      </w:r>
    </w:p>
    <w:p>
      <w:pPr>
        <w:pStyle w:val="Compact"/>
        <w:numPr>
          <w:numId w:val="1029"/>
          <w:ilvl w:val="0"/>
        </w:numPr>
      </w:pPr>
      <w:r>
        <w:t xml:space="preserve">Old matrices - Matrices derived from an old matrices file (no more detailed description is available)</w:t>
      </w:r>
    </w:p>
    <w:p>
      <w:pPr>
        <w:pStyle w:val="Compact"/>
        <w:numPr>
          <w:numId w:val="1029"/>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29"/>
          <w:ilvl w:val="0"/>
        </w:numPr>
      </w:pPr>
      <w:r>
        <w:t xml:space="preserve">Online appendix - Matrices derived from the online appendix of publication</w:t>
      </w:r>
    </w:p>
    <w:p>
      <w:pPr>
        <w:pStyle w:val="Compact"/>
        <w:numPr>
          <w:numId w:val="1029"/>
          <w:ilvl w:val="0"/>
        </w:numPr>
      </w:pPr>
      <w:r>
        <w:t xml:space="preserve">Book - Matrices derived from a book</w:t>
      </w:r>
    </w:p>
    <w:p>
      <w:pPr>
        <w:pStyle w:val="Compact"/>
        <w:numPr>
          <w:numId w:val="1029"/>
          <w:ilvl w:val="0"/>
        </w:numPr>
      </w:pPr>
      <w:r>
        <w:t xml:space="preserve">Other sources - Matrices derived from any other source.</w:t>
      </w:r>
    </w:p>
    <w:p>
      <w:r>
        <w:pict>
          <v:rect style="width:0;height:1.5pt" o:hralign="center" o:hrstd="t" o:hr="t"/>
        </w:pict>
      </w:r>
    </w:p>
    <w:p>
      <w:pPr>
        <w:pStyle w:val="Heading2"/>
      </w:pPr>
      <w:bookmarkStart w:id="85" w:name="speciesauthor-1"/>
      <w:bookmarkEnd w:id="85"/>
      <w:r>
        <w:t xml:space="preserve">SpeciesAuthor</w:t>
      </w:r>
    </w:p>
    <w:p>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86" w:name="studiedsex"/>
      <w:bookmarkEnd w:id="86"/>
      <w:r>
        <w:t xml:space="preserve">StudiedSex</w:t>
      </w:r>
    </w:p>
    <w:p>
      <w:r>
        <w:t xml:space="preserve">Indication of the sex(es) considered when constructing the matrix population model.</w:t>
      </w:r>
    </w:p>
    <w:p>
      <w:pPr>
        <w:pStyle w:val="Compact"/>
        <w:numPr>
          <w:numId w:val="1030"/>
          <w:ilvl w:val="0"/>
        </w:numPr>
      </w:pPr>
      <w:r>
        <w:t xml:space="preserve">M - Studied only males</w:t>
      </w:r>
    </w:p>
    <w:p>
      <w:pPr>
        <w:pStyle w:val="Compact"/>
        <w:numPr>
          <w:numId w:val="1030"/>
          <w:ilvl w:val="0"/>
        </w:numPr>
      </w:pPr>
      <w:r>
        <w:t xml:space="preserve">F - Studied only females</w:t>
      </w:r>
    </w:p>
    <w:p>
      <w:pPr>
        <w:pStyle w:val="Compact"/>
        <w:numPr>
          <w:numId w:val="1030"/>
          <w:ilvl w:val="0"/>
        </w:numPr>
      </w:pPr>
      <w:r>
        <w:t xml:space="preserve">H - Hermaphrodites</w:t>
      </w:r>
    </w:p>
    <w:p>
      <w:pPr>
        <w:pStyle w:val="Compact"/>
        <w:numPr>
          <w:numId w:val="1030"/>
          <w:ilvl w:val="0"/>
        </w:numPr>
      </w:pPr>
      <w:r>
        <w:t xml:space="preserve">M/F - Males and females separately in the same population matrix model</w:t>
      </w:r>
    </w:p>
    <w:p>
      <w:pPr>
        <w:pStyle w:val="Compact"/>
        <w:numPr>
          <w:numId w:val="1030"/>
          <w:ilvl w:val="0"/>
        </w:numPr>
      </w:pPr>
      <w:r>
        <w:t xml:space="preserve">A - All sexes together</w:t>
      </w:r>
    </w:p>
    <w:p>
      <w:r>
        <w:pict>
          <v:rect style="width:0;height:1.5pt" o:hralign="center" o:hrstd="t" o:hr="t"/>
        </w:pict>
      </w:r>
    </w:p>
    <w:p>
      <w:pPr>
        <w:pStyle w:val="Heading2"/>
      </w:pPr>
      <w:bookmarkStart w:id="87" w:name="matrixcomposite"/>
      <w:bookmarkEnd w:id="87"/>
      <w:r>
        <w:t xml:space="preserve">MatrixComposite</w:t>
      </w:r>
    </w:p>
    <w:p>
      <w:r>
        <w:t xml:space="preserve">Indicates the type of matrix population model (See the figure below for more information).</w:t>
      </w:r>
    </w:p>
    <w:p>
      <w:pPr>
        <w:pStyle w:val="Compact"/>
        <w:numPr>
          <w:numId w:val="1031"/>
          <w:ilvl w:val="0"/>
        </w:numPr>
      </w:pPr>
      <w:r>
        <w:t xml:space="preserve">Individual - A matrix population model constructed for a single study × species × population × treatment × period combination</w:t>
      </w:r>
    </w:p>
    <w:p>
      <w:pPr>
        <w:pStyle w:val="Compact"/>
        <w:numPr>
          <w:numId w:val="1031"/>
          <w:ilvl w:val="0"/>
        </w:numPr>
      </w:pPr>
      <w:r>
        <w:t xml:space="preserve">Mean - An average (arithmetic mean) of other matrix population models (e.g. element-by-element arithmetic mean of a population's matrices across several time periods available)</w:t>
      </w:r>
    </w:p>
    <w:p>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32"/>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32"/>
          <w:ilvl w:val="0"/>
        </w:numPr>
      </w:pPr>
      <w:r>
        <w:t xml:space="preserve">Seasonal - A matrix population model that does not describe a full annual transition, but rather a seasonal (&lt; 1 yr) transition</w:t>
      </w:r>
    </w:p>
    <w:p>
      <w:r>
        <w:t xml:space="preserve">A matrix can be seasonal even if a it is constructed over several years e.g. spring in years 2000-2012. Make sure you detail that there are multiple years data in the observation column.</w:t>
      </w:r>
    </w:p>
    <w:p>
      <w:r>
        <w:drawing>
          <wp:inline>
            <wp:extent cx="5440680" cy="3848436"/>
            <wp:effectExtent b="0" l="0" r="0" t="0"/>
            <wp:docPr descr="" id="1" name="Picture"/>
            <a:graphic>
              <a:graphicData uri="http://schemas.openxmlformats.org/drawingml/2006/picture">
                <pic:pic>
                  <pic:nvPicPr>
                    <pic:cNvPr descr="images/MatrixComposite.png" id="0" name="Picture"/>
                    <pic:cNvPicPr>
                      <a:picLocks noChangeArrowheads="1" noChangeAspect="1"/>
                    </pic:cNvPicPr>
                  </pic:nvPicPr>
                  <pic:blipFill>
                    <a:blip r:embed="rId88"/>
                    <a:stretch>
                      <a:fillRect/>
                    </a:stretch>
                  </pic:blipFill>
                  <pic:spPr bwMode="auto">
                    <a:xfrm>
                      <a:off x="0" y="0"/>
                      <a:ext cx="5440680" cy="3848436"/>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89" w:name="matrixtreatment"/>
      <w:bookmarkEnd w:id="89"/>
      <w:r>
        <w:t xml:space="preserve">MatrixTreatment</w:t>
      </w:r>
    </w:p>
    <w:p>
      <w:r>
        <w:t xml:space="preserve">Describes if a treatment was applied or not, and the nature of the treatment.</w:t>
      </w:r>
    </w:p>
    <w:p>
      <w:pPr>
        <w:numPr>
          <w:numId w:val="1033"/>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3"/>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90" w:name="matrixcaptivity"/>
      <w:bookmarkEnd w:id="90"/>
      <w:r>
        <w:t xml:space="preserve">MatrixCaptivity</w:t>
      </w:r>
    </w:p>
    <w:p>
      <w:r>
        <w:t xml:space="preserve">Indicates whether the study species was studied in the wild or under controlled conditions for most of its life cycle.</w:t>
      </w:r>
    </w:p>
    <w:p>
      <w:pPr>
        <w:pStyle w:val="Compact"/>
        <w:numPr>
          <w:numId w:val="1034"/>
          <w:ilvl w:val="0"/>
        </w:numPr>
      </w:pPr>
      <w:r>
        <w:rPr>
          <w:b/>
        </w:rPr>
        <w:t xml:space="preserve">W</w:t>
      </w:r>
      <w:r>
        <w:t xml:space="preserve"> </w:t>
      </w:r>
      <w:r>
        <w:t xml:space="preserve">- Wild: the study was carried out in natural conditions.</w:t>
      </w:r>
    </w:p>
    <w:p>
      <w:pPr>
        <w:pStyle w:val="Compact"/>
        <w:numPr>
          <w:numId w:val="1034"/>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4"/>
          <w:ilvl w:val="0"/>
        </w:numPr>
      </w:pPr>
      <w:r>
        <w:rPr>
          <w:b/>
        </w:rPr>
        <w:t xml:space="preserve">CW</w:t>
      </w:r>
      <w:r>
        <w:t xml:space="preserve"> </w:t>
      </w:r>
      <w:r>
        <w:t xml:space="preserve">- Captured from wild: the study was carried out on a population that was captured from wild.</w:t>
      </w:r>
    </w:p>
    <w:p>
      <w:pPr>
        <w:pStyle w:val="Compact"/>
        <w:numPr>
          <w:numId w:val="1034"/>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91" w:name="yearseasonmonth"/>
      <w:bookmarkEnd w:id="91"/>
      <w:r>
        <w:t xml:space="preserve">YEAR/SEASON/MONTH</w:t>
      </w:r>
    </w:p>
    <w:p>
      <w:r>
        <w:t xml:space="preserve">These 6 columns describe the temporal aspects of the study for each matrix.</w:t>
      </w:r>
    </w:p>
    <w:p>
      <w:pPr>
        <w:pStyle w:val="Heading3"/>
      </w:pPr>
      <w:bookmarkStart w:id="92" w:name="matrixstartyear"/>
      <w:bookmarkEnd w:id="92"/>
      <w:r>
        <w:t xml:space="preserve">MatrixStartYear</w:t>
      </w:r>
    </w:p>
    <w:p>
      <w:r>
        <w:t xml:space="preserve">First year of study. Year</w:t>
      </w:r>
      <w:r>
        <w:t xml:space="preserve"> </w:t>
      </w:r>
      <m:oMath>
        <m:r>
          <m:rPr>
            <m:sty m:val="p"/>
          </m:rPr>
          <m:t>t</m:t>
        </m:r>
      </m:oMath>
      <w:r>
        <w:t xml:space="preserve"> </w:t>
      </w:r>
      <w:r>
        <w:t xml:space="preserve">in annual matrix population model that describes population dynamics from time</w:t>
      </w:r>
      <w:r>
        <w:t xml:space="preserve"> </w:t>
      </w:r>
      <m:oMath>
        <m:r>
          <m:rPr>
            <m:sty m:val="p"/>
          </m:rPr>
          <m:t>t</m:t>
        </m:r>
      </m:oMath>
      <w:r>
        <w:t xml:space="preserve"> </w:t>
      </w:r>
      <w:r>
        <w:t xml:space="preserve">to</w:t>
      </w:r>
      <w:r>
        <w:t xml:space="preserve"> </w:t>
      </w:r>
      <m:oMath>
        <m:r>
          <m:rPr>
            <m:sty m:val="p"/>
          </m:rPr>
          <m:t>t</m:t>
        </m:r>
        <m:r>
          <m:rPr>
            <m:sty m:val="p"/>
          </m:rPr>
          <m:t>+</m:t>
        </m:r>
        <m:r>
          <m:rPr>
            <m:sty m:val="p"/>
          </m:rPr>
          <m:t>1</m:t>
        </m:r>
      </m:oMath>
      <w:r>
        <w:t xml:space="preserve">. e.g. 1995.</w:t>
      </w:r>
    </w:p>
    <w:p>
      <w:r>
        <w:pict>
          <v:rect style="width:0;height:1.5pt" o:hralign="center" o:hrstd="t" o:hr="t"/>
        </w:pict>
      </w:r>
    </w:p>
    <w:p>
      <w:pPr>
        <w:pStyle w:val="Heading2"/>
      </w:pPr>
      <w:bookmarkStart w:id="93" w:name="matrixstartseason"/>
      <w:bookmarkEnd w:id="93"/>
      <w:r>
        <w:t xml:space="preserve">MatrixStartSeason</w:t>
      </w:r>
    </w:p>
    <w:p>
      <w:r>
        <w:t xml:space="preserve">Numeric indication of the first season of study. Season</w:t>
      </w:r>
      <w:r>
        <w:t xml:space="preserve"> </w:t>
      </w:r>
      <m:oMath>
        <m:r>
          <m:rPr>
            <m:sty m:val="p"/>
          </m:rPr>
          <m:t>s</m:t>
        </m:r>
      </m:oMath>
      <w:r>
        <w:t xml:space="preserve"> </w:t>
      </w:r>
      <w:r>
        <w:t xml:space="preserve">in periodic matrix population model that describes population dynamics from season</w:t>
      </w:r>
      <w:r>
        <w:t xml:space="preserve"> </w:t>
      </w:r>
      <m:oMath>
        <m:r>
          <m:rPr>
            <m:sty m:val="p"/>
          </m:rPr>
          <m:t>s</m:t>
        </m:r>
      </m:oMath>
      <w:r>
        <w:t xml:space="preserve"> </w:t>
      </w:r>
      <w:r>
        <w:t xml:space="preserve">to</w:t>
      </w:r>
      <w:r>
        <w:t xml:space="preserve"> </w:t>
      </w:r>
      <m:oMath>
        <m:r>
          <m:rPr>
            <m:sty m:val="p"/>
          </m:rPr>
          <m:t>s</m:t>
        </m:r>
        <m:r>
          <m:rPr>
            <m:sty m:val="p"/>
          </m:rPr>
          <m:t>+</m:t>
        </m:r>
        <m:r>
          <m:rPr>
            <m:sty m:val="p"/>
          </m:rP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5"/>
          <w:ilvl w:val="0"/>
        </w:numPr>
      </w:pPr>
      <w:r>
        <w:t xml:space="preserve">Spring</w:t>
      </w:r>
    </w:p>
    <w:p>
      <w:pPr>
        <w:pStyle w:val="Compact"/>
        <w:numPr>
          <w:numId w:val="1035"/>
          <w:ilvl w:val="0"/>
        </w:numPr>
      </w:pPr>
      <w:r>
        <w:t xml:space="preserve">Summer</w:t>
      </w:r>
    </w:p>
    <w:p>
      <w:pPr>
        <w:pStyle w:val="Compact"/>
        <w:numPr>
          <w:numId w:val="1035"/>
          <w:ilvl w:val="0"/>
        </w:numPr>
      </w:pPr>
      <w:r>
        <w:t xml:space="preserve">Autumn or Fall</w:t>
      </w:r>
    </w:p>
    <w:p>
      <w:pPr>
        <w:pStyle w:val="Compact"/>
        <w:numPr>
          <w:numId w:val="1035"/>
          <w:ilvl w:val="0"/>
        </w:numPr>
      </w:pPr>
      <w:r>
        <w:t xml:space="preserve">Winter</w:t>
      </w:r>
    </w:p>
    <w:p>
      <w:r>
        <w:pict>
          <v:rect style="width:0;height:1.5pt" o:hralign="center" o:hrstd="t" o:hr="t"/>
        </w:pict>
      </w:r>
    </w:p>
    <w:p>
      <w:pPr>
        <w:pStyle w:val="Heading2"/>
      </w:pPr>
      <w:bookmarkStart w:id="94" w:name="matrixstartmonth"/>
      <w:bookmarkEnd w:id="94"/>
      <w:r>
        <w:t xml:space="preserve">MatrixStartMonth</w:t>
      </w:r>
    </w:p>
    <w:p>
      <w:r>
        <w:t xml:space="preserve">Numeric indication of the first month of study. Month</w:t>
      </w:r>
      <w:r>
        <w:t xml:space="preserve"> </w:t>
      </w:r>
      <m:oMath>
        <m:r>
          <m:rPr>
            <m:sty m:val="p"/>
          </m:rPr>
          <m:t>m</m:t>
        </m:r>
      </m:oMath>
      <w:r>
        <w:t xml:space="preserve"> </w:t>
      </w:r>
      <w:r>
        <w:t xml:space="preserve">in periodic matrix population model that describes population dynamics from month</w:t>
      </w:r>
      <w:r>
        <w:t xml:space="preserve"> </w:t>
      </w:r>
      <m:oMath>
        <m:r>
          <m:rPr>
            <m:sty m:val="p"/>
          </m:rPr>
          <m:t>m</m:t>
        </m:r>
      </m:oMath>
      <w:r>
        <w:t xml:space="preserve"> </w:t>
      </w:r>
      <w:r>
        <w:t xml:space="preserve">to</w:t>
      </w:r>
      <w:r>
        <w:t xml:space="preserve"> </w:t>
      </w:r>
      <m:oMath>
        <m:r>
          <m:rPr>
            <m:sty m:val="p"/>
          </m:rPr>
          <m:t>m</m:t>
        </m:r>
        <m:r>
          <m:rPr>
            <m:sty m:val="p"/>
          </m:rPr>
          <m:t>+</m:t>
        </m:r>
        <m:r>
          <m:rPr>
            <m:sty m:val="p"/>
          </m:rPr>
          <m:t>1</m:t>
        </m:r>
      </m:oMath>
    </w:p>
    <w:p>
      <w:pPr>
        <w:pStyle w:val="Compact"/>
        <w:numPr>
          <w:numId w:val="1036"/>
          <w:ilvl w:val="0"/>
        </w:numPr>
      </w:pPr>
      <w:r>
        <w:t xml:space="preserve">January</w:t>
      </w:r>
    </w:p>
    <w:p>
      <w:pPr>
        <w:pStyle w:val="Compact"/>
        <w:numPr>
          <w:numId w:val="1036"/>
          <w:ilvl w:val="0"/>
        </w:numPr>
      </w:pPr>
      <w:r>
        <w:t xml:space="preserve">February</w:t>
      </w:r>
    </w:p>
    <w:p>
      <w:pPr>
        <w:pStyle w:val="Compact"/>
        <w:numPr>
          <w:numId w:val="1036"/>
          <w:ilvl w:val="0"/>
        </w:numPr>
      </w:pPr>
      <w:r>
        <w:t xml:space="preserve">March</w:t>
      </w:r>
    </w:p>
    <w:p>
      <w:pPr>
        <w:pStyle w:val="Compact"/>
        <w:numPr>
          <w:numId w:val="1036"/>
          <w:ilvl w:val="0"/>
        </w:numPr>
      </w:pPr>
      <w:r>
        <w:t xml:space="preserve">April</w:t>
      </w:r>
    </w:p>
    <w:p>
      <w:pPr>
        <w:pStyle w:val="Compact"/>
        <w:numPr>
          <w:numId w:val="1036"/>
          <w:ilvl w:val="0"/>
        </w:numPr>
      </w:pPr>
      <w:r>
        <w:t xml:space="preserve">May</w:t>
      </w:r>
    </w:p>
    <w:p>
      <w:pPr>
        <w:pStyle w:val="Compact"/>
        <w:numPr>
          <w:numId w:val="1036"/>
          <w:ilvl w:val="0"/>
        </w:numPr>
      </w:pPr>
      <w:r>
        <w:t xml:space="preserve">June</w:t>
      </w:r>
    </w:p>
    <w:p>
      <w:pPr>
        <w:pStyle w:val="Compact"/>
        <w:numPr>
          <w:numId w:val="1036"/>
          <w:ilvl w:val="0"/>
        </w:numPr>
      </w:pPr>
      <w:r>
        <w:t xml:space="preserve">July</w:t>
      </w:r>
    </w:p>
    <w:p>
      <w:pPr>
        <w:pStyle w:val="Compact"/>
        <w:numPr>
          <w:numId w:val="1036"/>
          <w:ilvl w:val="0"/>
        </w:numPr>
      </w:pPr>
      <w:r>
        <w:t xml:space="preserve">August</w:t>
      </w:r>
    </w:p>
    <w:p>
      <w:pPr>
        <w:pStyle w:val="Compact"/>
        <w:numPr>
          <w:numId w:val="1036"/>
          <w:ilvl w:val="0"/>
        </w:numPr>
      </w:pPr>
      <w:r>
        <w:t xml:space="preserve">September</w:t>
      </w:r>
    </w:p>
    <w:p>
      <w:pPr>
        <w:pStyle w:val="Compact"/>
        <w:numPr>
          <w:numId w:val="1036"/>
          <w:ilvl w:val="0"/>
        </w:numPr>
      </w:pPr>
      <w:r>
        <w:t xml:space="preserve">October</w:t>
      </w:r>
    </w:p>
    <w:p>
      <w:pPr>
        <w:pStyle w:val="Compact"/>
        <w:numPr>
          <w:numId w:val="1036"/>
          <w:ilvl w:val="0"/>
        </w:numPr>
      </w:pPr>
      <w:r>
        <w:t xml:space="preserve">November</w:t>
      </w:r>
    </w:p>
    <w:p>
      <w:pPr>
        <w:pStyle w:val="Compact"/>
        <w:numPr>
          <w:numId w:val="1036"/>
          <w:ilvl w:val="0"/>
        </w:numPr>
      </w:pPr>
      <w:r>
        <w:t xml:space="preserve">December</w:t>
      </w:r>
    </w:p>
    <w:p>
      <w:r>
        <w:pict>
          <v:rect style="width:0;height:1.5pt" o:hralign="center" o:hrstd="t" o:hr="t"/>
        </w:pict>
      </w:r>
    </w:p>
    <w:p>
      <w:pPr>
        <w:pStyle w:val="Heading2"/>
      </w:pPr>
      <w:bookmarkStart w:id="95" w:name="matrixendyear"/>
      <w:bookmarkEnd w:id="95"/>
      <w:r>
        <w:t xml:space="preserve">MatrixEndYear</w:t>
      </w:r>
    </w:p>
    <w:p>
      <w:r>
        <w:t xml:space="preserve">Last year of study. Year</w:t>
      </w:r>
      <w:r>
        <w:t xml:space="preserve"> </w:t>
      </w:r>
      <m:oMath>
        <m:r>
          <m:rPr>
            <m:sty m:val="p"/>
          </m:rPr>
          <m:t>t</m:t>
        </m:r>
        <m:r>
          <m:rPr>
            <m:sty m:val="p"/>
          </m:rPr>
          <m:t>+</m:t>
        </m:r>
        <m:r>
          <m:rPr>
            <m:sty m:val="p"/>
          </m:rPr>
          <m:t>1</m:t>
        </m:r>
      </m:oMath>
      <w:r>
        <w:t xml:space="preserve"> </w:t>
      </w:r>
      <w:r>
        <w:t xml:space="preserve">in matrix population model that describes population dynamics from time</w:t>
      </w:r>
      <w:r>
        <w:t xml:space="preserve"> </w:t>
      </w:r>
      <m:oMath>
        <m:r>
          <m:rPr>
            <m:sty m:val="p"/>
          </m:rPr>
          <m:t>t</m:t>
        </m:r>
      </m:oMath>
      <w:r>
        <w:t xml:space="preserve"> </w:t>
      </w:r>
      <w:r>
        <w:t xml:space="preserve">to</w:t>
      </w:r>
      <w:r>
        <w:t xml:space="preserve"> </w:t>
      </w:r>
      <m:oMath>
        <m:r>
          <m:rPr>
            <m:sty m:val="p"/>
          </m:rPr>
          <m:t>t</m:t>
        </m:r>
        <m:r>
          <m:rPr>
            <m:sty m:val="p"/>
          </m:rPr>
          <m:t>+</m:t>
        </m:r>
        <m:r>
          <m:rPr>
            <m:sty m:val="p"/>
          </m:rPr>
          <m:t>1</m:t>
        </m:r>
      </m:oMath>
      <w:r>
        <w:t xml:space="preserve">. e.g. 2001.</w:t>
      </w:r>
    </w:p>
    <w:p>
      <w:r>
        <w:pict>
          <v:rect style="width:0;height:1.5pt" o:hralign="center" o:hrstd="t" o:hr="t"/>
        </w:pict>
      </w:r>
    </w:p>
    <w:p>
      <w:pPr>
        <w:pStyle w:val="Heading2"/>
      </w:pPr>
      <w:bookmarkStart w:id="96" w:name="matrixendseason"/>
      <w:bookmarkEnd w:id="96"/>
      <w:r>
        <w:t xml:space="preserve">MatrixEndSeason</w:t>
      </w:r>
    </w:p>
    <w:p>
      <w:r>
        <w:t xml:space="preserve">Numeric indication of the end season of the matrix.</w:t>
      </w:r>
    </w:p>
    <w:p>
      <w:pPr>
        <w:pStyle w:val="Compact"/>
        <w:numPr>
          <w:numId w:val="1037"/>
          <w:ilvl w:val="0"/>
        </w:numPr>
      </w:pPr>
      <w:r>
        <w:t xml:space="preserve">Spring</w:t>
      </w:r>
    </w:p>
    <w:p>
      <w:pPr>
        <w:pStyle w:val="Compact"/>
        <w:numPr>
          <w:numId w:val="1037"/>
          <w:ilvl w:val="0"/>
        </w:numPr>
      </w:pPr>
      <w:r>
        <w:t xml:space="preserve">Summer</w:t>
      </w:r>
    </w:p>
    <w:p>
      <w:pPr>
        <w:pStyle w:val="Compact"/>
        <w:numPr>
          <w:numId w:val="1037"/>
          <w:ilvl w:val="0"/>
        </w:numPr>
      </w:pPr>
      <w:r>
        <w:t xml:space="preserve">Autumn or Fall</w:t>
      </w:r>
    </w:p>
    <w:p>
      <w:pPr>
        <w:pStyle w:val="Compact"/>
        <w:numPr>
          <w:numId w:val="1037"/>
          <w:ilvl w:val="0"/>
        </w:numPr>
      </w:pPr>
      <w:r>
        <w:t xml:space="preserve">Winter</w:t>
      </w:r>
    </w:p>
    <w:p>
      <w:r>
        <w:pict>
          <v:rect style="width:0;height:1.5pt" o:hralign="center" o:hrstd="t" o:hr="t"/>
        </w:pict>
      </w:r>
    </w:p>
    <w:p>
      <w:pPr>
        <w:pStyle w:val="Heading2"/>
      </w:pPr>
      <w:bookmarkStart w:id="97" w:name="matrixendmonth"/>
      <w:bookmarkEnd w:id="97"/>
      <w:r>
        <w:t xml:space="preserve">MatrixEndMonth</w:t>
      </w:r>
    </w:p>
    <w:p>
      <w:r>
        <w:t xml:space="preserve">Numeric indication of the last month</w:t>
      </w:r>
      <w:r>
        <w:t xml:space="preserve"> </w:t>
      </w:r>
      <m:oMath>
        <m:r>
          <m:rPr>
            <m:sty m:val="p"/>
          </m:rPr>
          <m:t>m</m:t>
        </m:r>
      </m:oMath>
      <w:r>
        <w:t xml:space="preserve"> </w:t>
      </w:r>
      <w:r>
        <w:t xml:space="preserve">of study. Month</w:t>
      </w:r>
      <w:r>
        <w:t xml:space="preserve"> </w:t>
      </w:r>
      <m:oMath>
        <m:r>
          <m:rPr>
            <m:sty m:val="p"/>
          </m:rPr>
          <m:t>m</m:t>
        </m:r>
        <m:r>
          <m:rPr>
            <m:sty m:val="p"/>
          </m:rPr>
          <m:t>+</m:t>
        </m:r>
        <m:r>
          <m:rPr>
            <m:sty m:val="p"/>
          </m:rPr>
          <m:t>1</m:t>
        </m:r>
      </m:oMath>
      <w:r>
        <w:t xml:space="preserve"> </w:t>
      </w:r>
      <w:r>
        <w:t xml:space="preserve">in periodic matrix population model that describes population dynamics from month</w:t>
      </w:r>
      <w:r>
        <w:t xml:space="preserve"> </w:t>
      </w:r>
      <m:oMath>
        <m:r>
          <m:rPr>
            <m:sty m:val="p"/>
          </m:rPr>
          <m:t>m</m:t>
        </m:r>
      </m:oMath>
      <w:r>
        <w:t xml:space="preserve"> </w:t>
      </w:r>
      <w:r>
        <w:t xml:space="preserve">to</w:t>
      </w:r>
      <w:r>
        <w:t xml:space="preserve"> </w:t>
      </w:r>
      <m:oMath>
        <m:r>
          <m:rPr>
            <m:sty m:val="p"/>
          </m:rPr>
          <m:t>m</m:t>
        </m:r>
        <m:r>
          <m:rPr>
            <m:sty m:val="p"/>
          </m:rPr>
          <m:t>+</m:t>
        </m:r>
        <m:r>
          <m:rPr>
            <m:sty m:val="p"/>
          </m:rPr>
          <m:t>1</m:t>
        </m:r>
      </m:oMath>
      <w:r>
        <w:t xml:space="preserve">.</w:t>
      </w:r>
    </w:p>
    <w:p>
      <w:pPr>
        <w:pStyle w:val="Compact"/>
        <w:numPr>
          <w:numId w:val="1038"/>
          <w:ilvl w:val="0"/>
        </w:numPr>
      </w:pPr>
      <w:r>
        <w:t xml:space="preserve">January</w:t>
      </w:r>
    </w:p>
    <w:p>
      <w:pPr>
        <w:pStyle w:val="Compact"/>
        <w:numPr>
          <w:numId w:val="1038"/>
          <w:ilvl w:val="0"/>
        </w:numPr>
      </w:pPr>
      <w:r>
        <w:t xml:space="preserve">February</w:t>
      </w:r>
    </w:p>
    <w:p>
      <w:pPr>
        <w:pStyle w:val="Compact"/>
        <w:numPr>
          <w:numId w:val="1038"/>
          <w:ilvl w:val="0"/>
        </w:numPr>
      </w:pPr>
      <w:r>
        <w:t xml:space="preserve">March</w:t>
      </w:r>
    </w:p>
    <w:p>
      <w:pPr>
        <w:pStyle w:val="Compact"/>
        <w:numPr>
          <w:numId w:val="1038"/>
          <w:ilvl w:val="0"/>
        </w:numPr>
      </w:pPr>
      <w:r>
        <w:t xml:space="preserve">April</w:t>
      </w:r>
    </w:p>
    <w:p>
      <w:pPr>
        <w:pStyle w:val="Compact"/>
        <w:numPr>
          <w:numId w:val="1038"/>
          <w:ilvl w:val="0"/>
        </w:numPr>
      </w:pPr>
      <w:r>
        <w:t xml:space="preserve">May</w:t>
      </w:r>
    </w:p>
    <w:p>
      <w:pPr>
        <w:pStyle w:val="Compact"/>
        <w:numPr>
          <w:numId w:val="1038"/>
          <w:ilvl w:val="0"/>
        </w:numPr>
      </w:pPr>
      <w:r>
        <w:t xml:space="preserve">June</w:t>
      </w:r>
    </w:p>
    <w:p>
      <w:pPr>
        <w:pStyle w:val="Compact"/>
        <w:numPr>
          <w:numId w:val="1038"/>
          <w:ilvl w:val="0"/>
        </w:numPr>
      </w:pPr>
      <w:r>
        <w:t xml:space="preserve">July</w:t>
      </w:r>
    </w:p>
    <w:p>
      <w:pPr>
        <w:pStyle w:val="Compact"/>
        <w:numPr>
          <w:numId w:val="1038"/>
          <w:ilvl w:val="0"/>
        </w:numPr>
      </w:pPr>
      <w:r>
        <w:t xml:space="preserve">August</w:t>
      </w:r>
    </w:p>
    <w:p>
      <w:pPr>
        <w:pStyle w:val="Compact"/>
        <w:numPr>
          <w:numId w:val="1038"/>
          <w:ilvl w:val="0"/>
        </w:numPr>
      </w:pPr>
      <w:r>
        <w:t xml:space="preserve">September</w:t>
      </w:r>
    </w:p>
    <w:p>
      <w:pPr>
        <w:pStyle w:val="Compact"/>
        <w:numPr>
          <w:numId w:val="1038"/>
          <w:ilvl w:val="0"/>
        </w:numPr>
      </w:pPr>
      <w:r>
        <w:t xml:space="preserve">October</w:t>
      </w:r>
    </w:p>
    <w:p>
      <w:pPr>
        <w:pStyle w:val="Compact"/>
        <w:numPr>
          <w:numId w:val="1038"/>
          <w:ilvl w:val="0"/>
        </w:numPr>
      </w:pPr>
      <w:r>
        <w:t xml:space="preserve">November</w:t>
      </w:r>
    </w:p>
    <w:p>
      <w:pPr>
        <w:pStyle w:val="Compact"/>
        <w:numPr>
          <w:numId w:val="1038"/>
          <w:ilvl w:val="0"/>
        </w:numPr>
      </w:pPr>
      <w:r>
        <w:t xml:space="preserve">December</w:t>
      </w:r>
    </w:p>
    <w:p>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r>
        <w:t xml:space="preserve">This is how it possibly looks like (this is a 6x6 mean (the upper one) and individual (the lower one) matrix for the algae Alaria_nana)</w:t>
      </w:r>
    </w:p>
    <w:p>
      <w:r>
        <w:drawing>
          <wp:inline>
            <wp:extent cx="3835400" cy="2933700"/>
            <wp:effectExtent b="0" l="0" r="0" t="0"/>
            <wp:docPr descr=""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98"/>
                    <a:stretch>
                      <a:fillRect/>
                    </a:stretch>
                  </pic:blipFill>
                  <pic:spPr bwMode="auto">
                    <a:xfrm>
                      <a:off x="0" y="0"/>
                      <a:ext cx="3835400" cy="2933700"/>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99" w:name="matrixpopulation"/>
      <w:bookmarkEnd w:id="99"/>
      <w:r>
        <w:t xml:space="preserve">MatrixPopulation</w:t>
      </w:r>
    </w:p>
    <w:p>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100" w:name="geolocation-columns"/>
      <w:bookmarkEnd w:id="100"/>
      <w:r>
        <w:t xml:space="preserve">Geolocation columns</w:t>
      </w:r>
    </w:p>
    <w:p>
      <w:r>
        <w:t xml:space="preserve">These 11 columns describes the location of each matrix.</w:t>
      </w:r>
    </w:p>
    <w:p>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01" w:name="latdeg-latmin-latsec"/>
      <w:bookmarkEnd w:id="101"/>
      <w:r>
        <w:t xml:space="preserve">LatDeg / LatMin / LatSec</w:t>
      </w:r>
    </w:p>
    <w:p>
      <w:r>
        <w:t xml:space="preserve">Record the degree (0-90), minute (0-60) and second (0-60) values of the locations of the matrix. If no LatSec is available type in a zero. This means: the value “0” may mean precise values are not available! If the geolocation is given as e.g. 58° 06' N 17° 26' E we do not enter "06" into the LatMin / LatSec column but only "6".</w:t>
      </w:r>
    </w:p>
    <w:p>
      <w:pPr>
        <w:pStyle w:val="Heading3"/>
      </w:pPr>
      <w:bookmarkStart w:id="102" w:name="latns"/>
      <w:bookmarkEnd w:id="102"/>
      <w:r>
        <w:t xml:space="preserve">LatNS</w:t>
      </w:r>
    </w:p>
    <w:p>
      <w:r>
        <w:t xml:space="preserve">Cardinal direction</w:t>
      </w:r>
    </w:p>
    <w:p>
      <w:pPr>
        <w:pStyle w:val="Compact"/>
        <w:numPr>
          <w:numId w:val="1039"/>
          <w:ilvl w:val="0"/>
        </w:numPr>
      </w:pPr>
      <w:r>
        <w:t xml:space="preserve">N - North</w:t>
      </w:r>
    </w:p>
    <w:p>
      <w:pPr>
        <w:pStyle w:val="Compact"/>
        <w:numPr>
          <w:numId w:val="1039"/>
          <w:ilvl w:val="0"/>
        </w:numPr>
      </w:pPr>
      <w:r>
        <w:t xml:space="preserve">S - South</w:t>
      </w:r>
    </w:p>
    <w:p>
      <w:r>
        <w:rPr>
          <w:b/>
        </w:rPr>
        <w:t xml:space="preserve">Note:</w:t>
      </w:r>
      <w:r>
        <w:t xml:space="preserve"> </w:t>
      </w:r>
      <w:r>
        <w:t xml:space="preserve">Cardinal direction might be given with a “+” or “-“ whereat “+” means North and “-“ means South.</w:t>
      </w:r>
    </w:p>
    <w:p>
      <w:pPr>
        <w:pStyle w:val="Heading3"/>
      </w:pPr>
      <w:bookmarkStart w:id="103" w:name="londeg-lonmin-lonsec"/>
      <w:bookmarkEnd w:id="103"/>
      <w:r>
        <w:t xml:space="preserve">LonDeg / LonMin / LonSec</w:t>
      </w:r>
    </w:p>
    <w:p>
      <w:r>
        <w:t xml:space="preserve">Records the degree (0-90), minute (0-60) and second (0-60) values of the locations of the matrix.</w:t>
      </w:r>
    </w:p>
    <w:p>
      <w:pPr>
        <w:pStyle w:val="Heading3"/>
      </w:pPr>
      <w:bookmarkStart w:id="104" w:name="lonwe"/>
      <w:bookmarkEnd w:id="104"/>
      <w:r>
        <w:t xml:space="preserve">LonWE</w:t>
      </w:r>
    </w:p>
    <w:p>
      <w:r>
        <w:t xml:space="preserve">Cardinal direction</w:t>
      </w:r>
    </w:p>
    <w:p>
      <w:pPr>
        <w:pStyle w:val="Compact"/>
        <w:numPr>
          <w:numId w:val="1040"/>
          <w:ilvl w:val="0"/>
        </w:numPr>
      </w:pPr>
      <w:r>
        <w:t xml:space="preserve">W - West</w:t>
      </w:r>
    </w:p>
    <w:p>
      <w:pPr>
        <w:pStyle w:val="Compact"/>
        <w:numPr>
          <w:numId w:val="1040"/>
          <w:ilvl w:val="0"/>
        </w:numPr>
      </w:pPr>
      <w:r>
        <w:t xml:space="preserve">E - East</w:t>
      </w:r>
    </w:p>
    <w:p>
      <w:r>
        <w:rPr>
          <w:b/>
        </w:rPr>
        <w:t xml:space="preserve">Note:</w:t>
      </w:r>
      <w:r>
        <w:t xml:space="preserve"> </w:t>
      </w:r>
      <w:r>
        <w:t xml:space="preserve">Cardinal direction might be given with a “+” or “-“ whereat “+” means East and “-“ means West.</w:t>
      </w:r>
    </w:p>
    <w:p>
      <w:pPr>
        <w:pStyle w:val="Heading3"/>
      </w:pPr>
      <w:bookmarkStart w:id="105" w:name="altitude"/>
      <w:bookmarkEnd w:id="105"/>
      <w:r>
        <w:t xml:space="preserve">Altitude</w:t>
      </w:r>
    </w:p>
    <w:p>
      <w:r>
        <w:t xml:space="preserve">Altitude of studied population in m = Height above sea level of specific population in meters e.g. 208m.</w:t>
      </w:r>
    </w:p>
    <w:p>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r>
        <w:drawing>
          <wp:inline>
            <wp:extent cx="5440680" cy="2304976"/>
            <wp:effectExtent b="0" l="0" r="0" t="0"/>
            <wp:docPr descr="" id="1" name="Picture"/>
            <a:graphic>
              <a:graphicData uri="http://schemas.openxmlformats.org/drawingml/2006/picture">
                <pic:pic>
                  <pic:nvPicPr>
                    <pic:cNvPr descr="images/Altitude.png" id="0" name="Picture"/>
                    <pic:cNvPicPr>
                      <a:picLocks noChangeArrowheads="1" noChangeAspect="1"/>
                    </pic:cNvPicPr>
                  </pic:nvPicPr>
                  <pic:blipFill>
                    <a:blip r:embed="rId106"/>
                    <a:stretch>
                      <a:fillRect/>
                    </a:stretch>
                  </pic:blipFill>
                  <pic:spPr bwMode="auto">
                    <a:xfrm>
                      <a:off x="0" y="0"/>
                      <a:ext cx="5440680" cy="2304976"/>
                    </a:xfrm>
                    <a:prstGeom prst="rect">
                      <a:avLst/>
                    </a:prstGeom>
                    <a:noFill/>
                    <a:ln w="9525">
                      <a:noFill/>
                      <a:headEnd/>
                      <a:tailEnd/>
                    </a:ln>
                  </pic:spPr>
                </pic:pic>
              </a:graphicData>
            </a:graphic>
          </wp:inline>
        </w:drawing>
      </w:r>
    </w:p>
    <w:p>
      <w:pPr>
        <w:pStyle w:val="Heading3"/>
      </w:pPr>
      <w:bookmarkStart w:id="107" w:name="country"/>
      <w:bookmarkEnd w:id="107"/>
      <w:r>
        <w:t xml:space="preserve">Country</w:t>
      </w:r>
    </w:p>
    <w:p>
      <w:r>
        <w:t xml:space="preserve">The ISO 3 Country Code(s) of where the study took place. If the study involves multiple countries, these are separated by "; ".</w:t>
      </w:r>
      <w:r>
        <w:t xml:space="preserve"> </w:t>
      </w:r>
      <w:hyperlink r:id="rId108">
        <w:r>
          <w:rPr>
            <w:rStyle w:val="Link"/>
          </w:rPr>
          <w:t xml:space="preserve">https://en.wikipedia.org/wiki/ISO_3166-1_alpha-3</w:t>
        </w:r>
      </w:hyperlink>
      <w:r>
        <w:t xml:space="preserve">.</w:t>
      </w:r>
    </w:p>
    <w:p>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09" w:name="continent"/>
      <w:bookmarkEnd w:id="109"/>
      <w:r>
        <w:t xml:space="preserve">Continent</w:t>
      </w:r>
    </w:p>
    <w:p>
      <w:r>
        <w:t xml:space="preserve">Continent where study took place</w:t>
      </w:r>
    </w:p>
    <w:p>
      <w:pPr>
        <w:pStyle w:val="Compact"/>
        <w:numPr>
          <w:numId w:val="1041"/>
          <w:ilvl w:val="0"/>
        </w:numPr>
      </w:pPr>
      <w:r>
        <w:t xml:space="preserve">Africa</w:t>
      </w:r>
    </w:p>
    <w:p>
      <w:pPr>
        <w:pStyle w:val="Compact"/>
        <w:numPr>
          <w:numId w:val="1041"/>
          <w:ilvl w:val="0"/>
        </w:numPr>
      </w:pPr>
      <w:r>
        <w:t xml:space="preserve">Asia</w:t>
      </w:r>
    </w:p>
    <w:p>
      <w:pPr>
        <w:pStyle w:val="Compact"/>
        <w:numPr>
          <w:numId w:val="1041"/>
          <w:ilvl w:val="0"/>
        </w:numPr>
      </w:pPr>
      <w:r>
        <w:t xml:space="preserve">Europe</w:t>
      </w:r>
    </w:p>
    <w:p>
      <w:pPr>
        <w:pStyle w:val="Compact"/>
        <w:numPr>
          <w:numId w:val="1041"/>
          <w:ilvl w:val="0"/>
        </w:numPr>
      </w:pPr>
      <w:r>
        <w:t xml:space="preserve">N America (includes Canada, USA and Mexico)</w:t>
      </w:r>
    </w:p>
    <w:p>
      <w:pPr>
        <w:pStyle w:val="Compact"/>
        <w:numPr>
          <w:numId w:val="1041"/>
          <w:ilvl w:val="0"/>
        </w:numPr>
      </w:pPr>
      <w:r>
        <w:t xml:space="preserve">S America (incluces the rest of the countries in the Americas not outlined in "N America")</w:t>
      </w:r>
    </w:p>
    <w:p>
      <w:pPr>
        <w:pStyle w:val="Compact"/>
        <w:numPr>
          <w:numId w:val="1041"/>
          <w:ilvl w:val="0"/>
        </w:numPr>
      </w:pPr>
      <w:r>
        <w:t xml:space="preserve">Antarctica</w:t>
      </w:r>
    </w:p>
    <w:p>
      <w:pPr>
        <w:pStyle w:val="Compact"/>
        <w:numPr>
          <w:numId w:val="1041"/>
          <w:ilvl w:val="0"/>
        </w:numPr>
      </w:pPr>
      <w:r>
        <w:t xml:space="preserve">Oceania (various definitions for Oceania exist, but here we opted for this one:</w:t>
      </w:r>
      <w:r>
        <w:t xml:space="preserve"> </w:t>
      </w:r>
      <w:hyperlink r:id="rId110">
        <w:r>
          <w:rPr>
            <w:rStyle w:val="Link"/>
          </w:rPr>
          <w:t xml:space="preserve">https://en.wikipedia.org/wiki/List_of_Oceanian_countries_by_population</w:t>
        </w:r>
      </w:hyperlink>
      <w:r>
        <w:t xml:space="preserve">)</w:t>
      </w:r>
    </w:p>
    <w:p>
      <w:pPr>
        <w:pStyle w:val="Heading3"/>
      </w:pPr>
      <w:bookmarkStart w:id="111" w:name="general-notes-on-location-information"/>
      <w:bookmarkEnd w:id="111"/>
      <w:r>
        <w:t xml:space="preserve">General notes on location information</w:t>
      </w:r>
    </w:p>
    <w:p>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r>
        <w:t xml:space="preserve">This is how it possibly looks like (this is a 6x6 mean (the upper one) and individual (the lower one) matrix for the algae Alaria_nana)</w:t>
      </w:r>
    </w:p>
    <w:p>
      <w:r>
        <w:drawing>
          <wp:inline>
            <wp:extent cx="3695700" cy="2336800"/>
            <wp:effectExtent b="0" l="0" r="0" t="0"/>
            <wp:docPr descr="" id="1" name="Picture"/>
            <a:graphic>
              <a:graphicData uri="http://schemas.openxmlformats.org/drawingml/2006/picture">
                <pic:pic>
                  <pic:nvPicPr>
                    <pic:cNvPr descr="images/Alaria_location.png" id="0" name="Picture"/>
                    <pic:cNvPicPr>
                      <a:picLocks noChangeArrowheads="1" noChangeAspect="1"/>
                    </pic:cNvPicPr>
                  </pic:nvPicPr>
                  <pic:blipFill>
                    <a:blip r:embed="rId112"/>
                    <a:stretch>
                      <a:fillRect/>
                    </a:stretch>
                  </pic:blipFill>
                  <pic:spPr bwMode="auto">
                    <a:xfrm>
                      <a:off x="0" y="0"/>
                      <a:ext cx="3695700" cy="2336800"/>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113" w:name="matrixsplit"/>
      <w:bookmarkEnd w:id="113"/>
      <w:r>
        <w:t xml:space="preserve">MatrixSplit</w:t>
      </w:r>
    </w:p>
    <w:p>
      <w:r>
        <w:t xml:space="preserve">Indicates the type of matrix population model, i.e. can A it be divided into U, F and C sub-matrices? If a matrix is divisible, we divide it! Then always insert all sub-matrices – even if e.g. C only has zeros!</w:t>
      </w:r>
    </w:p>
    <w:p>
      <w:pPr>
        <w:pStyle w:val="Compact"/>
        <w:numPr>
          <w:numId w:val="1042"/>
          <w:ilvl w:val="0"/>
        </w:numPr>
      </w:pPr>
      <w:r>
        <w:t xml:space="preserve">Divided - The matrix population model A has successfully been divided into the process-based sub matrices U, F and C.</w:t>
      </w:r>
    </w:p>
    <w:p>
      <w:pPr>
        <w:pStyle w:val="Compact"/>
        <w:numPr>
          <w:numId w:val="1042"/>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r>
        <w:t xml:space="preserve">This is how it possibly looks like (these are two divisible 4x4 matrices for the herb</w:t>
      </w:r>
      <w:r>
        <w:t xml:space="preserve"> </w:t>
      </w:r>
      <w:r>
        <w:rPr>
          <w:i/>
        </w:rPr>
        <w:t xml:space="preserve">Dactylorhiza lapponica</w:t>
      </w:r>
      <w:r>
        <w:t xml:space="preserve">):</w:t>
      </w:r>
    </w:p>
    <w:p>
      <w:r>
        <w:drawing>
          <wp:inline>
            <wp:extent cx="5440680" cy="1148315"/>
            <wp:effectExtent b="0" l="0" r="0" t="0"/>
            <wp:docPr descr="" id="1" name="Picture"/>
            <a:graphic>
              <a:graphicData uri="http://schemas.openxmlformats.org/drawingml/2006/picture">
                <pic:pic>
                  <pic:nvPicPr>
                    <pic:cNvPr descr="images/Alaria-a_AUFC.png" id="0" name="Picture"/>
                    <pic:cNvPicPr>
                      <a:picLocks noChangeArrowheads="1" noChangeAspect="1"/>
                    </pic:cNvPicPr>
                  </pic:nvPicPr>
                  <pic:blipFill>
                    <a:blip r:embed="rId114"/>
                    <a:stretch>
                      <a:fillRect/>
                    </a:stretch>
                  </pic:blipFill>
                  <pic:spPr bwMode="auto">
                    <a:xfrm>
                      <a:off x="0" y="0"/>
                      <a:ext cx="5440680" cy="1148315"/>
                    </a:xfrm>
                    <a:prstGeom prst="rect">
                      <a:avLst/>
                    </a:prstGeom>
                    <a:noFill/>
                    <a:ln w="9525">
                      <a:noFill/>
                      <a:headEnd/>
                      <a:tailEnd/>
                    </a:ln>
                  </pic:spPr>
                </pic:pic>
              </a:graphicData>
            </a:graphic>
          </wp:inline>
        </w:drawing>
      </w:r>
    </w:p>
    <w:p>
      <w:r>
        <w:t xml:space="preserve">This is how it possibly looks like (this is a indivisible 5x5 matrices for the herb</w:t>
      </w:r>
      <w:r>
        <w:t xml:space="preserve"> </w:t>
      </w:r>
      <w:r>
        <w:rPr>
          <w:i/>
        </w:rPr>
        <w:t xml:space="preserve">Syngonanthus nitens</w:t>
      </w:r>
      <w:r>
        <w:t xml:space="preserve">):</w:t>
      </w:r>
    </w:p>
    <w:p>
      <w:r>
        <w:drawing>
          <wp:inline>
            <wp:extent cx="3733800" cy="1536700"/>
            <wp:effectExtent b="0" l="0" r="0" t="0"/>
            <wp:docPr descr="" id="1" name="Picture"/>
            <a:graphic>
              <a:graphicData uri="http://schemas.openxmlformats.org/drawingml/2006/picture">
                <pic:pic>
                  <pic:nvPicPr>
                    <pic:cNvPr descr="images/Syngonanthus_AUFC.png" id="0" name="Picture"/>
                    <pic:cNvPicPr>
                      <a:picLocks noChangeArrowheads="1" noChangeAspect="1"/>
                    </pic:cNvPicPr>
                  </pic:nvPicPr>
                  <pic:blipFill>
                    <a:blip r:embed="rId115"/>
                    <a:stretch>
                      <a:fillRect/>
                    </a:stretch>
                  </pic:blipFill>
                  <pic:spPr bwMode="auto">
                    <a:xfrm>
                      <a:off x="0" y="0"/>
                      <a:ext cx="3733800" cy="1536700"/>
                    </a:xfrm>
                    <a:prstGeom prst="rect">
                      <a:avLst/>
                    </a:prstGeom>
                    <a:noFill/>
                    <a:ln w="9525">
                      <a:noFill/>
                      <a:headEnd/>
                      <a:tailEnd/>
                    </a:ln>
                  </pic:spPr>
                </pic:pic>
              </a:graphicData>
            </a:graphic>
          </wp:inline>
        </w:drawing>
      </w:r>
    </w:p>
    <w:p>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r>
        <w:drawing>
          <wp:inline>
            <wp:extent cx="5440680" cy="7691696"/>
            <wp:effectExtent b="0" l="0" r="0" t="0"/>
            <wp:docPr descr="" id="1" name="Picture"/>
            <a:graphic>
              <a:graphicData uri="http://schemas.openxmlformats.org/drawingml/2006/picture">
                <pic:pic>
                  <pic:nvPicPr>
                    <pic:cNvPr descr="images/Lifecycle_AUFC.png" id="0" name="Picture"/>
                    <pic:cNvPicPr>
                      <a:picLocks noChangeArrowheads="1" noChangeAspect="1"/>
                    </pic:cNvPicPr>
                  </pic:nvPicPr>
                  <pic:blipFill>
                    <a:blip r:embed="rId116"/>
                    <a:stretch>
                      <a:fillRect/>
                    </a:stretch>
                  </pic:blipFill>
                  <pic:spPr bwMode="auto">
                    <a:xfrm>
                      <a:off x="0" y="0"/>
                      <a:ext cx="5440680" cy="7691696"/>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117" w:name="observation"/>
      <w:bookmarkEnd w:id="117"/>
      <w:r>
        <w:t xml:space="preserve">Observation</w:t>
      </w:r>
    </w:p>
    <w:p>
      <w:r>
        <w:t xml:space="preserve">Any useful additional information about the population matrix model that is not provided elsewhere but may nonetheless be important (e.g. plant canopy, burning intervals, etc.)</w:t>
      </w:r>
    </w:p>
    <w:p>
      <w:r>
        <w:t xml:space="preserve">Some standardised sentences:</w:t>
      </w:r>
    </w:p>
    <w:p>
      <w:pPr>
        <w:pStyle w:val="Compact"/>
        <w:numPr>
          <w:numId w:val="1043"/>
          <w:ilvl w:val="0"/>
        </w:numPr>
      </w:pPr>
      <w:r>
        <w:t xml:space="preserve">The GPS coordinates were approximated to the closest geographic location described in the reference. (see Geolocation)</w:t>
      </w:r>
    </w:p>
    <w:p>
      <w:pPr>
        <w:pStyle w:val="Compact"/>
        <w:numPr>
          <w:numId w:val="1043"/>
          <w:ilvl w:val="0"/>
        </w:numPr>
      </w:pPr>
      <w:r>
        <w:t xml:space="preserve">GPS co-ordinates cited exactly as reported in original paper. These do not match written study site description. (see Geolocation)</w:t>
      </w:r>
    </w:p>
    <w:p>
      <w:pPr>
        <w:pStyle w:val="Compact"/>
        <w:numPr>
          <w:numId w:val="1043"/>
          <w:ilvl w:val="0"/>
        </w:numPr>
      </w:pPr>
      <w:r>
        <w:t xml:space="preserve">Geolocation / Altitude from descriptor: (if no matrices are enters yet but a geolocation information are available)</w:t>
      </w:r>
    </w:p>
    <w:p>
      <w:pPr>
        <w:pStyle w:val="Compact"/>
        <w:numPr>
          <w:numId w:val="1043"/>
          <w:ilvl w:val="0"/>
        </w:numPr>
      </w:pPr>
      <w:r>
        <w:t xml:space="preserve">Matrix is calculated with stochastic model</w:t>
      </w:r>
    </w:p>
    <w:p>
      <w:pPr>
        <w:pStyle w:val="Compact"/>
        <w:numPr>
          <w:numId w:val="1043"/>
          <w:ilvl w:val="0"/>
        </w:numPr>
      </w:pPr>
      <w:r>
        <w:t xml:space="preserve">X years since last fire</w:t>
      </w:r>
    </w:p>
    <w:p>
      <w:pPr>
        <w:pStyle w:val="Compact"/>
        <w:numPr>
          <w:numId w:val="1043"/>
          <w:ilvl w:val="0"/>
        </w:numPr>
      </w:pPr>
      <w:r>
        <w:t xml:space="preserve">Calculated with demographic data from Author JournalName YearPublished</w:t>
      </w:r>
    </w:p>
    <w:p>
      <w:pPr>
        <w:pStyle w:val="Compact"/>
        <w:numPr>
          <w:numId w:val="1043"/>
          <w:ilvl w:val="0"/>
        </w:numPr>
      </w:pPr>
      <w:r>
        <w:t xml:space="preserve">Data is from a greenhouse experiment</w:t>
      </w:r>
    </w:p>
    <w:p>
      <w:pPr>
        <w:pStyle w:val="Compact"/>
        <w:numPr>
          <w:numId w:val="1043"/>
          <w:ilvl w:val="0"/>
        </w:numPr>
      </w:pPr>
      <w:r>
        <w:t xml:space="preserve">MatrixClassAuthor is not clarified</w:t>
      </w:r>
    </w:p>
    <w:p>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18" w:name="matrixclassorganized"/>
      <w:bookmarkEnd w:id="118"/>
      <w:r>
        <w:t xml:space="preserve">MatrixClassOrganized</w:t>
      </w:r>
    </w:p>
    <w:p>
      <w:r>
        <w:t xml:space="preserve">We standardise all stages in a given population matrix model to one of three stages (prop, active, dorm) to facilitate analyses.</w:t>
      </w:r>
    </w:p>
    <w:p>
      <w:pPr>
        <w:pStyle w:val="Compact"/>
        <w:numPr>
          <w:numId w:val="1044"/>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4"/>
          <w:ilvl w:val="0"/>
        </w:numPr>
      </w:pPr>
      <w:r>
        <w:t xml:space="preserve">active - This includes stages that can neither be placed in the “prop” nor “dorm” (see below) stages.</w:t>
      </w:r>
    </w:p>
    <w:p>
      <w:pPr>
        <w:pStyle w:val="Compact"/>
        <w:numPr>
          <w:numId w:val="1044"/>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19" w:name="matrixclassauthor"/>
      <w:bookmarkEnd w:id="119"/>
      <w:r>
        <w:t xml:space="preserve">MatrixClassAuthor</w:t>
      </w:r>
    </w:p>
    <w:p>
      <w:r>
        <w:t xml:space="preserve">The stage description as indicated in the source by the publication author of the matrix population model. When possible, we add units (e.g. cm, m, cm</w:t>
      </w:r>
      <w:r>
        <w:rPr>
          <w:vertAlign w:val="superscript"/>
        </w:rPr>
        <w:t xml:space="preserve">2</w:t>
      </w:r>
      <w:r>
        <w:t xml:space="preserve">)</w:t>
      </w:r>
    </w:p>
    <w:p>
      <w:r>
        <w:t xml:space="preserve">Some information on how to correctly write things in that column:</w:t>
      </w:r>
    </w:p>
    <w:p>
      <w:pPr>
        <w:pStyle w:val="Compact"/>
        <w:numPr>
          <w:numId w:val="1045"/>
          <w:ilvl w:val="0"/>
        </w:numPr>
      </w:pPr>
      <w:r>
        <w:t xml:space="preserve">First letter must be a capital letter (e.g. Adult: 100-150 cm DBH)</w:t>
      </w:r>
    </w:p>
    <w:p>
      <w:pPr>
        <w:pStyle w:val="Compact"/>
        <w:numPr>
          <w:numId w:val="1045"/>
          <w:ilvl w:val="0"/>
        </w:numPr>
      </w:pPr>
      <w:r>
        <w:t xml:space="preserve">If the Author uses abbreviations first write them down, followed by a “:” and the explanation of that abbreviations</w:t>
      </w:r>
    </w:p>
    <w:p>
      <w:pPr>
        <w:pStyle w:val="Compact"/>
        <w:numPr>
          <w:numId w:val="1045"/>
          <w:ilvl w:val="0"/>
        </w:numPr>
      </w:pPr>
      <w:r>
        <w:t xml:space="preserve">Use the most detailed description</w:t>
      </w:r>
    </w:p>
    <w:p>
      <w:pPr>
        <w:pStyle w:val="Compact"/>
        <w:numPr>
          <w:numId w:val="1045"/>
          <w:ilvl w:val="0"/>
        </w:numPr>
      </w:pPr>
      <w:r>
        <w:t xml:space="preserve">Always add units (when possible) (e.g. 0-9 cm DBH, not 0-9 DBH)</w:t>
      </w:r>
    </w:p>
    <w:p>
      <w:pPr>
        <w:pStyle w:val="Compact"/>
        <w:numPr>
          <w:numId w:val="1045"/>
          <w:ilvl w:val="0"/>
        </w:numPr>
      </w:pPr>
      <w:r>
        <w:t xml:space="preserve">Be clear in what is described (e.g. 0-9 cm DBH/ height, not only 0-9 cm)</w:t>
      </w:r>
    </w:p>
    <w:p>
      <w:pPr>
        <w:pStyle w:val="Compact"/>
        <w:numPr>
          <w:numId w:val="1045"/>
          <w:ilvl w:val="0"/>
        </w:numPr>
      </w:pPr>
      <w:r>
        <w:t xml:space="preserve">Make sure that you use “.” Instead of “,” when typing numbers (e.g. 1.45 cm, not 1,45 cm)</w:t>
      </w:r>
    </w:p>
    <w:p>
      <w:pPr>
        <w:pStyle w:val="Compact"/>
        <w:numPr>
          <w:numId w:val="1045"/>
          <w:ilvl w:val="0"/>
        </w:numPr>
      </w:pPr>
      <w:r>
        <w:t xml:space="preserve">Make sure that there is space between the number and the unit (e.g. 1.45 cm, not 1.45cm)</w:t>
      </w:r>
    </w:p>
    <w:p>
      <w:pPr>
        <w:pStyle w:val="Compact"/>
        <w:numPr>
          <w:numId w:val="1045"/>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5"/>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20" w:name="matrixclassnumber"/>
      <w:bookmarkEnd w:id="120"/>
      <w:r>
        <w:t xml:space="preserve">MatrixClassNumber</w:t>
      </w:r>
    </w:p>
    <w:p>
      <w:r>
        <w:t xml:space="preserve">A numerical representation of classes in the population matrix model. Numbers starting with 1 (</w:t>
      </w:r>
      <w:r>
        <w:rPr>
          <w:b/>
        </w:rPr>
        <w:t xml:space="preserve">not 0</w:t>
      </w:r>
      <w:r>
        <w:t xml:space="preserve">). e.g. 1,2,3, ...</w:t>
      </w:r>
      <w:r>
        <w:t xml:space="preserve"> </w:t>
      </w:r>
      <m:oMath>
        <m:r>
          <m:rPr>
            <m:sty m:val="p"/>
          </m:rPr>
          <m:t>n</m:t>
        </m:r>
      </m:oMath>
      <w:r>
        <w:t xml:space="preserve">, where</w:t>
      </w:r>
      <w:r>
        <w:t xml:space="preserve"> </w:t>
      </w:r>
      <m:oMath>
        <m:r>
          <m:rPr>
            <m:sty m:val="p"/>
          </m:rPr>
          <m:t>n</m:t>
        </m:r>
      </m:oMath>
      <w:r>
        <w:t xml:space="preserve"> </w:t>
      </w:r>
      <w:r>
        <w:t xml:space="preserve">is the dimension of the population matrix.</w:t>
      </w:r>
    </w:p>
    <w:p>
      <w:r>
        <w:pict>
          <v:rect style="width:0;height:1.5pt" o:hralign="center" o:hrstd="t" o:hr="t"/>
        </w:pict>
      </w:r>
    </w:p>
    <w:p>
      <w:pPr>
        <w:pStyle w:val="Heading2"/>
      </w:pPr>
      <w:bookmarkStart w:id="121" w:name="matumatfmatc"/>
      <w:bookmarkEnd w:id="121"/>
      <w:r>
        <w:t xml:space="preserve">matU/matF/matC/</w:t>
      </w:r>
    </w:p>
    <w:p>
      <w:r>
        <w:t xml:space="preserve">The population matrix models. Including the overall matrix (A) and, where possible, the sub-matrices U (survival), F (fecundity), C (clonality). A range of numeric values is possible in each element of the matrix.</w:t>
      </w:r>
    </w:p>
    <w:p>
      <w:pPr>
        <w:numPr>
          <w:numId w:val="1046"/>
          <w:ilvl w:val="0"/>
        </w:numPr>
      </w:pPr>
      <w:r>
        <w:t xml:space="preserve">The A matrix - Transition probabilities are constrained between 0 and 1. Reproductive values are always positive but have no upper bound.</w:t>
      </w:r>
    </w:p>
    <w:p>
      <w:pPr>
        <w:numPr>
          <w:numId w:val="1046"/>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6"/>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6"/>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r>
        <w:t xml:space="preserve">The values for the U, F and C matrices are only digitised for “Divided” matrices (indicated by variable</w:t>
      </w:r>
      <w:r>
        <w:t xml:space="preserve"> </w:t>
      </w:r>
      <w:r>
        <w:rPr>
          <w:b/>
        </w:rPr>
        <w:t xml:space="preserve">MatrixSplit</w:t>
      </w:r>
      <w:r>
        <w:t xml:space="preserve">)</w:t>
      </w:r>
    </w:p>
    <w:p>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22" w:name="color-coding"/>
      <w:bookmarkEnd w:id="122"/>
      <w:r>
        <w:t xml:space="preserve">Color coding</w:t>
      </w:r>
    </w:p>
    <w:p>
      <w:r>
        <w:t xml:space="preserve">Within the Excel sheets we color code all matrices in the same standardised way. The “color palette” can easily be found in (and copy pasted from) all stacked files (last tab).</w:t>
      </w:r>
    </w:p>
    <w:p>
      <w:r>
        <w:rPr>
          <w:b/>
        </w:rPr>
        <w:t xml:space="preserve">unique cells</w:t>
      </w:r>
      <w:r>
        <w:t xml:space="preserve"> </w:t>
      </w:r>
      <w:r>
        <w:t xml:space="preserve">(only one reproduction- or transition-form exists)</w:t>
      </w:r>
    </w:p>
    <w:p>
      <w:r>
        <w:drawing>
          <wp:inline>
            <wp:extent cx="5003800" cy="2374900"/>
            <wp:effectExtent b="0" l="0" r="0" t="0"/>
            <wp:docPr descr="" id="1" name="Picture"/>
            <a:graphic>
              <a:graphicData uri="http://schemas.openxmlformats.org/drawingml/2006/picture">
                <pic:pic>
                  <pic:nvPicPr>
                    <pic:cNvPr descr="images/color1.png" id="0" name="Picture"/>
                    <pic:cNvPicPr>
                      <a:picLocks noChangeArrowheads="1" noChangeAspect="1"/>
                    </pic:cNvPicPr>
                  </pic:nvPicPr>
                  <pic:blipFill>
                    <a:blip r:embed="rId123"/>
                    <a:stretch>
                      <a:fillRect/>
                    </a:stretch>
                  </pic:blipFill>
                  <pic:spPr bwMode="auto">
                    <a:xfrm>
                      <a:off x="0" y="0"/>
                      <a:ext cx="5003800" cy="2374900"/>
                    </a:xfrm>
                    <a:prstGeom prst="rect">
                      <a:avLst/>
                    </a:prstGeom>
                    <a:noFill/>
                    <a:ln w="9525">
                      <a:noFill/>
                      <a:headEnd/>
                      <a:tailEnd/>
                    </a:ln>
                  </pic:spPr>
                </pic:pic>
              </a:graphicData>
            </a:graphic>
          </wp:inline>
        </w:drawing>
      </w:r>
    </w:p>
    <w:p>
      <w:r>
        <w:rPr>
          <w:b/>
        </w:rPr>
        <w:t xml:space="preserve">mixed cells</w:t>
      </w:r>
      <w:r>
        <w:t xml:space="preserve"> </w:t>
      </w:r>
      <w:r>
        <w:t xml:space="preserve">(more than one reproduction- or transition-form exists)</w:t>
      </w:r>
    </w:p>
    <w:p>
      <w:r>
        <w:drawing>
          <wp:inline>
            <wp:extent cx="5440680" cy="918556"/>
            <wp:effectExtent b="0" l="0" r="0" t="0"/>
            <wp:docPr descr="" id="1" name="Picture"/>
            <a:graphic>
              <a:graphicData uri="http://schemas.openxmlformats.org/drawingml/2006/picture">
                <pic:pic>
                  <pic:nvPicPr>
                    <pic:cNvPr descr="images/color2.png" id="0" name="Picture"/>
                    <pic:cNvPicPr>
                      <a:picLocks noChangeArrowheads="1" noChangeAspect="1"/>
                    </pic:cNvPicPr>
                  </pic:nvPicPr>
                  <pic:blipFill>
                    <a:blip r:embed="rId124"/>
                    <a:stretch>
                      <a:fillRect/>
                    </a:stretch>
                  </pic:blipFill>
                  <pic:spPr bwMode="auto">
                    <a:xfrm>
                      <a:off x="0" y="0"/>
                      <a:ext cx="5440680" cy="918556"/>
                    </a:xfrm>
                    <a:prstGeom prst="rect">
                      <a:avLst/>
                    </a:prstGeom>
                    <a:noFill/>
                    <a:ln w="9525">
                      <a:noFill/>
                      <a:headEnd/>
                      <a:tailEnd/>
                    </a:ln>
                  </pic:spPr>
                </pic:pic>
              </a:graphicData>
            </a:graphic>
          </wp:inline>
        </w:drawing>
      </w:r>
    </w:p>
    <w:p>
      <w:r>
        <w:rPr>
          <w:b/>
        </w:rPr>
        <w:t xml:space="preserve">other colored cells</w:t>
      </w:r>
    </w:p>
    <w:p>
      <w:r>
        <w:drawing>
          <wp:inline>
            <wp:extent cx="5440680" cy="1115784"/>
            <wp:effectExtent b="0" l="0" r="0" t="0"/>
            <wp:docPr descr="" id="1" name="Picture"/>
            <a:graphic>
              <a:graphicData uri="http://schemas.openxmlformats.org/drawingml/2006/picture">
                <pic:pic>
                  <pic:nvPicPr>
                    <pic:cNvPr descr="images/color3.png" id="0" name="Picture"/>
                    <pic:cNvPicPr>
                      <a:picLocks noChangeArrowheads="1" noChangeAspect="1"/>
                    </pic:cNvPicPr>
                  </pic:nvPicPr>
                  <pic:blipFill>
                    <a:blip r:embed="rId125"/>
                    <a:stretch>
                      <a:fillRect/>
                    </a:stretch>
                  </pic:blipFill>
                  <pic:spPr bwMode="auto">
                    <a:xfrm>
                      <a:off x="0" y="0"/>
                      <a:ext cx="5440680" cy="1115784"/>
                    </a:xfrm>
                    <a:prstGeom prst="rect">
                      <a:avLst/>
                    </a:prstGeom>
                    <a:noFill/>
                    <a:ln w="9525">
                      <a:noFill/>
                      <a:headEnd/>
                      <a:tailEnd/>
                    </a:ln>
                  </pic:spPr>
                </pic:pic>
              </a:graphicData>
            </a:graphic>
          </wp:inline>
        </w:drawing>
      </w:r>
    </w:p>
    <w:p>
      <w:r>
        <w:t xml:space="preserve">All matrices are to be digitised using color-codes for the matrix elements</w:t>
      </w:r>
      <w:r>
        <w:t xml:space="preserve"> </w:t>
      </w:r>
      <m:oMath>
        <m:sSub>
          <m:e>
            <m:r>
              <m:rPr>
                <m:sty m:val="p"/>
              </m:rPr>
              <m:t>a</m:t>
            </m:r>
          </m:e>
          <m:sub>
            <m:r>
              <m:rPr>
                <m:sty m:val="p"/>
              </m:rPr>
              <m:t>i</m:t>
            </m:r>
            <m:r>
              <m:rPr>
                <m:sty m:val="p"/>
              </m:rPr>
              <m:t>j</m:t>
            </m:r>
          </m:sub>
        </m:sSub>
        <m:r>
          <m:rPr>
            <m:sty m:val="p"/>
          </m:rPr>
          <m:t>&gt;</m:t>
        </m:r>
        <m:r>
          <m:rPr>
            <m:sty m:val="p"/>
          </m:rP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r>
        <w:drawing>
          <wp:inline>
            <wp:extent cx="5440680" cy="2189453"/>
            <wp:effectExtent b="0" l="0" r="0" t="0"/>
            <wp:docPr descr="" id="1" name="Picture"/>
            <a:graphic>
              <a:graphicData uri="http://schemas.openxmlformats.org/drawingml/2006/picture">
                <pic:pic>
                  <pic:nvPicPr>
                    <pic:cNvPr descr="images/color_example.png" id="0" name="Picture"/>
                    <pic:cNvPicPr>
                      <a:picLocks noChangeArrowheads="1" noChangeAspect="1"/>
                    </pic:cNvPicPr>
                  </pic:nvPicPr>
                  <pic:blipFill>
                    <a:blip r:embed="rId126"/>
                    <a:stretch>
                      <a:fillRect/>
                    </a:stretch>
                  </pic:blipFill>
                  <pic:spPr bwMode="auto">
                    <a:xfrm>
                      <a:off x="0" y="0"/>
                      <a:ext cx="5440680" cy="2189453"/>
                    </a:xfrm>
                    <a:prstGeom prst="rect">
                      <a:avLst/>
                    </a:prstGeom>
                    <a:noFill/>
                    <a:ln w="9525">
                      <a:noFill/>
                      <a:headEnd/>
                      <a:tailEnd/>
                    </a:ln>
                  </pic:spPr>
                </pic:pic>
              </a:graphicData>
            </a:graphic>
          </wp:inline>
        </w:drawing>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8e0b81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0d2b2e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f24489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4" Target="media/rId114.png" /><Relationship Type="http://schemas.openxmlformats.org/officeDocument/2006/relationships/image" Id="rId112" Target="media/rId112.png" /><Relationship Type="http://schemas.openxmlformats.org/officeDocument/2006/relationships/image" Id="rId98" Target="media/rId98.png" /><Relationship Type="http://schemas.openxmlformats.org/officeDocument/2006/relationships/image" Id="rId106" Target="media/rId106.png" /><Relationship Type="http://schemas.openxmlformats.org/officeDocument/2006/relationships/image" Id="rId80" Target="media/rId80.png" /><Relationship Type="http://schemas.openxmlformats.org/officeDocument/2006/relationships/image" Id="rId116" Target="media/rId116.png" /><Relationship Type="http://schemas.openxmlformats.org/officeDocument/2006/relationships/image" Id="rId88" Target="media/rId88.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115" Target="media/rId115.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hyperlink" Id="rId34" Target="File:__" TargetMode="External" /><Relationship Type="http://schemas.openxmlformats.org/officeDocument/2006/relationships/hyperlink" Id="rId55" Target="http://dx.doi.org/" TargetMode="External" /><Relationship Type="http://schemas.openxmlformats.org/officeDocument/2006/relationships/hyperlink" Id="rId56" Target="http://dx.doi.org/10.1111/1365-2745.12334" TargetMode="External" /><Relationship Type="http://schemas.openxmlformats.org/officeDocument/2006/relationships/hyperlink" Id="rId47" Target="http://images.webofknowledge.com/WOK46/help/WOS/A_abrvjt.html" TargetMode="External" /><Relationship Type="http://schemas.openxmlformats.org/officeDocument/2006/relationships/hyperlink" Id="rId60"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67" Target="http://www.fws.gov/endangered/" TargetMode="External" /><Relationship Type="http://schemas.openxmlformats.org/officeDocument/2006/relationships/hyperlink" Id="rId27" Target="http://www.iplantcollaborative.org/" TargetMode="External" /><Relationship Type="http://schemas.openxmlformats.org/officeDocument/2006/relationships/hyperlink" Id="rId28" Target="https://en.wikipedia.org/" TargetMode="External" /><Relationship Type="http://schemas.openxmlformats.org/officeDocument/2006/relationships/hyperlink" Id="rId108" Target="https://en.wikipedia.org/wiki/ISO_3166-1_alpha-3" TargetMode="External" /><Relationship Type="http://schemas.openxmlformats.org/officeDocument/2006/relationships/hyperlink" Id="rId110" Target="https://en.wikipedia.org/wiki/List_of_Oceanian_countries_by_population"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34" Target="File:__" TargetMode="External" /><Relationship Type="http://schemas.openxmlformats.org/officeDocument/2006/relationships/hyperlink" Id="rId55" Target="http://dx.doi.org/" TargetMode="External" /><Relationship Type="http://schemas.openxmlformats.org/officeDocument/2006/relationships/hyperlink" Id="rId56" Target="http://dx.doi.org/10.1111/1365-2745.12334" TargetMode="External" /><Relationship Type="http://schemas.openxmlformats.org/officeDocument/2006/relationships/hyperlink" Id="rId47" Target="http://images.webofknowledge.com/WOK46/help/WOS/A_abrvjt.html" TargetMode="External" /><Relationship Type="http://schemas.openxmlformats.org/officeDocument/2006/relationships/hyperlink" Id="rId60"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67" Target="http://www.fws.gov/endangered/" TargetMode="External" /><Relationship Type="http://schemas.openxmlformats.org/officeDocument/2006/relationships/hyperlink" Id="rId27" Target="http://www.iplantcollaborative.org/" TargetMode="External" /><Relationship Type="http://schemas.openxmlformats.org/officeDocument/2006/relationships/hyperlink" Id="rId28" Target="https://en.wikipedia.org/" TargetMode="External" /><Relationship Type="http://schemas.openxmlformats.org/officeDocument/2006/relationships/hyperlink" Id="rId108" Target="https://en.wikipedia.org/wiki/ISO_3166-1_alpha-3" TargetMode="External" /><Relationship Type="http://schemas.openxmlformats.org/officeDocument/2006/relationships/hyperlink" Id="rId110" Target="https://en.wikipedia.org/wiki/List_of_Oceanian_countries_by_population"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cp:coreProperties>
</file>