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2.png" ContentType="image/png"/>
  <Override PartName="/word/media/rId110.png" ContentType="image/png"/>
  <Override PartName="/word/media/rId96.png" ContentType="image/png"/>
  <Override PartName="/word/media/rId104.png" ContentType="image/png"/>
  <Override PartName="/word/media/rId78.png" ContentType="image/png"/>
  <Override PartName="/word/media/rId114.png" ContentType="image/png"/>
  <Override PartName="/word/media/rId86.png" ContentType="image/png"/>
  <Override PartName="/word/media/rId59.png" ContentType="image/png"/>
  <Override PartName="/word/media/rId61.png" ContentType="image/png"/>
  <Override PartName="/word/media/rId113.png" ContentType="image/png"/>
  <Override PartName="/word/media/rId121.png" ContentType="image/png"/>
  <Override PartName="/word/media/rId122.png" ContentType="image/png"/>
  <Override PartName="/word/media/rId123.png" ContentType="image/png"/>
  <Override PartName="/word/media/rId1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Heading2"/>
      </w:pPr>
      <w:bookmarkStart w:id="21" w:name="preamble"/>
      <w:bookmarkEnd w:id="21"/>
      <w:r>
        <w:t xml:space="preserve">Preamble</w:t>
      </w:r>
    </w:p>
    <w:p>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r>
        <w:t xml:space="preserve">These data are compiled using a set of R scripts and released to the public as open access data via the website: www.compadre-db.org.</w:t>
      </w:r>
    </w:p>
    <w:p>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Link"/>
          </w:rPr>
          <w:t xml:space="preserve">compadre-contact@demogr.mpg.de</w:t>
        </w:r>
      </w:hyperlink>
      <w:r>
        <w:t xml:space="preserve">. Specific questions can also be directed to Rob Salguero-Gómez (</w:t>
      </w:r>
      <w:hyperlink r:id="rId23">
        <w:r>
          <w:rPr>
            <w:rStyle w:val="Link"/>
          </w:rPr>
          <w:t xml:space="preserve">r.salguero@uq.edu.au</w:t>
        </w:r>
      </w:hyperlink>
      <w:r>
        <w:t xml:space="preserve">) or Owen Jones (</w:t>
      </w:r>
      <w:hyperlink r:id="rId24">
        <w:r>
          <w:rPr>
            <w:rStyle w:val="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e.g. growth form), whereas "A" pertains only to animals (COMADRE; e.g. class).</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Link"/>
          </w:rPr>
          <w:t xml:space="preserve">http://www.catalogueoflife.org/</w:t>
        </w:r>
      </w:hyperlink>
      <w:r>
        <w:t xml:space="preserve">], iPlant Collaborative [</w:t>
      </w:r>
      <w:hyperlink r:id="rId27">
        <w:r>
          <w:rPr>
            <w:rStyle w:val="Link"/>
          </w:rPr>
          <w:t xml:space="preserve">http://www.iplantcollaborative.org/</w:t>
        </w:r>
      </w:hyperlink>
      <w:r>
        <w:t xml:space="preserve">], Wikipedia [</w:t>
      </w:r>
      <w:hyperlink r:id="rId28">
        <w:r>
          <w:rPr>
            <w:rStyle w:val="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r>
        <w:pict>
          <v:rect style="width:0;height:1.5pt" o:hralign="center" o:hrstd="t" o:hr="t"/>
        </w:pict>
      </w:r>
    </w:p>
    <w:p>
      <w:pPr>
        <w:pStyle w:val="Heading1"/>
      </w:pPr>
      <w:bookmarkStart w:id="29" w:name="values-used-throughout-the-database"/>
      <w:bookmarkEnd w:id="29"/>
      <w:r>
        <w:t xml:space="preserve">Values used throughout the database</w:t>
      </w:r>
    </w:p>
    <w:p>
      <w:r>
        <w:t xml:space="preserve">The following values are commonly used throughout the database.</w:t>
      </w:r>
    </w:p>
    <w:p>
      <w:r>
        <w:rPr>
          <w:b/>
        </w:rPr>
        <w:t xml:space="preserve">NA</w:t>
      </w:r>
      <w:r>
        <w:t xml:space="preserve"> </w:t>
      </w:r>
      <w:r>
        <w:t xml:space="preserve">- Not available - The information is not available either because the author does not have it or because the information is not recognized as “priority” (see below) for the digitalisation.</w:t>
      </w:r>
    </w:p>
    <w:p>
      <w:r>
        <w:rPr>
          <w:b/>
        </w:rPr>
        <w:t xml:space="preserve">AFI</w:t>
      </w:r>
      <w:r>
        <w:t xml:space="preserve"> </w:t>
      </w:r>
      <w:r>
        <w:t xml:space="preserve">- Asked for it - The information is not yet in the database, but the COMPADRino has already contacted the author requesting it (i.e. the author has not yet replied).</w:t>
      </w:r>
    </w:p>
    <w:p>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Same for ranges, where author provides a range of latitudes and longitudes for a given population. Ranges are noted into the observation column</w:t>
      </w:r>
    </w:p>
    <w:p>
      <w:r>
        <w:rPr>
          <w:b/>
        </w:rPr>
        <w:t xml:space="preserve">LAB</w:t>
      </w:r>
      <w:r>
        <w:t xml:space="preserve"> </w:t>
      </w:r>
      <w:r>
        <w:t xml:space="preserve">- Laboratory - The author collected demographic data for the studied species in a laboratory or under greenhouse conditions – controlled, usually indoor, conditions that mean the study species is not affected by the environment conditions typical of the actual geographic location of the study.</w:t>
      </w:r>
    </w:p>
    <w:p>
      <w:r>
        <w:rPr>
          <w:b/>
        </w:rPr>
        <w:t xml:space="preserve">FRANK</w:t>
      </w:r>
      <w:r>
        <w:t xml:space="preserve"> </w:t>
      </w:r>
      <w:r>
        <w:t xml:space="preserve">- Frankenstein matrix - The author used demographic data from at least two other papers and calculated a</w:t>
      </w:r>
      <w:r>
        <w:t xml:space="preserve"> </w:t>
      </w:r>
      <w:r>
        <w:rPr>
          <w:i/>
        </w:rPr>
        <w:t xml:space="preserve">new</w:t>
      </w:r>
      <w:r>
        <w:t xml:space="preserve"> </w:t>
      </w:r>
      <w:r>
        <w:t xml:space="preserve">matrix population model out of tose data. In those cases, we typically have different study sites and years of study. For these data we do not calculate averages or ranges but instead enter</w:t>
      </w:r>
      <w:r>
        <w:t xml:space="preserve"> </w:t>
      </w:r>
      <w:r>
        <w:rPr>
          <w:b/>
        </w:rPr>
        <w:t xml:space="preserve">FRANK</w:t>
      </w:r>
      <w:r>
        <w:t xml:space="preserve">.</w:t>
      </w:r>
    </w:p>
    <w:p>
      <w:r>
        <w:pict>
          <v:rect style="width:0;height:1.5pt" o:hralign="center" o:hrstd="t" o:hr="t"/>
        </w:pict>
      </w:r>
    </w:p>
    <w:p>
      <w:pPr>
        <w:pStyle w:val="Heading1"/>
      </w:pPr>
      <w:bookmarkStart w:id="30" w:name="priority-variables"/>
      <w:bookmarkEnd w:id="30"/>
      <w:r>
        <w:t xml:space="preserve">Priority variables</w:t>
      </w:r>
    </w:p>
    <w:p>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Heading2"/>
      </w:pPr>
      <w:bookmarkStart w:id="31" w:name="references"/>
      <w:bookmarkEnd w:id="31"/>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2" w:name="descriptor-file"/>
      <w:bookmarkEnd w:id="32"/>
      <w:r>
        <w:t xml:space="preserve">DESCRIPTOR FILE</w:t>
      </w:r>
    </w:p>
    <w:p>
      <w:pPr>
        <w:pStyle w:val="Heading2"/>
      </w:pPr>
      <w:bookmarkStart w:id="33" w:name="student"/>
      <w:bookmarkEnd w:id="33"/>
      <w:r>
        <w:t xml:space="preserve">Student</w:t>
      </w:r>
    </w:p>
    <w:p>
      <w:r>
        <w:t xml:space="preserve">First name of COMPADRino</w:t>
      </w:r>
    </w:p>
    <w:p>
      <w:r>
        <w:t xml:space="preserve">Possible values</w:t>
      </w:r>
    </w:p>
    <w:p>
      <w:pPr>
        <w:pStyle w:val="Compact"/>
        <w:numPr>
          <w:numId w:val="1004"/>
          <w:ilvl w:val="0"/>
        </w:numPr>
      </w:pPr>
      <w:r>
        <w:t xml:space="preserve">Alex</w:t>
      </w:r>
    </w:p>
    <w:p>
      <w:pPr>
        <w:pStyle w:val="Compact"/>
        <w:numPr>
          <w:numId w:val="1004"/>
          <w:ilvl w:val="0"/>
        </w:numPr>
      </w:pPr>
      <w:r>
        <w:t xml:space="preserve">Anne</w:t>
      </w:r>
    </w:p>
    <w:p>
      <w:pPr>
        <w:pStyle w:val="Compact"/>
        <w:numPr>
          <w:numId w:val="1004"/>
          <w:ilvl w:val="0"/>
        </w:numPr>
      </w:pPr>
      <w:r>
        <w:t xml:space="preserve">Claudia</w:t>
      </w:r>
    </w:p>
    <w:p>
      <w:pPr>
        <w:pStyle w:val="Compact"/>
        <w:numPr>
          <w:numId w:val="1004"/>
          <w:ilvl w:val="0"/>
        </w:numPr>
      </w:pPr>
      <w:r>
        <w:t xml:space="preserve">Christoph</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Gesa</w:t>
      </w:r>
    </w:p>
    <w:p>
      <w:pPr>
        <w:pStyle w:val="Compact"/>
        <w:numPr>
          <w:numId w:val="1004"/>
          <w:ilvl w:val="0"/>
        </w:numPr>
      </w:pPr>
      <w:r>
        <w:t xml:space="preserve">Gabriel</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Veronika</w:t>
      </w:r>
    </w:p>
    <w:p>
      <w:pPr>
        <w:pStyle w:val="Compact"/>
        <w:numPr>
          <w:numId w:val="1004"/>
          <w:ilvl w:val="0"/>
        </w:numPr>
      </w:pPr>
      <w:r>
        <w:t xml:space="preserve">Rob</w:t>
      </w:r>
    </w:p>
    <w:p>
      <w:pPr>
        <w:pStyle w:val="Compact"/>
        <w:numPr>
          <w:numId w:val="1004"/>
          <w:ilvl w:val="0"/>
        </w:numPr>
      </w:pPr>
      <w:r>
        <w:t xml:space="preserve">Tara</w:t>
      </w:r>
    </w:p>
    <w:p>
      <w:r>
        <w:t xml:space="preserve">Information for Species Descriptors file:</w:t>
      </w:r>
    </w:p>
    <w:p>
      <w:r>
        <w:t xml:space="preserve">The fill color of the variable Student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column (e.g. no mail address of author(s) found/functional/outdated).</w:t>
      </w:r>
    </w:p>
    <w:p>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r>
        <w:t xml:space="preserve">__Information for the Stacked</w:t>
      </w:r>
      <w:r>
        <w:t xml:space="preserve"> </w:t>
      </w:r>
      <w:hyperlink r:id="rId34">
        <w:r>
          <w:rPr>
            <w:rStyle w:val="Link"/>
          </w:rPr>
          <w:t xml:space="preserve">File:__</w:t>
        </w:r>
      </w:hyperlink>
    </w:p>
    <w:p>
      <w:r>
        <w:t xml:space="preserve">The color coding in the EnteredBy column of the Stacked File means the following:</w:t>
      </w:r>
    </w:p>
    <w:p>
      <w:pPr>
        <w:pStyle w:val="Compact"/>
        <w:numPr>
          <w:numId w:val="1006"/>
          <w:ilvl w:val="0"/>
        </w:numPr>
      </w:pPr>
      <w:r>
        <w:t xml:space="preserve">RED There is some problem with this entry, the student who entered the species is informed and works on the species/species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Species/study is ready to go online.</w:t>
      </w:r>
    </w:p>
    <w:p>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5" w:name="notes"/>
      <w:bookmarkEnd w:id="35"/>
      <w:r>
        <w:t xml:space="preserve">Notes</w:t>
      </w:r>
    </w:p>
    <w:p>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6" w:name="versionrelease"/>
      <w:bookmarkEnd w:id="36"/>
      <w:r>
        <w:t xml:space="preserve">VersionRelease</w:t>
      </w:r>
    </w:p>
    <w:p>
      <w:r>
        <w:t xml:space="preserve">The Version number of the database where the data is/will be released. e.g. 3.0.0, 3.1.0. 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7" w:name="transferred"/>
      <w:bookmarkEnd w:id="37"/>
      <w:r>
        <w:t xml:space="preserve">Transferred</w:t>
      </w:r>
    </w:p>
    <w:p>
      <w:r>
        <w:t xml:space="preserve">Record the status of transference of matrices into the stacked file.</w:t>
      </w:r>
    </w:p>
    <w:p>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r>
        <w:rPr>
          <w:b/>
        </w:rPr>
        <w:t xml:space="preserve">No</w:t>
      </w:r>
      <w:r>
        <w:t xml:space="preserve"> </w:t>
      </w:r>
      <w:r>
        <w:t xml:space="preserve">- Nothing has yet been transferred, but the COMPADRino has started working on this species.</w:t>
      </w:r>
    </w:p>
    <w:p>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38" w:name="missingdata"/>
      <w:bookmarkEnd w:id="38"/>
      <w:r>
        <w:t xml:space="preserve">MissingData</w:t>
      </w:r>
    </w:p>
    <w:p>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digitised</w:t>
      </w:r>
    </w:p>
    <w:p>
      <w:r>
        <w:t xml:space="preserve">If more than one piece of information is missing, these are separated with ";" (without white-space in between), e.g. "I;S;O".</w:t>
      </w:r>
    </w:p>
    <w:p>
      <w:r>
        <w:pict>
          <v:rect style="width:0;height:1.5pt" o:hralign="center" o:hrstd="t" o:hr="t"/>
        </w:pict>
      </w:r>
    </w:p>
    <w:p>
      <w:pPr>
        <w:pStyle w:val="Heading2"/>
      </w:pPr>
      <w:bookmarkStart w:id="39" w:name="datedigitalization"/>
      <w:bookmarkEnd w:id="39"/>
      <w:r>
        <w:t xml:space="preserve">DateDigitalization</w:t>
      </w:r>
    </w:p>
    <w:p>
      <w:r>
        <w:t xml:space="preserve">Records the date when COMPADRino started working on this species resp. when the first matrix population model of that study was digitised in stacked file. Dates should be recorded in US date format: mm.dd.yyyy, e.g. 12.25.2015 for 25th Dec 2015.</w:t>
      </w:r>
    </w:p>
    <w:p>
      <w:r>
        <w:pict>
          <v:rect style="width:0;height:1.5pt" o:hralign="center" o:hrstd="t" o:hr="t"/>
        </w:pict>
      </w:r>
    </w:p>
    <w:p>
      <w:pPr>
        <w:pStyle w:val="Heading2"/>
      </w:pPr>
      <w:bookmarkStart w:id="40" w:name="embargo"/>
      <w:bookmarkEnd w:id="40"/>
      <w:r>
        <w:t xml:space="preserve">Embargo</w:t>
      </w:r>
    </w:p>
    <w:p>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1" w:name="growthtype-p"/>
      <w:bookmarkEnd w:id="41"/>
      <w:r>
        <w:t xml:space="preserve">GrowthType (P)</w:t>
      </w:r>
    </w:p>
    <w:p>
      <w:r>
        <w:t xml:space="preserve">This entry applies only to plants and records the plant/algae type, based mainly on architectural organisation. This information is intended mostly for internal use and reflects how our PDF library is organized on our servers, as well as the tab in the Matrix Stacked file where the matrices are stored.</w:t>
      </w:r>
    </w:p>
    <w:p>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r>
        <w:t xml:space="preserve">The species should be assigned to one of these possible values using the description of plant growth type provided by the author and by reference to other sources (e.g. other publications).</w:t>
      </w:r>
    </w:p>
    <w:p>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r>
        <w:pict>
          <v:rect style="width:0;height:1.5pt" o:hralign="center" o:hrstd="t" o:hr="t"/>
        </w:pict>
      </w:r>
    </w:p>
    <w:p>
      <w:pPr>
        <w:pStyle w:val="Heading2"/>
      </w:pPr>
      <w:bookmarkStart w:id="42" w:name="class-a"/>
      <w:bookmarkEnd w:id="42"/>
      <w:r>
        <w:t xml:space="preserve">Class (A)</w:t>
      </w:r>
    </w:p>
    <w:p>
      <w:r>
        <w:t xml:space="preserve">This entry only applies to animals. For animals, taxonomic class is recorded in both the Descriptors file and the Stacked Matrix file. This information is intended for internal use and reflects how our PDF library is organised on our servers, as well as the tab in the Matrix Stacked file where the matrices are stored.</w:t>
      </w:r>
    </w:p>
    <w:p>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r>
        <w:pict>
          <v:rect style="width:0;height:1.5pt" o:hralign="center" o:hrstd="t" o:hr="t"/>
        </w:pict>
      </w:r>
    </w:p>
    <w:p>
      <w:pPr>
        <w:pStyle w:val="Heading2"/>
      </w:pPr>
      <w:bookmarkStart w:id="43" w:name="speciesauthor"/>
      <w:bookmarkEnd w:id="43"/>
      <w:r>
        <w:t xml:space="preserve">SpeciesAuthor</w:t>
      </w:r>
    </w:p>
    <w:p>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r>
        <w:t xml:space="preserve">The word following “var.”, “subsp.” or “cf.” must not be capitalised. Excel will try to capitalise it via auto-correct because it follows a period punctuation.</w:t>
      </w:r>
    </w:p>
    <w:p>
      <w:r>
        <w:t xml:space="preserve">Always use an underscore "_" to substitute spaces (e.g. write "Cryptantha_flava" instead of "Cryptantha flava").</w:t>
      </w:r>
    </w:p>
    <w:p>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4" w:name="commonname"/>
      <w:bookmarkEnd w:id="44"/>
      <w:r>
        <w:t xml:space="preserve">CommonName</w:t>
      </w:r>
    </w:p>
    <w:p>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45" w:name="authors"/>
      <w:bookmarkEnd w:id="45"/>
      <w:r>
        <w:t xml:space="preserve">Authors</w:t>
      </w:r>
    </w:p>
    <w:p>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46" w:name="journal"/>
      <w:bookmarkEnd w:id="46"/>
      <w:r>
        <w:t xml:space="preserve">Journal</w:t>
      </w:r>
    </w:p>
    <w:p>
      <w:r>
        <w:t xml:space="preserve">Record the name of the journal from which data were sourced. If the data were sourced from a book, thesis, report, or conference talk/poster, record that as appropriate. For journal abbreviations see list here:</w:t>
      </w:r>
      <w:r>
        <w:t xml:space="preserve"> </w:t>
      </w:r>
      <w:hyperlink r:id="rId47">
        <w:r>
          <w:rPr>
            <w:rStyle w:val="Link"/>
          </w:rPr>
          <w:t xml:space="preserve">http://images.webofknowledge.com/WOK46/help/WOS/A_abrvjt.html</w:t>
        </w:r>
      </w:hyperlink>
      <w:r>
        <w:t xml:space="preserve">.</w:t>
      </w:r>
    </w:p>
    <w:p>
      <w:r>
        <w:t xml:space="preserve">If no abbreviation is available in both of those list, take a look into the paper. Often there are abbreviations in the left corner of the paper or at the first page.</w:t>
      </w:r>
    </w:p>
    <w:p>
      <w:pPr>
        <w:pStyle w:val="Compact"/>
        <w:numPr>
          <w:numId w:val="1010"/>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0"/>
          <w:ilvl w:val="0"/>
        </w:numPr>
      </w:pPr>
      <w:r>
        <w:t xml:space="preserve">Book - Matrices are from a book, or book chapter. Note: If our source is a book name the author of the related chapter in Authors, not the author of the book.</w:t>
      </w:r>
    </w:p>
    <w:p>
      <w:pPr>
        <w:pStyle w:val="Compact"/>
        <w:numPr>
          <w:numId w:val="1010"/>
          <w:ilvl w:val="0"/>
        </w:numPr>
      </w:pPr>
      <w:r>
        <w:t xml:space="preserve">PhD thesis - Matrices are from a doctoral thesis.</w:t>
      </w:r>
    </w:p>
    <w:p>
      <w:pPr>
        <w:pStyle w:val="Compact"/>
        <w:numPr>
          <w:numId w:val="1010"/>
          <w:ilvl w:val="0"/>
        </w:numPr>
      </w:pPr>
      <w:r>
        <w:t xml:space="preserve">MSc thesis - Matrices are from a masters thesis.</w:t>
      </w:r>
    </w:p>
    <w:p>
      <w:pPr>
        <w:pStyle w:val="Compact"/>
        <w:numPr>
          <w:numId w:val="1010"/>
          <w:ilvl w:val="0"/>
        </w:numPr>
      </w:pPr>
      <w:r>
        <w:t xml:space="preserve">Report - Matrices are from a report.</w:t>
      </w:r>
    </w:p>
    <w:p>
      <w:pPr>
        <w:pStyle w:val="Compact"/>
        <w:numPr>
          <w:numId w:val="1010"/>
          <w:ilvl w:val="0"/>
        </w:numPr>
      </w:pPr>
      <w:r>
        <w:t xml:space="preserve">Conference talk - Matrices reported in a conference talk.</w:t>
      </w:r>
    </w:p>
    <w:p>
      <w:pPr>
        <w:pStyle w:val="Compact"/>
        <w:numPr>
          <w:numId w:val="1010"/>
          <w:ilvl w:val="0"/>
        </w:numPr>
      </w:pPr>
      <w:r>
        <w:t xml:space="preserve">Conference poster - Matrices reported in a conference poster.</w:t>
      </w:r>
    </w:p>
    <w:p>
      <w:r>
        <w:pict>
          <v:rect style="width:0;height:1.5pt" o:hralign="center" o:hrstd="t" o:hr="t"/>
        </w:pict>
      </w:r>
    </w:p>
    <w:p>
      <w:pPr>
        <w:pStyle w:val="Heading2"/>
      </w:pPr>
      <w:bookmarkStart w:id="48" w:name="yearpublication"/>
      <w:bookmarkEnd w:id="48"/>
      <w:r>
        <w:t xml:space="preserve">YearPublication</w:t>
      </w:r>
    </w:p>
    <w:p>
      <w:r>
        <w:t xml:space="preserve">Year of publication of the source publication. This should be recorded as YYYY (e.g. 2002).</w:t>
      </w:r>
    </w:p>
    <w:p>
      <w:r>
        <w:pict>
          <v:rect style="width:0;height:1.5pt" o:hralign="center" o:hrstd="t" o:hr="t"/>
        </w:pict>
      </w:r>
    </w:p>
    <w:p>
      <w:pPr>
        <w:pStyle w:val="Heading2"/>
      </w:pPr>
      <w:bookmarkStart w:id="49" w:name="correspondingauthor"/>
      <w:bookmarkEnd w:id="49"/>
      <w:r>
        <w:t xml:space="preserve">CorrespondingAuthor</w:t>
      </w:r>
    </w:p>
    <w:p>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50" w:name="email"/>
      <w:bookmarkEnd w:id="50"/>
      <w:r>
        <w:t xml:space="preserve">Email</w:t>
      </w:r>
    </w:p>
    <w:p>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r>
        <w:t xml:space="preserve">e.g.</w:t>
      </w:r>
      <w:r>
        <w:t xml:space="preserve"> </w:t>
      </w:r>
      <w:hyperlink r:id="rId24">
        <w:r>
          <w:rPr>
            <w:rStyle w:val="Link"/>
          </w:rPr>
          <w:t xml:space="preserve">jones@biology.sdu.dk</w:t>
        </w:r>
      </w:hyperlink>
      <w:r>
        <w:t xml:space="preserve"> </w:t>
      </w:r>
      <w:r>
        <w:t xml:space="preserve">(2015)</w:t>
      </w:r>
    </w:p>
    <w:p>
      <w:r>
        <w:pict>
          <v:rect style="width:0;height:1.5pt" o:hralign="center" o:hrstd="t" o:hr="t"/>
        </w:pict>
      </w:r>
    </w:p>
    <w:p>
      <w:pPr>
        <w:pStyle w:val="Heading2"/>
      </w:pPr>
      <w:bookmarkStart w:id="51" w:name="contacted"/>
      <w:bookmarkEnd w:id="51"/>
      <w:r>
        <w:t xml:space="preserve">Contacted</w:t>
      </w:r>
    </w:p>
    <w:p>
      <w:r>
        <w:t xml:space="preserve">Record the date(s) when the publication author was contacted asking for information in US date format (mm.dd.yyyy). Authors should always be contacted from the</w:t>
      </w:r>
      <w:r>
        <w:t xml:space="preserve"> </w:t>
      </w:r>
      <w:hyperlink r:id="rId22">
        <w:r>
          <w:rPr>
            <w:rStyle w:val="Link"/>
          </w:rPr>
          <w:t xml:space="preserve">compadre-contact@demogr.mpg.de</w:t>
        </w:r>
      </w:hyperlink>
      <w:r>
        <w:t xml:space="preserve"> </w:t>
      </w:r>
      <w:r>
        <w:t xml:space="preserve">email address rather than a personal email address.</w:t>
      </w:r>
    </w:p>
    <w:p>
      <w:r>
        <w:t xml:space="preserve">Procedure for lack of response depends on the YearPublication of the source:</w:t>
      </w:r>
    </w:p>
    <w:p>
      <w:pPr>
        <w:numPr>
          <w:numId w:val="1011"/>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1"/>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52" w:name="contentemail"/>
      <w:bookmarkEnd w:id="52"/>
      <w:r>
        <w:t xml:space="preserve">ContentEmail</w:t>
      </w:r>
    </w:p>
    <w:p>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53" w:name="reply"/>
      <w:bookmarkEnd w:id="53"/>
      <w:r>
        <w:t xml:space="preserve">Reply</w:t>
      </w:r>
    </w:p>
    <w:p>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54" w:name="doiisbn"/>
      <w:bookmarkEnd w:id="54"/>
      <w:r>
        <w:t xml:space="preserve">DOI/ISBN</w:t>
      </w:r>
    </w:p>
    <w:p>
      <w:r>
        <w:t xml:space="preserve">Records Digital Object Identifier (DOI) or International Standard Book Number (ISBN) codes that identifies the source material. In more recent papers you may find the DOI somewhere at the beginning of the paper. You may also search for it in the Web of Knowledge. Always make sure that the DOI or ISBN you have just digitised corresponds to the actual source by copy-pasting it in google.</w:t>
      </w:r>
    </w:p>
    <w:p>
      <w:r>
        <w:pict>
          <v:rect style="width:0;height:1.5pt" o:hralign="center" o:hrstd="t" o:hr="t"/>
        </w:pict>
      </w:r>
    </w:p>
    <w:p>
      <w:pPr>
        <w:pStyle w:val="Heading2"/>
      </w:pPr>
      <w:bookmarkStart w:id="55" w:name="additionalsource"/>
      <w:bookmarkEnd w:id="55"/>
      <w:r>
        <w:t xml:space="preserve">AdditionalSource</w:t>
      </w:r>
    </w:p>
    <w:p>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56" w:name="database"/>
      <w:bookmarkEnd w:id="56"/>
      <w:r>
        <w:t xml:space="preserve">Database</w:t>
      </w:r>
    </w:p>
    <w:p>
      <w:r>
        <w:t xml:space="preserve">Over the years COMPADRE database has obtained data from similar matrix databases. This column records whenever this is the case. The possible values are:</w:t>
      </w:r>
    </w:p>
    <w:p>
      <w:pPr>
        <w:pStyle w:val="Compact"/>
        <w:numPr>
          <w:numId w:val="1012"/>
          <w:ilvl w:val="0"/>
        </w:numPr>
      </w:pPr>
      <w:r>
        <w:t xml:space="preserve">Exeter - David Hodgson</w:t>
      </w:r>
    </w:p>
    <w:p>
      <w:pPr>
        <w:pStyle w:val="Compact"/>
        <w:numPr>
          <w:numId w:val="1012"/>
          <w:ilvl w:val="0"/>
        </w:numPr>
      </w:pPr>
      <w:r>
        <w:t xml:space="preserve">COMPADRE I - Miguel Franco &amp; Jonathan Silvertown</w:t>
      </w:r>
    </w:p>
    <w:p>
      <w:pPr>
        <w:pStyle w:val="Compact"/>
        <w:numPr>
          <w:numId w:val="1012"/>
          <w:ilvl w:val="0"/>
        </w:numPr>
      </w:pPr>
      <w:r>
        <w:t xml:space="preserve">Ramula - Satu Ramula</w:t>
      </w:r>
    </w:p>
    <w:p>
      <w:pPr>
        <w:pStyle w:val="Compact"/>
        <w:numPr>
          <w:numId w:val="1012"/>
          <w:ilvl w:val="0"/>
        </w:numPr>
      </w:pPr>
      <w:r>
        <w:t xml:space="preserve">NCEAS - Jennifer Williams et al.</w:t>
      </w:r>
    </w:p>
    <w:p>
      <w:pPr>
        <w:pStyle w:val="Compact"/>
        <w:numPr>
          <w:numId w:val="1012"/>
          <w:ilvl w:val="0"/>
        </w:numPr>
      </w:pPr>
      <w:r>
        <w:t xml:space="preserve">UQ - Yvonne Buckley and collaborators</w:t>
      </w:r>
    </w:p>
    <w:p>
      <w:r>
        <w:pict>
          <v:rect style="width:0;height:1.5pt" o:hralign="center" o:hrstd="t" o:hr="t"/>
        </w:pict>
      </w:r>
    </w:p>
    <w:p>
      <w:pPr>
        <w:pStyle w:val="Heading2"/>
      </w:pPr>
      <w:bookmarkStart w:id="57" w:name="ecoregion"/>
      <w:bookmarkEnd w:id="57"/>
      <w:r>
        <w:t xml:space="preserve">Ecoregion</w:t>
      </w:r>
    </w:p>
    <w:p>
      <w:r>
        <w:t xml:space="preserve">Description of the Ecoregion for the study, using the categories described in Figure 1 of Olson et al. (2001).</w:t>
      </w:r>
    </w:p>
    <w:p>
      <w:r>
        <w:rPr>
          <w:b/>
        </w:rPr>
        <w:t xml:space="preserve">Terrestrial ecoregions</w:t>
      </w:r>
    </w:p>
    <w:p>
      <w:pPr>
        <w:pStyle w:val="Compact"/>
        <w:numPr>
          <w:numId w:val="1013"/>
          <w:ilvl w:val="0"/>
        </w:numPr>
      </w:pPr>
      <w:r>
        <w:t xml:space="preserve">TMB tropical and subtropical moist broadleaf forests</w:t>
      </w:r>
    </w:p>
    <w:p>
      <w:pPr>
        <w:pStyle w:val="Compact"/>
        <w:numPr>
          <w:numId w:val="1013"/>
          <w:ilvl w:val="0"/>
        </w:numPr>
      </w:pPr>
      <w:r>
        <w:t xml:space="preserve">TDB tropical and subtropical dry broadleaf forests</w:t>
      </w:r>
    </w:p>
    <w:p>
      <w:pPr>
        <w:pStyle w:val="Compact"/>
        <w:numPr>
          <w:numId w:val="1013"/>
          <w:ilvl w:val="0"/>
        </w:numPr>
      </w:pPr>
      <w:r>
        <w:t xml:space="preserve">TSC tropical and subtropical coniferous forests</w:t>
      </w:r>
    </w:p>
    <w:p>
      <w:pPr>
        <w:pStyle w:val="Compact"/>
        <w:numPr>
          <w:numId w:val="1013"/>
          <w:ilvl w:val="0"/>
        </w:numPr>
      </w:pPr>
      <w:r>
        <w:t xml:space="preserve">TBM temperate broadleaf and mixed forests</w:t>
      </w:r>
    </w:p>
    <w:p>
      <w:pPr>
        <w:pStyle w:val="Compact"/>
        <w:numPr>
          <w:numId w:val="1013"/>
          <w:ilvl w:val="0"/>
        </w:numPr>
      </w:pPr>
      <w:r>
        <w:t xml:space="preserve">TCF temperate coniferous forests</w:t>
      </w:r>
    </w:p>
    <w:p>
      <w:pPr>
        <w:pStyle w:val="Compact"/>
        <w:numPr>
          <w:numId w:val="1013"/>
          <w:ilvl w:val="0"/>
        </w:numPr>
      </w:pPr>
      <w:r>
        <w:t xml:space="preserve">BOR boreal forests/ taiga</w:t>
      </w:r>
    </w:p>
    <w:p>
      <w:pPr>
        <w:pStyle w:val="Compact"/>
        <w:numPr>
          <w:numId w:val="1013"/>
          <w:ilvl w:val="0"/>
        </w:numPr>
      </w:pPr>
      <w:r>
        <w:t xml:space="preserve">TGV tropical and subtropical grasslands, savannas and shrublands</w:t>
      </w:r>
    </w:p>
    <w:p>
      <w:pPr>
        <w:pStyle w:val="Compact"/>
        <w:numPr>
          <w:numId w:val="1013"/>
          <w:ilvl w:val="0"/>
        </w:numPr>
      </w:pPr>
      <w:r>
        <w:t xml:space="preserve">TGS temperate grasslands, savannas, and shrublands</w:t>
      </w:r>
    </w:p>
    <w:p>
      <w:pPr>
        <w:pStyle w:val="Compact"/>
        <w:numPr>
          <w:numId w:val="1013"/>
          <w:ilvl w:val="0"/>
        </w:numPr>
      </w:pPr>
      <w:r>
        <w:t xml:space="preserve">FGS flooded grasslands and savannas</w:t>
      </w:r>
    </w:p>
    <w:p>
      <w:pPr>
        <w:pStyle w:val="Compact"/>
        <w:numPr>
          <w:numId w:val="1013"/>
          <w:ilvl w:val="0"/>
        </w:numPr>
      </w:pPr>
      <w:r>
        <w:t xml:space="preserve">MON montane grasslands and shrublands</w:t>
      </w:r>
    </w:p>
    <w:p>
      <w:pPr>
        <w:pStyle w:val="Compact"/>
        <w:numPr>
          <w:numId w:val="1013"/>
          <w:ilvl w:val="0"/>
        </w:numPr>
      </w:pPr>
      <w:r>
        <w:t xml:space="preserve">TUN tundra</w:t>
      </w:r>
    </w:p>
    <w:p>
      <w:pPr>
        <w:pStyle w:val="Compact"/>
        <w:numPr>
          <w:numId w:val="1013"/>
          <w:ilvl w:val="0"/>
        </w:numPr>
      </w:pPr>
      <w:r>
        <w:t xml:space="preserve">MED Mediterranean forests, woodlands and scrubs</w:t>
      </w:r>
    </w:p>
    <w:p>
      <w:pPr>
        <w:pStyle w:val="Compact"/>
        <w:numPr>
          <w:numId w:val="1013"/>
          <w:ilvl w:val="0"/>
        </w:numPr>
      </w:pPr>
      <w:r>
        <w:t xml:space="preserve">DES deserts and xeric shrublands</w:t>
      </w:r>
    </w:p>
    <w:p>
      <w:pPr>
        <w:pStyle w:val="Compact"/>
        <w:numPr>
          <w:numId w:val="1013"/>
          <w:ilvl w:val="0"/>
        </w:numPr>
      </w:pPr>
      <w:r>
        <w:t xml:space="preserve">MAN mangroves</w:t>
      </w:r>
    </w:p>
    <w:p>
      <w:r>
        <w:rPr>
          <w:b/>
        </w:rPr>
        <w:t xml:space="preserve">Freshwater ecoregions</w:t>
      </w:r>
    </w:p>
    <w:p>
      <w:pPr>
        <w:pStyle w:val="Compact"/>
        <w:numPr>
          <w:numId w:val="1014"/>
          <w:ilvl w:val="0"/>
        </w:numPr>
      </w:pPr>
      <w:r>
        <w:t xml:space="preserve">LRE large river ecosystems</w:t>
      </w:r>
    </w:p>
    <w:p>
      <w:pPr>
        <w:pStyle w:val="Compact"/>
        <w:numPr>
          <w:numId w:val="1014"/>
          <w:ilvl w:val="0"/>
        </w:numPr>
      </w:pPr>
      <w:r>
        <w:t xml:space="preserve">LRH large river headwater ecosystems</w:t>
      </w:r>
    </w:p>
    <w:p>
      <w:pPr>
        <w:pStyle w:val="Compact"/>
        <w:numPr>
          <w:numId w:val="1014"/>
          <w:ilvl w:val="0"/>
        </w:numPr>
      </w:pPr>
      <w:r>
        <w:t xml:space="preserve">LRD large river delta ecosystems</w:t>
      </w:r>
    </w:p>
    <w:p>
      <w:pPr>
        <w:pStyle w:val="Compact"/>
        <w:numPr>
          <w:numId w:val="1014"/>
          <w:ilvl w:val="0"/>
        </w:numPr>
      </w:pPr>
      <w:r>
        <w:t xml:space="preserve">SRD small river delta ecosystems</w:t>
      </w:r>
    </w:p>
    <w:p>
      <w:pPr>
        <w:pStyle w:val="Compact"/>
        <w:numPr>
          <w:numId w:val="1014"/>
          <w:ilvl w:val="0"/>
        </w:numPr>
      </w:pPr>
      <w:r>
        <w:t xml:space="preserve">SLE small lake ecosystems</w:t>
      </w:r>
    </w:p>
    <w:p>
      <w:pPr>
        <w:pStyle w:val="Compact"/>
        <w:numPr>
          <w:numId w:val="1014"/>
          <w:ilvl w:val="0"/>
        </w:numPr>
      </w:pPr>
      <w:r>
        <w:t xml:space="preserve">LLE large lake ecosystems</w:t>
      </w:r>
    </w:p>
    <w:p>
      <w:pPr>
        <w:pStyle w:val="Compact"/>
        <w:numPr>
          <w:numId w:val="1014"/>
          <w:ilvl w:val="0"/>
        </w:numPr>
      </w:pPr>
      <w:r>
        <w:t xml:space="preserve">XBE xeric basin ecosystems</w:t>
      </w:r>
    </w:p>
    <w:p>
      <w:r>
        <w:rPr>
          <w:b/>
        </w:rPr>
        <w:t xml:space="preserve">Marine ecoregions</w:t>
      </w:r>
    </w:p>
    <w:p>
      <w:pPr>
        <w:pStyle w:val="Compact"/>
        <w:numPr>
          <w:numId w:val="1015"/>
          <w:ilvl w:val="0"/>
        </w:numPr>
      </w:pPr>
      <w:r>
        <w:t xml:space="preserve">POE polar ecosystems</w:t>
      </w:r>
    </w:p>
    <w:p>
      <w:pPr>
        <w:pStyle w:val="Compact"/>
        <w:numPr>
          <w:numId w:val="1015"/>
          <w:ilvl w:val="0"/>
        </w:numPr>
      </w:pPr>
      <w:r>
        <w:t xml:space="preserve">TSS temperate shelf and seas ecosystems</w:t>
      </w:r>
    </w:p>
    <w:p>
      <w:pPr>
        <w:pStyle w:val="Compact"/>
        <w:numPr>
          <w:numId w:val="1015"/>
          <w:ilvl w:val="0"/>
        </w:numPr>
      </w:pPr>
      <w:r>
        <w:t xml:space="preserve">TEU temperate upwellings</w:t>
      </w:r>
    </w:p>
    <w:p>
      <w:pPr>
        <w:pStyle w:val="Compact"/>
        <w:numPr>
          <w:numId w:val="1015"/>
          <w:ilvl w:val="0"/>
        </w:numPr>
      </w:pPr>
      <w:r>
        <w:t xml:space="preserve">TRU tropical upwellings</w:t>
      </w:r>
    </w:p>
    <w:p>
      <w:pPr>
        <w:pStyle w:val="Compact"/>
        <w:numPr>
          <w:numId w:val="1015"/>
          <w:ilvl w:val="0"/>
        </w:numPr>
      </w:pPr>
      <w:r>
        <w:t xml:space="preserve">TRC tropical coral</w:t>
      </w:r>
    </w:p>
    <w:p>
      <w:r>
        <w:t xml:space="preserve">For a more inclusive description of water ecoregions, see</w:t>
      </w:r>
      <w:r>
        <w:t xml:space="preserve"> </w:t>
      </w:r>
      <w:hyperlink r:id="rId58">
        <w:r>
          <w:rPr>
            <w:rStyle w:val="Link"/>
          </w:rPr>
          <w:t xml:space="preserve">http://worldwildlife.org/biomes</w:t>
        </w:r>
      </w:hyperlink>
    </w:p>
    <w:p>
      <w:r>
        <w:t xml:space="preserve">This is a drop-down variable. Separate with "; " if more than one</w:t>
      </w:r>
    </w:p>
    <w:p>
      <w:r>
        <w:t xml:space="preserve">To find out within which terrestrial ecoregion your study has been made, search for the place on the following map:</w:t>
      </w:r>
    </w:p>
    <w:p>
      <w:r>
        <w:drawing>
          <wp:inline>
            <wp:extent cx="5440680" cy="4203063"/>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59"/>
                    <a:stretch>
                      <a:fillRect/>
                    </a:stretch>
                  </pic:blipFill>
                  <pic:spPr bwMode="auto">
                    <a:xfrm>
                      <a:off x="0" y="0"/>
                      <a:ext cx="5440680" cy="4203063"/>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60" w:name="growthformraunkiaer-p"/>
      <w:bookmarkEnd w:id="60"/>
      <w:r>
        <w:t xml:space="preserve">GrowthFormRaunkiaer (P)</w:t>
      </w:r>
    </w:p>
    <w:p>
      <w:r>
        <w:t xml:space="preserve">Plant classification according to Raunkiaer (classified after the position of the overwintering buds)</w:t>
      </w:r>
    </w:p>
    <w:p>
      <w:r>
        <w:t xml:space="preserve">Possible values</w:t>
      </w:r>
    </w:p>
    <w:p>
      <w:pPr>
        <w:pStyle w:val="Compact"/>
        <w:numPr>
          <w:numId w:val="1016"/>
          <w:ilvl w:val="0"/>
        </w:numPr>
      </w:pPr>
      <w:r>
        <w:t xml:space="preserve">Megaphanerophyte Overwintering buds positioned at &gt;30 m height (e.g. large trees)</w:t>
      </w:r>
    </w:p>
    <w:p>
      <w:pPr>
        <w:pStyle w:val="Compact"/>
        <w:numPr>
          <w:numId w:val="1016"/>
          <w:ilvl w:val="0"/>
        </w:numPr>
      </w:pPr>
      <w:r>
        <w:t xml:space="preserve">Mesophanerophyte Overwintering buds positioned at 8-30 m height (e.g. medium trees)</w:t>
      </w:r>
    </w:p>
    <w:p>
      <w:pPr>
        <w:pStyle w:val="Compact"/>
        <w:numPr>
          <w:numId w:val="1016"/>
          <w:ilvl w:val="0"/>
        </w:numPr>
      </w:pPr>
      <w:r>
        <w:t xml:space="preserve">Nanophanerophyte Overwintering buds positioned at0.25-8 m max height (e.g. small trees and all shrubs)</w:t>
      </w:r>
    </w:p>
    <w:p>
      <w:pPr>
        <w:pStyle w:val="Compact"/>
        <w:numPr>
          <w:numId w:val="1016"/>
          <w:ilvl w:val="0"/>
        </w:numPr>
      </w:pPr>
      <w:r>
        <w:t xml:space="preserve">Chamaephyte Buds on persistent shoots near the ground</w:t>
      </w:r>
    </w:p>
    <w:p>
      <w:pPr>
        <w:pStyle w:val="Compact"/>
        <w:numPr>
          <w:numId w:val="1016"/>
          <w:ilvl w:val="0"/>
        </w:numPr>
      </w:pPr>
      <w:r>
        <w:t xml:space="preserve">Hemicryptophyte Buds at or near the soil surface (e.g. daisy, dandelion)</w:t>
      </w:r>
    </w:p>
    <w:p>
      <w:pPr>
        <w:pStyle w:val="Compact"/>
        <w:numPr>
          <w:numId w:val="1016"/>
          <w:ilvl w:val="0"/>
        </w:numPr>
      </w:pPr>
      <w:r>
        <w:t xml:space="preserve">Geophyte Buds resting under dry ground (e.g. crocus, tulip)</w:t>
      </w:r>
    </w:p>
    <w:p>
      <w:pPr>
        <w:pStyle w:val="Compact"/>
        <w:numPr>
          <w:numId w:val="1016"/>
          <w:ilvl w:val="0"/>
        </w:numPr>
      </w:pPr>
      <w:r>
        <w:t xml:space="preserve">Helophyte Buds resting in marshy ground (e.g. reedmace, marsh-marigold)</w:t>
      </w:r>
    </w:p>
    <w:p>
      <w:pPr>
        <w:pStyle w:val="Compact"/>
        <w:numPr>
          <w:numId w:val="1016"/>
          <w:ilvl w:val="0"/>
        </w:numPr>
      </w:pPr>
      <w:r>
        <w:t xml:space="preserve">Hydrophyte Resting by being submerged under water (e.g. water-lily, frogbit)</w:t>
      </w:r>
    </w:p>
    <w:p>
      <w:pPr>
        <w:pStyle w:val="Compact"/>
        <w:numPr>
          <w:numId w:val="1016"/>
          <w:ilvl w:val="0"/>
        </w:numPr>
      </w:pPr>
      <w:r>
        <w:t xml:space="preserve">Therophyte Mostly annual and biennial plants</w:t>
      </w:r>
    </w:p>
    <w:p>
      <w:pPr>
        <w:pStyle w:val="Compact"/>
        <w:numPr>
          <w:numId w:val="1016"/>
          <w:ilvl w:val="0"/>
        </w:numPr>
      </w:pPr>
      <w:r>
        <w:t xml:space="preserve">Epiphyte Plants living on to of other plants</w:t>
      </w:r>
    </w:p>
    <w:p>
      <w:r>
        <w:t xml:space="preserve">For further information see www.en.wikipedia.org/wiki/Raunkiaer_plant_life-form.</w:t>
      </w:r>
    </w:p>
    <w:p>
      <w:r>
        <w:drawing>
          <wp:inline>
            <wp:extent cx="5440680" cy="2689072"/>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61"/>
                    <a:stretch>
                      <a:fillRect/>
                    </a:stretch>
                  </pic:blipFill>
                  <pic:spPr bwMode="auto">
                    <a:xfrm>
                      <a:off x="0" y="0"/>
                      <a:ext cx="5440680" cy="2689072"/>
                    </a:xfrm>
                    <a:prstGeom prst="rect">
                      <a:avLst/>
                    </a:prstGeom>
                    <a:noFill/>
                    <a:ln w="9525">
                      <a:noFill/>
                      <a:headEnd/>
                      <a:tailEnd/>
                    </a:ln>
                  </pic:spPr>
                </pic:pic>
              </a:graphicData>
            </a:graphic>
          </wp:inline>
        </w:drawing>
      </w:r>
    </w:p>
    <w:p>
      <w:pPr>
        <w:pStyle w:val="Compact"/>
        <w:numPr>
          <w:numId w:val="1017"/>
          <w:ilvl w:val="0"/>
        </w:numPr>
      </w:pPr>
      <w:r>
        <w:t xml:space="preserve">Phanerophytes</w:t>
      </w:r>
    </w:p>
    <w:p>
      <w:pPr>
        <w:pStyle w:val="Compact"/>
        <w:numPr>
          <w:numId w:val="1017"/>
          <w:ilvl w:val="0"/>
        </w:numPr>
      </w:pPr>
      <w:r>
        <w:t xml:space="preserve">Chamaephyte</w:t>
      </w:r>
    </w:p>
    <w:p>
      <w:pPr>
        <w:pStyle w:val="Compact"/>
        <w:numPr>
          <w:numId w:val="1017"/>
          <w:ilvl w:val="0"/>
        </w:numPr>
      </w:pPr>
      <w:r>
        <w:t xml:space="preserve">Chamaephyte</w:t>
      </w:r>
    </w:p>
    <w:p>
      <w:pPr>
        <w:pStyle w:val="Compact"/>
        <w:numPr>
          <w:numId w:val="1017"/>
          <w:ilvl w:val="0"/>
        </w:numPr>
      </w:pPr>
      <w:r>
        <w:t xml:space="preserve">Hemicryptophyte</w:t>
      </w:r>
    </w:p>
    <w:p>
      <w:pPr>
        <w:pStyle w:val="Compact"/>
        <w:numPr>
          <w:numId w:val="1017"/>
          <w:ilvl w:val="0"/>
        </w:numPr>
      </w:pPr>
      <w:r>
        <w:t xml:space="preserve">Cryptophytes, more specifically: Geophyte</w:t>
      </w:r>
    </w:p>
    <w:p>
      <w:pPr>
        <w:pStyle w:val="Compact"/>
        <w:numPr>
          <w:numId w:val="1017"/>
          <w:ilvl w:val="0"/>
        </w:numPr>
      </w:pPr>
      <w:r>
        <w:t xml:space="preserve">Cryptophytes, more specifically: Geophyte</w:t>
      </w:r>
    </w:p>
    <w:p>
      <w:pPr>
        <w:pStyle w:val="Compact"/>
        <w:numPr>
          <w:numId w:val="1017"/>
          <w:ilvl w:val="0"/>
        </w:numPr>
      </w:pPr>
      <w:r>
        <w:t xml:space="preserve">Cryptophytes, more specifically: Helophyte</w:t>
      </w:r>
    </w:p>
    <w:p>
      <w:pPr>
        <w:pStyle w:val="Compact"/>
        <w:numPr>
          <w:numId w:val="1017"/>
          <w:ilvl w:val="0"/>
        </w:numPr>
      </w:pPr>
      <w:r>
        <w:t xml:space="preserve">Cryptophytes, more specifically: Hydrophyte</w:t>
      </w:r>
    </w:p>
    <w:p>
      <w:pPr>
        <w:pStyle w:val="Compact"/>
        <w:numPr>
          <w:numId w:val="1017"/>
          <w:ilvl w:val="0"/>
        </w:numPr>
      </w:pPr>
      <w:r>
        <w:t xml:space="preserve">Cryptophytes, more specifically: Hydrophyte</w:t>
      </w:r>
    </w:p>
    <w:p>
      <w:pPr>
        <w:pStyle w:val="Compact"/>
        <w:numPr>
          <w:numId w:val="1017"/>
          <w:ilvl w:val="0"/>
        </w:numPr>
      </w:pPr>
      <w:r>
        <w:t xml:space="preserve">Therophyte, aerophyte and epiphyte not shown</w:t>
      </w:r>
    </w:p>
    <w:p>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18"/>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8"/>
          <w:ilvl w:val="0"/>
        </w:numPr>
      </w:pPr>
      <w:r>
        <w:t xml:space="preserve">“Herbaceous perennials” may be “Hydrophyte”, “Helophyte”, “Epiphyte”, “Geophyte”, “Hemicryptophyte” or “Chamaephyte”.</w:t>
      </w:r>
    </w:p>
    <w:p>
      <w:pPr>
        <w:pStyle w:val="Compact"/>
        <w:numPr>
          <w:numId w:val="1019"/>
          <w:ilvl w:val="1"/>
        </w:numPr>
      </w:pPr>
      <w:r>
        <w:t xml:space="preserve">Hydrophyte: herbaceous perennial that lives in or really close to a lake, river or sea</w:t>
      </w:r>
    </w:p>
    <w:p>
      <w:pPr>
        <w:pStyle w:val="Compact"/>
        <w:numPr>
          <w:numId w:val="1019"/>
          <w:ilvl w:val="1"/>
        </w:numPr>
      </w:pPr>
      <w:r>
        <w:t xml:space="preserve">Helophyte: herbaceous perennial that lives in a marsh or wetland</w:t>
      </w:r>
    </w:p>
    <w:p>
      <w:pPr>
        <w:pStyle w:val="Compact"/>
        <w:numPr>
          <w:numId w:val="1019"/>
          <w:ilvl w:val="1"/>
        </w:numPr>
      </w:pPr>
      <w:r>
        <w:t xml:space="preserve">Geophyte: herbaceous perennial that overwinters below ground. These species have a storage below ground of the following types: rhizome, tuber, bulb or similar</w:t>
      </w:r>
    </w:p>
    <w:p>
      <w:pPr>
        <w:pStyle w:val="Compact"/>
        <w:numPr>
          <w:numId w:val="1019"/>
          <w:ilvl w:val="1"/>
        </w:numPr>
      </w:pPr>
      <w:r>
        <w:t xml:space="preserve">Hemicryptophyte: herbaceous perennial without storage organ below ground that will overwinter right at ground level</w:t>
      </w:r>
    </w:p>
    <w:p>
      <w:pPr>
        <w:pStyle w:val="Compact"/>
        <w:numPr>
          <w:numId w:val="1019"/>
          <w:ilvl w:val="1"/>
        </w:numPr>
      </w:pPr>
      <w:r>
        <w:t xml:space="preserve">Chamaephyte: herbaceous perennial that will overwinter above ground but no higher than 25 cm.</w:t>
      </w:r>
    </w:p>
    <w:p>
      <w:pPr>
        <w:pStyle w:val="Compact"/>
        <w:numPr>
          <w:numId w:val="1018"/>
          <w:ilvl w:val="0"/>
        </w:numPr>
      </w:pPr>
      <w:r>
        <w:t xml:space="preserve">“Annual” (and biennials or pseudo-annuals) are “Therophyte”.</w:t>
      </w:r>
    </w:p>
    <w:p>
      <w:pPr>
        <w:pStyle w:val="Compact"/>
        <w:numPr>
          <w:numId w:val="1018"/>
          <w:ilvl w:val="0"/>
        </w:numPr>
      </w:pPr>
      <w:r>
        <w:t xml:space="preserve">“Algae” is “Hydrophyte”.</w:t>
      </w:r>
    </w:p>
    <w:p>
      <w:pPr>
        <w:pStyle w:val="Compact"/>
        <w:numPr>
          <w:numId w:val="1018"/>
          <w:ilvl w:val="0"/>
        </w:numPr>
      </w:pPr>
      <w:r>
        <w:t xml:space="preserve">“Bryophyte” can be “Epiphyte” or “Hemicryptophyte”.</w:t>
      </w:r>
    </w:p>
    <w:p>
      <w:pPr>
        <w:pStyle w:val="Compact"/>
        <w:numPr>
          <w:numId w:val="1018"/>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62" w:name="iucnstatus"/>
      <w:bookmarkEnd w:id="62"/>
      <w:r>
        <w:t xml:space="preserve">IUCNStatus</w:t>
      </w:r>
    </w:p>
    <w:p>
      <w:r>
        <w:t xml:space="preserve">Status of conservation of the species as a whole as per criteria of the International Union for the Conservation of Nature (IUCN).</w:t>
      </w:r>
    </w:p>
    <w:p>
      <w:pPr>
        <w:pStyle w:val="Compact"/>
        <w:numPr>
          <w:numId w:val="1020"/>
          <w:ilvl w:val="0"/>
        </w:numPr>
      </w:pPr>
      <w:r>
        <w:t xml:space="preserve">EX - Extinct - no known individuals remaining.</w:t>
      </w:r>
    </w:p>
    <w:p>
      <w:pPr>
        <w:pStyle w:val="Compact"/>
        <w:numPr>
          <w:numId w:val="1020"/>
          <w:ilvl w:val="0"/>
        </w:numPr>
      </w:pPr>
      <w:r>
        <w:t xml:space="preserve">EW - Extinct in Wild - known only to survive in captivity, or as a naturalised population outside its historic range.</w:t>
      </w:r>
    </w:p>
    <w:p>
      <w:pPr>
        <w:pStyle w:val="Compact"/>
        <w:numPr>
          <w:numId w:val="1020"/>
          <w:ilvl w:val="0"/>
        </w:numPr>
      </w:pPr>
      <w:r>
        <w:t xml:space="preserve">CR - Critically Endangered - extremely high risk of extinction in the wild</w:t>
      </w:r>
    </w:p>
    <w:p>
      <w:pPr>
        <w:pStyle w:val="Compact"/>
        <w:numPr>
          <w:numId w:val="1020"/>
          <w:ilvl w:val="0"/>
        </w:numPr>
      </w:pPr>
      <w:r>
        <w:t xml:space="preserve">EN - Endangered - high risk of extinction in the wild.</w:t>
      </w:r>
    </w:p>
    <w:p>
      <w:pPr>
        <w:pStyle w:val="Compact"/>
        <w:numPr>
          <w:numId w:val="1020"/>
          <w:ilvl w:val="0"/>
        </w:numPr>
      </w:pPr>
      <w:r>
        <w:t xml:space="preserve">VU - Vulnerable - high risk of endangerment in the wild.</w:t>
      </w:r>
    </w:p>
    <w:p>
      <w:pPr>
        <w:pStyle w:val="Compact"/>
        <w:numPr>
          <w:numId w:val="1020"/>
          <w:ilvl w:val="0"/>
        </w:numPr>
      </w:pPr>
      <w:r>
        <w:t xml:space="preserve">NT - Near Threatened - likely to become endangered in the near future.</w:t>
      </w:r>
    </w:p>
    <w:p>
      <w:pPr>
        <w:pStyle w:val="Compact"/>
        <w:numPr>
          <w:numId w:val="1020"/>
          <w:ilvl w:val="0"/>
        </w:numPr>
      </w:pPr>
      <w:r>
        <w:t xml:space="preserve">LC - Least Concern - Lowest risk. Does not qualify for a more at risk category. Widespread and abundant taxa are included in this category.</w:t>
      </w:r>
    </w:p>
    <w:p>
      <w:pPr>
        <w:pStyle w:val="Compact"/>
        <w:numPr>
          <w:numId w:val="1020"/>
          <w:ilvl w:val="0"/>
        </w:numPr>
      </w:pPr>
      <w:r>
        <w:t xml:space="preserve">DD - Data Deficient - not enough data to make an assessment of its risk of extinction.</w:t>
      </w:r>
    </w:p>
    <w:p>
      <w:pPr>
        <w:pStyle w:val="Compact"/>
        <w:numPr>
          <w:numId w:val="1020"/>
          <w:ilvl w:val="0"/>
        </w:numPr>
      </w:pPr>
      <w:r>
        <w:t xml:space="preserve">NE - Not Evaluated - has not yet been evaluated against the IUCN criteria.</w:t>
      </w:r>
    </w:p>
    <w:p>
      <w:pPr>
        <w:pStyle w:val="Compact"/>
        <w:numPr>
          <w:numId w:val="1020"/>
          <w:ilvl w:val="0"/>
        </w:numPr>
      </w:pPr>
      <w:r>
        <w:t xml:space="preserve">LR/cd - Lower Risk/conservation dependent - at lower risk of extinction, but requiring conservation intervention to maintain the population. This is an older (1994) category, not used in recent assessments.</w:t>
      </w:r>
    </w:p>
    <w:p>
      <w:pPr>
        <w:pStyle w:val="Compact"/>
        <w:numPr>
          <w:numId w:val="1020"/>
          <w:ilvl w:val="0"/>
        </w:numPr>
      </w:pPr>
      <w:r>
        <w:t xml:space="preserve">LR/nt - Lower Risk/near threatened - at lower risk of extinction, but considered to be near threatened. This is an older (1994) category, not used in recent assessments.</w:t>
      </w:r>
    </w:p>
    <w:p>
      <w:pPr>
        <w:pStyle w:val="Compact"/>
        <w:numPr>
          <w:numId w:val="1020"/>
          <w:ilvl w:val="0"/>
        </w:numPr>
      </w:pPr>
      <w:r>
        <w:t xml:space="preserve">LR/lc - Lower Risk/least concern - at lower risk of extinction, considered to be widespread and abundant. This is an older (1994) category, not used in recent assessments.</w:t>
      </w:r>
    </w:p>
    <w:p>
      <w:r>
        <w:t xml:space="preserve">More detailed information on IUCN Red-list and Wikipedia Red List Categories</w:t>
      </w:r>
    </w:p>
    <w:p>
      <w:r>
        <w:t xml:space="preserve">Several assessments have been carried out since the 1990s. Recent assessments use the 2001 IUCN Red List Categories and Criteria. Version 3.1. However, some taxa included in the current IUCN Red List database have not been reassessed since before 2000 and therefore still use the 1994 IUCN Red List Categories and Criteria. Version 2.3.</w:t>
      </w:r>
    </w:p>
    <w:p>
      <w:r>
        <w:pict>
          <v:rect style="width:0;height:1.5pt" o:hralign="center" o:hrstd="t" o:hr="t"/>
        </w:pict>
      </w:r>
    </w:p>
    <w:p>
      <w:pPr>
        <w:pStyle w:val="Heading2"/>
      </w:pPr>
      <w:bookmarkStart w:id="63" w:name="invasivestatus"/>
      <w:bookmarkEnd w:id="63"/>
      <w:r>
        <w:t xml:space="preserve">InvasiveStatus</w:t>
      </w:r>
    </w:p>
    <w:p>
      <w:r>
        <w:t xml:space="preserve">Records whether the species is present in the Global Invasive Species Database. www.issg.org.</w:t>
      </w:r>
    </w:p>
    <w:p>
      <w:pPr>
        <w:pStyle w:val="Compact"/>
        <w:numPr>
          <w:numId w:val="1021"/>
          <w:ilvl w:val="0"/>
        </w:numPr>
      </w:pPr>
      <w:r>
        <w:t xml:space="preserve">No - Not present in ISSG database.</w:t>
      </w:r>
    </w:p>
    <w:p>
      <w:pPr>
        <w:pStyle w:val="Compact"/>
        <w:numPr>
          <w:numId w:val="1021"/>
          <w:ilvl w:val="0"/>
        </w:numPr>
      </w:pPr>
      <w:r>
        <w:t xml:space="preserve">Yes - Identified as invasive in ISSG database.</w:t>
      </w:r>
    </w:p>
    <w:p>
      <w:r>
        <w:pict>
          <v:rect style="width:0;height:1.5pt" o:hralign="center" o:hrstd="t" o:hr="t"/>
        </w:pict>
      </w:r>
    </w:p>
    <w:p>
      <w:pPr>
        <w:pStyle w:val="Heading2"/>
      </w:pPr>
      <w:bookmarkStart w:id="64" w:name="conservationstatusus"/>
      <w:bookmarkEnd w:id="64"/>
      <w:r>
        <w:t xml:space="preserve">ConservationStatusUS</w:t>
      </w:r>
    </w:p>
    <w:p>
      <w:r>
        <w:t xml:space="preserve">Records the conservation status under the U.S. Endangered Species Act, according to the United States Fisheries and Wildlife Service (</w:t>
      </w:r>
      <w:hyperlink r:id="rId65">
        <w:r>
          <w:rPr>
            <w:rStyle w:val="Link"/>
          </w:rPr>
          <w:t xml:space="preserve">http://www.fws.gov/endangered/</w:t>
        </w:r>
      </w:hyperlink>
      <w:r>
        <w:t xml:space="preserve">). Note that in a few cases this information also applies to species outside of the US territory (e.g. emperor penguin).</w:t>
      </w:r>
    </w:p>
    <w:p>
      <w:pPr>
        <w:pStyle w:val="Compact"/>
        <w:numPr>
          <w:numId w:val="1022"/>
          <w:ilvl w:val="0"/>
        </w:numPr>
      </w:pPr>
      <w:r>
        <w:t xml:space="preserve">EN - Endangered</w:t>
      </w:r>
    </w:p>
    <w:p>
      <w:pPr>
        <w:pStyle w:val="Compact"/>
        <w:numPr>
          <w:numId w:val="1022"/>
          <w:ilvl w:val="0"/>
        </w:numPr>
      </w:pPr>
      <w:r>
        <w:t xml:space="preserve">TH - Threatened</w:t>
      </w:r>
    </w:p>
    <w:p>
      <w:pPr>
        <w:pStyle w:val="Compact"/>
        <w:numPr>
          <w:numId w:val="1022"/>
          <w:ilvl w:val="0"/>
        </w:numPr>
      </w:pPr>
      <w:r>
        <w:t xml:space="preserve">NA - Not classified</w:t>
      </w:r>
    </w:p>
    <w:p>
      <w:r>
        <w:pict>
          <v:rect style="width:0;height:1.5pt" o:hralign="center" o:hrstd="t" o:hr="t"/>
        </w:pict>
      </w:r>
    </w:p>
    <w:p>
      <w:pPr>
        <w:pStyle w:val="Heading2"/>
      </w:pPr>
      <w:bookmarkStart w:id="66" w:name="purposes"/>
      <w:bookmarkEnd w:id="66"/>
      <w:r>
        <w:t xml:space="preserve">Purposes</w:t>
      </w:r>
    </w:p>
    <w:p>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r>
        <w:t xml:space="preserve">We have categorised the purposes as follows:</w:t>
      </w:r>
    </w:p>
    <w:p>
      <w:pPr>
        <w:pStyle w:val="Compact"/>
        <w:numPr>
          <w:numId w:val="1023"/>
          <w:ilvl w:val="0"/>
        </w:numPr>
      </w:pPr>
      <w:r>
        <w:t xml:space="preserve">Comparative demography - When the authors studied two or more species</w:t>
      </w:r>
    </w:p>
    <w:p>
      <w:pPr>
        <w:pStyle w:val="Compact"/>
        <w:numPr>
          <w:numId w:val="1023"/>
          <w:ilvl w:val="0"/>
        </w:numPr>
      </w:pPr>
      <w:r>
        <w:t xml:space="preserve">Spatial demography - When the authors studied the demography of two or more populations within the same species</w:t>
      </w:r>
    </w:p>
    <w:p>
      <w:pPr>
        <w:pStyle w:val="Compact"/>
        <w:numPr>
          <w:numId w:val="1023"/>
          <w:ilvl w:val="0"/>
        </w:numPr>
      </w:pPr>
      <w:r>
        <w:t xml:space="preserve">Abiotic impacts - When the authors studied the effects of abiotic factors (e.g fire, hurricanes, rain, fertilisers, droughts, etc)</w:t>
      </w:r>
    </w:p>
    <w:p>
      <w:pPr>
        <w:pStyle w:val="Compact"/>
        <w:numPr>
          <w:numId w:val="1023"/>
          <w:ilvl w:val="0"/>
        </w:numPr>
      </w:pPr>
      <w:r>
        <w:t xml:space="preserve">PVA - When the authors report a Population Viability Analysis of an endangered species</w:t>
      </w:r>
    </w:p>
    <w:p>
      <w:pPr>
        <w:pStyle w:val="Compact"/>
        <w:numPr>
          <w:numId w:val="1023"/>
          <w:ilvl w:val="0"/>
        </w:numPr>
      </w:pPr>
      <w:r>
        <w:t xml:space="preserve">Species dynamics description - When there is no actual treatment in the study (Unmanipulated). Instead, the goal was to describe the natural dynamics of a species</w:t>
      </w:r>
    </w:p>
    <w:p>
      <w:pPr>
        <w:pStyle w:val="Compact"/>
        <w:numPr>
          <w:numId w:val="1023"/>
          <w:ilvl w:val="0"/>
        </w:numPr>
      </w:pPr>
      <w:r>
        <w:t xml:space="preserve">Interspecific interactions - When the authors studied the interactions between different species (e.g herbivory, pollinators, inter-specific competition, predation, parasitism, etc)</w:t>
      </w:r>
    </w:p>
    <w:p>
      <w:pPr>
        <w:pStyle w:val="Compact"/>
        <w:numPr>
          <w:numId w:val="1023"/>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3"/>
          <w:ilvl w:val="0"/>
        </w:numPr>
      </w:pPr>
      <w:r>
        <w:t xml:space="preserve">Methodological advancement - When the novelty of the paper is not an ecological question, but mostly to introduce a new mathematical tool often using already published matrices</w:t>
      </w:r>
    </w:p>
    <w:p>
      <w:r>
        <w:pict>
          <v:rect style="width:0;height:1.5pt" o:hralign="center" o:hrstd="t" o:hr="t"/>
        </w:pict>
      </w:r>
    </w:p>
    <w:p>
      <w:pPr>
        <w:pStyle w:val="Heading2"/>
      </w:pPr>
      <w:bookmarkStart w:id="67" w:name="treatment"/>
      <w:bookmarkEnd w:id="67"/>
      <w:r>
        <w:t xml:space="preserve">Treatment</w:t>
      </w:r>
    </w:p>
    <w:p>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68" w:name="studystart"/>
      <w:bookmarkEnd w:id="68"/>
      <w:r>
        <w:t xml:space="preserve">StudyStart</w:t>
      </w:r>
    </w:p>
    <w:p>
      <w:r>
        <w:t xml:space="preserve">Records the first year of the study, e.g. 2008</w:t>
      </w:r>
    </w:p>
    <w:p>
      <w:r>
        <w:pict>
          <v:rect style="width:0;height:1.5pt" o:hralign="center" o:hrstd="t" o:hr="t"/>
        </w:pict>
      </w:r>
    </w:p>
    <w:p>
      <w:pPr>
        <w:pStyle w:val="Heading2"/>
      </w:pPr>
      <w:bookmarkStart w:id="69" w:name="studyend"/>
      <w:bookmarkEnd w:id="69"/>
      <w:r>
        <w:t xml:space="preserve">StudyEnd</w:t>
      </w:r>
    </w:p>
    <w:p>
      <w:r>
        <w:t xml:space="preserve">Records the last year of the study, e.g. 2012</w:t>
      </w:r>
    </w:p>
    <w:p>
      <w:r>
        <w:pict>
          <v:rect style="width:0;height:1.5pt" o:hralign="center" o:hrstd="t" o:hr="t"/>
        </w:pict>
      </w:r>
    </w:p>
    <w:p>
      <w:pPr>
        <w:pStyle w:val="Heading2"/>
      </w:pPr>
      <w:bookmarkStart w:id="70" w:name="studyduration"/>
      <w:bookmarkEnd w:id="70"/>
      <w:r>
        <w:t xml:space="preserve">StudyDuration</w:t>
      </w:r>
    </w:p>
    <w:p>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1" w:name="annualperiodicity"/>
      <w:bookmarkEnd w:id="71"/>
      <w:r>
        <w:t xml:space="preserve">AnnualPeriodicity</w:t>
      </w:r>
    </w:p>
    <w:p>
      <w:r>
        <w:t xml:space="preserve">Frequency with which seasonal or annual the matrix population model was constructed. For example:</w:t>
      </w:r>
    </w:p>
    <w:p>
      <w:pPr>
        <w:pStyle w:val="Compact"/>
        <w:numPr>
          <w:numId w:val="1024"/>
          <w:ilvl w:val="0"/>
        </w:numPr>
      </w:pPr>
      <w:r>
        <w:t xml:space="preserve">1 - Once a year</w:t>
      </w:r>
    </w:p>
    <w:p>
      <w:pPr>
        <w:pStyle w:val="Compact"/>
        <w:numPr>
          <w:numId w:val="1024"/>
          <w:ilvl w:val="0"/>
        </w:numPr>
      </w:pPr>
      <w:r>
        <w:t xml:space="preserve">2 - Twice per year (e.g. in January and in June)</w:t>
      </w:r>
    </w:p>
    <w:p>
      <w:pPr>
        <w:pStyle w:val="Compact"/>
        <w:numPr>
          <w:numId w:val="1024"/>
          <w:ilvl w:val="0"/>
        </w:numPr>
      </w:pPr>
      <w:r>
        <w:t xml:space="preserve">0.2 - Once every five years</w:t>
      </w:r>
    </w:p>
    <w:p>
      <w:pPr>
        <w:pStyle w:val="Compact"/>
        <w:numPr>
          <w:numId w:val="1024"/>
          <w:ilvl w:val="0"/>
        </w:numPr>
      </w:pPr>
      <w:r>
        <w:t xml:space="preserve">? - Other annual periodicities</w:t>
      </w:r>
    </w:p>
    <w:p>
      <w:r>
        <w:t xml:space="preserve">Annual periodicities can be calculated as follows: If the study site has been visited more than once a year calculate</w:t>
      </w:r>
      <w:r>
        <w:t xml:space="preserve"> </w:t>
      </w:r>
      <m:oMath>
        <m:r>
          <m:rPr>
            <m:sty m:val="p"/>
          </m:rPr>
          <m:t>1</m:t>
        </m:r>
        <m:r>
          <m:rPr>
            <m:sty m:val="p"/>
          </m:rPr>
          <m:t>*</m:t>
        </m:r>
        <m:r>
          <m:rPr>
            <m:sty m:val="p"/>
          </m:rPr>
          <m:t>N</m:t>
        </m:r>
      </m:oMath>
      <w:r>
        <w:t xml:space="preserve">, where N is the number of visits to the site per year, e.g.</w:t>
      </w:r>
      <w:r>
        <w:t xml:space="preserve"> </w:t>
      </w:r>
      <m:oMath>
        <m:r>
          <m:rPr>
            <m:sty m:val="p"/>
          </m:rPr>
          <m:t>1</m:t>
        </m:r>
        <m:r>
          <m:rPr>
            <m:sty m:val="p"/>
          </m:rPr>
          <m:t>*</m:t>
        </m:r>
        <m:r>
          <m:rPr>
            <m:sty m:val="p"/>
          </m:rPr>
          <m:t>2</m:t>
        </m:r>
        <m:r>
          <m:rPr>
            <m:sty m:val="p"/>
          </m:rPr>
          <m:t>=</m:t>
        </m:r>
        <m:r>
          <m:rPr>
            <m:sty m:val="p"/>
          </m:rPr>
          <m:t>2</m:t>
        </m:r>
      </m:oMath>
      <w:r>
        <w:t xml:space="preserve">. If the study site has been revisited less than once per year calculate</w:t>
      </w:r>
      <w:r>
        <w:t xml:space="preserve"> </w:t>
      </w:r>
      <m:oMath>
        <m:r>
          <m:rPr>
            <m:sty m:val="p"/>
          </m:rPr>
          <m:t>1</m:t>
        </m:r>
        <m:r>
          <m:rPr>
            <m:sty m:val="p"/>
          </m:rPr>
          <m:t>/</m:t>
        </m:r>
        <m:r>
          <m:rPr>
            <m:sty m:val="p"/>
          </m:rPr>
          <m:t>Y</m:t>
        </m:r>
      </m:oMath>
      <w:r>
        <w:t xml:space="preserve">, where Y is the number of years, e.g.</w:t>
      </w:r>
      <w:r>
        <w:t xml:space="preserve"> </w:t>
      </w:r>
      <m:oMath>
        <m:r>
          <m:rPr>
            <m:sty m:val="p"/>
          </m:rPr>
          <m:t>1</m:t>
        </m:r>
        <m:r>
          <m:rPr>
            <m:sty m:val="p"/>
          </m:rPr>
          <m:t>/</m:t>
        </m:r>
        <m:r>
          <m:rPr>
            <m:sty m:val="p"/>
          </m:rPr>
          <m:t>5</m:t>
        </m:r>
        <m:r>
          <m:rPr>
            <m:sty m:val="p"/>
          </m:rPr>
          <m:t>=</m:t>
        </m:r>
        <m:r>
          <m:rPr>
            <m:sty m:val="p"/>
          </m:rPr>
          <m:t>0</m:t>
        </m:r>
        <m:r>
          <m:rPr>
            <m:sty m:val="p"/>
          </m:rPr>
          <m:t>.</m:t>
        </m:r>
        <m:r>
          <m:rPr>
            <m:sty m:val="p"/>
          </m:rPr>
          <m:t>2</m:t>
        </m:r>
      </m:oMath>
      <w:r>
        <w:t xml:space="preserve">.</w:t>
      </w:r>
    </w:p>
    <w:p>
      <w:r>
        <w:pict>
          <v:rect style="width:0;height:1.5pt" o:hralign="center" o:hrstd="t" o:hr="t"/>
        </w:pict>
      </w:r>
    </w:p>
    <w:p>
      <w:pPr>
        <w:pStyle w:val="Heading2"/>
      </w:pPr>
      <w:bookmarkStart w:id="72" w:name="numberpopulations"/>
      <w:bookmarkEnd w:id="72"/>
      <w:r>
        <w:t xml:space="preserve">NumberPopulations</w:t>
      </w:r>
    </w:p>
    <w:p>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3" w:name="withinsitereplication"/>
      <w:bookmarkEnd w:id="73"/>
      <w:r>
        <w:t xml:space="preserve">WithinSiteReplication</w:t>
      </w:r>
    </w:p>
    <w:p>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74" w:name="matrixcriteriasize"/>
      <w:bookmarkEnd w:id="74"/>
      <w:r>
        <w:t xml:space="preserve">MatrixCriteriaSize</w:t>
      </w:r>
    </w:p>
    <w:p>
      <w:r>
        <w:t xml:space="preserve">Records whether the matrix model is based on size (e.g. stem length/number, body length/mass, etc).</w:t>
      </w:r>
    </w:p>
    <w:p>
      <w:pPr>
        <w:pStyle w:val="Compact"/>
        <w:numPr>
          <w:numId w:val="1025"/>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5"/>
          <w:ilvl w:val="0"/>
        </w:numPr>
      </w:pPr>
      <w:r>
        <w:t xml:space="preserve">No - The matrix population model is not based on size.</w:t>
      </w:r>
    </w:p>
    <w:p>
      <w:r>
        <w:pict>
          <v:rect style="width:0;height:1.5pt" o:hralign="center" o:hrstd="t" o:hr="t"/>
        </w:pict>
      </w:r>
    </w:p>
    <w:p>
      <w:pPr>
        <w:pStyle w:val="Heading2"/>
      </w:pPr>
      <w:bookmarkStart w:id="75" w:name="matrixcriteriaontogeny"/>
      <w:bookmarkEnd w:id="75"/>
      <w:r>
        <w:t xml:space="preserve">MatrixCriteriaOntogeny</w:t>
      </w:r>
    </w:p>
    <w:p>
      <w:r>
        <w:t xml:space="preserve">Records whether the matrix model is based on ontogenetic stage (e.g. seedbank, reproductive, vegetative, dormant, etc).</w:t>
      </w:r>
    </w:p>
    <w:p>
      <w:pPr>
        <w:pStyle w:val="Compact"/>
        <w:numPr>
          <w:numId w:val="1026"/>
          <w:ilvl w:val="0"/>
        </w:numPr>
      </w:pPr>
      <w:r>
        <w:t xml:space="preserve">Yes - The matrix population model contains at least one class that is based on development/ontogeny (e.g. seedbank, reproductive, vegetative, dormant, etc).</w:t>
      </w:r>
    </w:p>
    <w:p>
      <w:pPr>
        <w:pStyle w:val="Compact"/>
        <w:numPr>
          <w:numId w:val="1026"/>
          <w:ilvl w:val="0"/>
        </w:numPr>
      </w:pPr>
      <w:r>
        <w:t xml:space="preserve">No - Matrix population model is not based on ontogeny.</w:t>
      </w:r>
    </w:p>
    <w:p>
      <w:pPr>
        <w:pStyle w:val="Compact"/>
        <w:numPr>
          <w:numId w:val="1026"/>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76" w:name="matrixcriteriaage"/>
      <w:bookmarkEnd w:id="76"/>
      <w:r>
        <w:t xml:space="preserve">MatrixCriteriaAge</w:t>
      </w:r>
    </w:p>
    <w:p>
      <w:r>
        <w:t xml:space="preserve">Records whether there are any classes that are based on age.</w:t>
      </w:r>
    </w:p>
    <w:p>
      <w:pPr>
        <w:pStyle w:val="Compact"/>
        <w:numPr>
          <w:numId w:val="1027"/>
          <w:ilvl w:val="0"/>
        </w:numPr>
      </w:pPr>
      <w:r>
        <w:t xml:space="preserve">Yes - The matrix population model contains at least one class that is based on age (e.g. individuals of 0 year old)</w:t>
      </w:r>
    </w:p>
    <w:p>
      <w:pPr>
        <w:pStyle w:val="Compact"/>
        <w:numPr>
          <w:numId w:val="1027"/>
          <w:ilvl w:val="0"/>
        </w:numPr>
      </w:pPr>
      <w:r>
        <w:t xml:space="preserve">No - The matrix population model is not based on age</w:t>
      </w:r>
    </w:p>
    <w:p>
      <w:pPr>
        <w:pStyle w:val="Compact"/>
        <w:numPr>
          <w:numId w:val="1027"/>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2"/>
      </w:pPr>
      <w:bookmarkStart w:id="77" w:name="taxonomy-columns"/>
      <w:bookmarkEnd w:id="77"/>
      <w:r>
        <w:t xml:space="preserve">Taxonomy columns</w:t>
      </w:r>
    </w:p>
    <w:p>
      <w:r>
        <w:t xml:space="preserve">This series of 22 columns includes taxonomic information.</w:t>
      </w:r>
    </w:p>
    <w:p>
      <w:pPr>
        <w:pStyle w:val="Compact"/>
        <w:numPr>
          <w:numId w:val="1028"/>
          <w:ilvl w:val="0"/>
        </w:numPr>
      </w:pPr>
      <w:r>
        <w:t xml:space="preserve">Kingdom - Kingdom to which species belongs.</w:t>
      </w:r>
    </w:p>
    <w:p>
      <w:pPr>
        <w:pStyle w:val="Compact"/>
        <w:numPr>
          <w:numId w:val="1028"/>
          <w:ilvl w:val="0"/>
        </w:numPr>
      </w:pPr>
      <w:r>
        <w:t xml:space="preserve">Phylum - Phylum to which species belongs e.g. Magnoliophyta.</w:t>
      </w:r>
    </w:p>
    <w:p>
      <w:pPr>
        <w:pStyle w:val="Compact"/>
        <w:numPr>
          <w:numId w:val="1028"/>
          <w:ilvl w:val="0"/>
        </w:numPr>
      </w:pPr>
      <w:r>
        <w:t xml:space="preserve">AngioGymno Whether species is an angiosperm or a gymnosperm (record Angiosperm or Gymnosperm). If it is neither angiosperm nor gymnosperm fill in NA.</w:t>
      </w:r>
    </w:p>
    <w:p>
      <w:pPr>
        <w:pStyle w:val="Compact"/>
        <w:numPr>
          <w:numId w:val="1028"/>
          <w:ilvl w:val="0"/>
        </w:numPr>
      </w:pPr>
      <w:r>
        <w:t xml:space="preserve">DicotMonoc - Whether species is a dicot or monocot (record Eudicot or Monocot). If species is neither dicot nor monocot (i.e. if it is not an angiosperm) fill in NA.</w:t>
      </w:r>
    </w:p>
    <w:p>
      <w:pPr>
        <w:pStyle w:val="Compact"/>
        <w:numPr>
          <w:numId w:val="1028"/>
          <w:ilvl w:val="0"/>
        </w:numPr>
      </w:pPr>
      <w:r>
        <w:t xml:space="preserve">Class - Class to which species belongs e.g. Magnoliopsida.</w:t>
      </w:r>
    </w:p>
    <w:p>
      <w:pPr>
        <w:pStyle w:val="Compact"/>
        <w:numPr>
          <w:numId w:val="1028"/>
          <w:ilvl w:val="0"/>
        </w:numPr>
      </w:pPr>
      <w:r>
        <w:t xml:space="preserve">Family - Family to which species belongs e.g. Polygonaceae.</w:t>
      </w:r>
    </w:p>
    <w:p>
      <w:pPr>
        <w:pStyle w:val="Compact"/>
        <w:numPr>
          <w:numId w:val="1028"/>
          <w:ilvl w:val="0"/>
        </w:numPr>
      </w:pPr>
      <w:r>
        <w:t xml:space="preserve">Order - Order to which species belongs e.g. Caryophyllales.</w:t>
      </w:r>
    </w:p>
    <w:p>
      <w:pPr>
        <w:pStyle w:val="Compact"/>
        <w:numPr>
          <w:numId w:val="1028"/>
          <w:ilvl w:val="0"/>
        </w:numPr>
      </w:pPr>
      <w:r>
        <w:t xml:space="preserve">Genus - Genus used in SpeciesAuthor e.g. Chorizanthe.</w:t>
      </w:r>
    </w:p>
    <w:p>
      <w:pPr>
        <w:pStyle w:val="Compact"/>
        <w:numPr>
          <w:numId w:val="1028"/>
          <w:ilvl w:val="0"/>
        </w:numPr>
      </w:pPr>
      <w:r>
        <w:t xml:space="preserve">SpeciesAccepted - Currently accepted Latin name. This information is is obtained from The Plant List.</w:t>
      </w:r>
    </w:p>
    <w:p>
      <w:pPr>
        <w:pStyle w:val="Compact"/>
        <w:numPr>
          <w:numId w:val="1028"/>
          <w:ilvl w:val="0"/>
        </w:numPr>
      </w:pPr>
      <w:r>
        <w:t xml:space="preserve">GenusAccepted Taxonomic genus name of study SpeciesAccepted, as per The Plant List.</w:t>
      </w:r>
    </w:p>
    <w:p>
      <w:pPr>
        <w:pStyle w:val="Compact"/>
        <w:numPr>
          <w:numId w:val="1028"/>
          <w:ilvl w:val="0"/>
        </w:numPr>
      </w:pPr>
      <w:r>
        <w:t xml:space="preserve">SpeciesEpithetAccepted Taxonomic species epithet name of study SpeciesAccepted (see above), as per The Plant List epithet e.g. pungens</w:t>
      </w:r>
    </w:p>
    <w:p>
      <w:pPr>
        <w:pStyle w:val="Compact"/>
        <w:numPr>
          <w:numId w:val="1028"/>
          <w:ilvl w:val="0"/>
        </w:numPr>
      </w:pPr>
      <w:r>
        <w:t xml:space="preserve">InfraspecificAccepted Taxonomic infraspecific name of study SpeciesAccepted, as per The Plant List infraspecies e.g. pungens.</w:t>
      </w:r>
    </w:p>
    <w:p>
      <w:pPr>
        <w:pStyle w:val="Compact"/>
        <w:numPr>
          <w:numId w:val="1028"/>
          <w:ilvl w:val="0"/>
        </w:numPr>
      </w:pPr>
      <w:r>
        <w:t xml:space="preserve">TPLVersion - Version of The Plant List used for taxonomic validation 1.0 Version 1.0</w:t>
      </w:r>
    </w:p>
    <w:p>
      <w:pPr>
        <w:pStyle w:val="Compact"/>
        <w:numPr>
          <w:numId w:val="1028"/>
          <w:ilvl w:val="0"/>
        </w:numPr>
      </w:pPr>
      <w:r>
        <w:t xml:space="preserve">TaxonomicStatus - Taxonomic correspondence of SpeciesAuthor with SpeciesAccepted (above). Possible values include, NoMatch; Unresolved; Accepted; Synonym.</w:t>
      </w:r>
    </w:p>
    <w:p>
      <w:pPr>
        <w:pStyle w:val="Compact"/>
        <w:numPr>
          <w:numId w:val="1028"/>
          <w:ilvl w:val="0"/>
        </w:numPr>
      </w:pPr>
      <w:r>
        <w:t xml:space="preserve">NewGenus</w:t>
      </w:r>
    </w:p>
    <w:p>
      <w:pPr>
        <w:pStyle w:val="Compact"/>
        <w:numPr>
          <w:numId w:val="1028"/>
          <w:ilvl w:val="0"/>
        </w:numPr>
      </w:pPr>
      <w:r>
        <w:t xml:space="preserve">NewSpecies</w:t>
      </w:r>
    </w:p>
    <w:p>
      <w:pPr>
        <w:pStyle w:val="Compact"/>
        <w:numPr>
          <w:numId w:val="1028"/>
          <w:ilvl w:val="0"/>
        </w:numPr>
      </w:pPr>
      <w:r>
        <w:t xml:space="preserve">NewInfraspecific</w:t>
      </w:r>
    </w:p>
    <w:p>
      <w:pPr>
        <w:pStyle w:val="Compact"/>
        <w:numPr>
          <w:numId w:val="1028"/>
          <w:ilvl w:val="0"/>
        </w:numPr>
      </w:pPr>
      <w:r>
        <w:t xml:space="preserve">Authority - Taxonomic authority of SpeciesAccepted, as per The Plant List or Catalogue of Life.</w:t>
      </w:r>
    </w:p>
    <w:p>
      <w:pPr>
        <w:pStyle w:val="Compact"/>
        <w:numPr>
          <w:numId w:val="1028"/>
          <w:ilvl w:val="0"/>
        </w:numPr>
      </w:pPr>
      <w:r>
        <w:t xml:space="preserve">Typo</w:t>
      </w:r>
    </w:p>
    <w:p>
      <w:pPr>
        <w:pStyle w:val="Compact"/>
        <w:numPr>
          <w:numId w:val="1028"/>
          <w:ilvl w:val="0"/>
        </w:numPr>
      </w:pPr>
      <w:r>
        <w:t xml:space="preserve">WFormat</w:t>
      </w:r>
    </w:p>
    <w:p>
      <w:r>
        <w:t xml:space="preserve">Those variables will be digitised and checked frequently by the database curators.</w:t>
      </w:r>
    </w:p>
    <w:p>
      <w:r>
        <w:t xml:space="preserve">For COMPADRinos to get an idea of what kingdom, class etc means:</w:t>
      </w:r>
    </w:p>
    <w:p>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78"/>
                    <a:stretch>
                      <a:fillRect/>
                    </a:stretch>
                  </pic:blipFill>
                  <pic:spPr bwMode="auto">
                    <a:xfrm>
                      <a:off x="0" y="0"/>
                      <a:ext cx="2374900" cy="6096000"/>
                    </a:xfrm>
                    <a:prstGeom prst="rect">
                      <a:avLst/>
                    </a:prstGeom>
                    <a:noFill/>
                    <a:ln w="9525">
                      <a:noFill/>
                      <a:headEnd/>
                      <a:tailEnd/>
                    </a:ln>
                  </pic:spPr>
                </pic:pic>
              </a:graphicData>
            </a:graphic>
          </wp:inline>
        </w:drawing>
      </w:r>
    </w:p>
    <w:p>
      <w:r>
        <w:pict>
          <v:rect style="width:0;height:1.5pt" o:hralign="center" o:hrstd="t" o:hr="t"/>
        </w:pict>
      </w:r>
    </w:p>
    <w:p>
      <w:pPr>
        <w:pStyle w:val="Heading1"/>
      </w:pPr>
      <w:bookmarkStart w:id="79" w:name="stacked-matrix-files"/>
      <w:bookmarkEnd w:id="79"/>
      <w:r>
        <w:t xml:space="preserve">STACKED MATRIX FILES</w:t>
      </w:r>
    </w:p>
    <w:p>
      <w:r>
        <w:pict>
          <v:rect style="width:0;height:1.5pt" o:hralign="center" o:hrstd="t" o:hr="t"/>
        </w:pict>
      </w:r>
    </w:p>
    <w:p>
      <w:pPr>
        <w:pStyle w:val="Heading2"/>
      </w:pPr>
      <w:bookmarkStart w:id="80" w:name="enteredby"/>
      <w:bookmarkEnd w:id="80"/>
      <w:r>
        <w:t xml:space="preserve">EnteredBy</w:t>
      </w:r>
    </w:p>
    <w:p>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1" w:name="entereddate"/>
      <w:bookmarkEnd w:id="81"/>
      <w:r>
        <w:t xml:space="preserve">EnteredDate</w:t>
      </w:r>
    </w:p>
    <w:p>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2" w:name="source"/>
      <w:bookmarkEnd w:id="82"/>
      <w:r>
        <w:t xml:space="preserve">Source</w:t>
      </w:r>
    </w:p>
    <w:p>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9"/>
          <w:ilvl w:val="0"/>
        </w:numPr>
      </w:pPr>
      <w:r>
        <w:t xml:space="preserve">Author communication - Matrices derived from personal communication with author.</w:t>
      </w:r>
    </w:p>
    <w:p>
      <w:pPr>
        <w:pStyle w:val="Compact"/>
        <w:numPr>
          <w:numId w:val="1029"/>
          <w:ilvl w:val="0"/>
        </w:numPr>
      </w:pPr>
      <w:r>
        <w:t xml:space="preserve">Paper - Matrices derived from a published manuscript</w:t>
      </w:r>
    </w:p>
    <w:p>
      <w:pPr>
        <w:pStyle w:val="Compact"/>
        <w:numPr>
          <w:numId w:val="1029"/>
          <w:ilvl w:val="0"/>
        </w:numPr>
      </w:pPr>
      <w:r>
        <w:t xml:space="preserve">Old matrices - Matrices derived from an old matrices file (no more detailed description is available)</w:t>
      </w:r>
    </w:p>
    <w:p>
      <w:pPr>
        <w:pStyle w:val="Compact"/>
        <w:numPr>
          <w:numId w:val="1029"/>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9"/>
          <w:ilvl w:val="0"/>
        </w:numPr>
      </w:pPr>
      <w:r>
        <w:t xml:space="preserve">Online appendix - Matrices derived from the online appendix of publication</w:t>
      </w:r>
    </w:p>
    <w:p>
      <w:pPr>
        <w:pStyle w:val="Compact"/>
        <w:numPr>
          <w:numId w:val="1029"/>
          <w:ilvl w:val="0"/>
        </w:numPr>
      </w:pPr>
      <w:r>
        <w:t xml:space="preserve">Book - Matrices derived from a book</w:t>
      </w:r>
    </w:p>
    <w:p>
      <w:pPr>
        <w:pStyle w:val="Compact"/>
        <w:numPr>
          <w:numId w:val="1029"/>
          <w:ilvl w:val="0"/>
        </w:numPr>
      </w:pPr>
      <w:r>
        <w:t xml:space="preserve">Other sources - Matrices derived from any other source.</w:t>
      </w:r>
    </w:p>
    <w:p>
      <w:r>
        <w:pict>
          <v:rect style="width:0;height:1.5pt" o:hralign="center" o:hrstd="t" o:hr="t"/>
        </w:pict>
      </w:r>
    </w:p>
    <w:p>
      <w:pPr>
        <w:pStyle w:val="Heading2"/>
      </w:pPr>
      <w:bookmarkStart w:id="83" w:name="speciesauthor-1"/>
      <w:bookmarkEnd w:id="83"/>
      <w:r>
        <w:t xml:space="preserve">SpeciesAuthor</w:t>
      </w:r>
    </w:p>
    <w:p>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4" w:name="studiedsex"/>
      <w:bookmarkEnd w:id="84"/>
      <w:r>
        <w:t xml:space="preserve">StudiedSex</w:t>
      </w:r>
    </w:p>
    <w:p>
      <w:r>
        <w:t xml:space="preserve">Indication of the sex(es) considered when constructing the matrix population model.</w:t>
      </w:r>
    </w:p>
    <w:p>
      <w:pPr>
        <w:pStyle w:val="Compact"/>
        <w:numPr>
          <w:numId w:val="1030"/>
          <w:ilvl w:val="0"/>
        </w:numPr>
      </w:pPr>
      <w:r>
        <w:t xml:space="preserve">M - Studied only males</w:t>
      </w:r>
    </w:p>
    <w:p>
      <w:pPr>
        <w:pStyle w:val="Compact"/>
        <w:numPr>
          <w:numId w:val="1030"/>
          <w:ilvl w:val="0"/>
        </w:numPr>
      </w:pPr>
      <w:r>
        <w:t xml:space="preserve">F - Studied only females</w:t>
      </w:r>
    </w:p>
    <w:p>
      <w:pPr>
        <w:pStyle w:val="Compact"/>
        <w:numPr>
          <w:numId w:val="1030"/>
          <w:ilvl w:val="0"/>
        </w:numPr>
      </w:pPr>
      <w:r>
        <w:t xml:space="preserve">H - Hermaphrodites</w:t>
      </w:r>
    </w:p>
    <w:p>
      <w:pPr>
        <w:pStyle w:val="Compact"/>
        <w:numPr>
          <w:numId w:val="1030"/>
          <w:ilvl w:val="0"/>
        </w:numPr>
      </w:pPr>
      <w:r>
        <w:t xml:space="preserve">M/F - Males and females separately in the same population matrix model</w:t>
      </w:r>
    </w:p>
    <w:p>
      <w:pPr>
        <w:pStyle w:val="Compact"/>
        <w:numPr>
          <w:numId w:val="1030"/>
          <w:ilvl w:val="0"/>
        </w:numPr>
      </w:pPr>
      <w:r>
        <w:t xml:space="preserve">A - All sexes together</w:t>
      </w:r>
    </w:p>
    <w:p>
      <w:r>
        <w:pict>
          <v:rect style="width:0;height:1.5pt" o:hralign="center" o:hrstd="t" o:hr="t"/>
        </w:pict>
      </w:r>
    </w:p>
    <w:p>
      <w:pPr>
        <w:pStyle w:val="Heading2"/>
      </w:pPr>
      <w:bookmarkStart w:id="85" w:name="matrixcomposite"/>
      <w:bookmarkEnd w:id="85"/>
      <w:r>
        <w:t xml:space="preserve">MatrixComposite</w:t>
      </w:r>
    </w:p>
    <w:p>
      <w:r>
        <w:t xml:space="preserve">Indicates the type of matrix population model (See the figure below for more information).</w:t>
      </w:r>
    </w:p>
    <w:p>
      <w:pPr>
        <w:pStyle w:val="Compact"/>
        <w:numPr>
          <w:numId w:val="1031"/>
          <w:ilvl w:val="0"/>
        </w:numPr>
      </w:pPr>
      <w:r>
        <w:t xml:space="preserve">Individual - A matrix population model constructed for a single study × species × population × treatment × period combination</w:t>
      </w:r>
    </w:p>
    <w:p>
      <w:pPr>
        <w:pStyle w:val="Compact"/>
        <w:numPr>
          <w:numId w:val="1031"/>
          <w:ilvl w:val="0"/>
        </w:numPr>
      </w:pPr>
      <w:r>
        <w:t xml:space="preserve">Mean - An average (arithmetic mean) of other matrix population models (e.g. element-by-element arithmetic mean of a population's matrices across several time periods available)</w:t>
      </w:r>
    </w:p>
    <w:p>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2"/>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2"/>
          <w:ilvl w:val="0"/>
        </w:numPr>
      </w:pPr>
      <w:r>
        <w:t xml:space="preserve">Seasonal - A matrix population model that does not describe a full annual transition, but rather a seasonal (&lt; 1 yr) transition</w:t>
      </w:r>
    </w:p>
    <w:p>
      <w:r>
        <w:t xml:space="preserve">A matrix can be seasonal even if a it is constructed over several years e.g. spring in years 2000-2012. Make sure you detail that there are multiple years data in the observation column.</w:t>
      </w:r>
    </w:p>
    <w:p>
      <w:r>
        <w:drawing>
          <wp:inline>
            <wp:extent cx="5440680" cy="3848436"/>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86"/>
                    <a:stretch>
                      <a:fillRect/>
                    </a:stretch>
                  </pic:blipFill>
                  <pic:spPr bwMode="auto">
                    <a:xfrm>
                      <a:off x="0" y="0"/>
                      <a:ext cx="5440680" cy="3848436"/>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87" w:name="matrixtreatment"/>
      <w:bookmarkEnd w:id="87"/>
      <w:r>
        <w:t xml:space="preserve">MatrixTreatment</w:t>
      </w:r>
    </w:p>
    <w:p>
      <w:r>
        <w:t xml:space="preserve">Describes if a treatment was applied or not, and the nature of the treatment.</w:t>
      </w:r>
    </w:p>
    <w:p>
      <w:pPr>
        <w:numPr>
          <w:numId w:val="1033"/>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3"/>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88" w:name="matrixcaptivity"/>
      <w:bookmarkEnd w:id="88"/>
      <w:r>
        <w:t xml:space="preserve">MatrixCaptivity</w:t>
      </w:r>
    </w:p>
    <w:p>
      <w:r>
        <w:t xml:space="preserve">Indicates whether the study species was studied in the wild or under controlled conditions for most of its life cycle.</w:t>
      </w:r>
    </w:p>
    <w:p>
      <w:pPr>
        <w:pStyle w:val="Compact"/>
        <w:numPr>
          <w:numId w:val="1034"/>
          <w:ilvl w:val="0"/>
        </w:numPr>
      </w:pPr>
      <w:r>
        <w:rPr>
          <w:b/>
        </w:rPr>
        <w:t xml:space="preserve">W</w:t>
      </w:r>
      <w:r>
        <w:t xml:space="preserve"> </w:t>
      </w:r>
      <w:r>
        <w:t xml:space="preserve">- Wild: the study was carried out in natural conditions.</w:t>
      </w:r>
    </w:p>
    <w:p>
      <w:pPr>
        <w:pStyle w:val="Compact"/>
        <w:numPr>
          <w:numId w:val="1034"/>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4"/>
          <w:ilvl w:val="0"/>
        </w:numPr>
      </w:pPr>
      <w:r>
        <w:rPr>
          <w:b/>
        </w:rPr>
        <w:t xml:space="preserve">CW</w:t>
      </w:r>
      <w:r>
        <w:t xml:space="preserve"> </w:t>
      </w:r>
      <w:r>
        <w:t xml:space="preserve">- Captured from wild: the study was carried out on a population that was captured from wild.</w:t>
      </w:r>
    </w:p>
    <w:p>
      <w:pPr>
        <w:pStyle w:val="Compact"/>
        <w:numPr>
          <w:numId w:val="1034"/>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89" w:name="yearseasonmonth"/>
      <w:bookmarkEnd w:id="89"/>
      <w:r>
        <w:t xml:space="preserve">YEAR/SEASON/MONTH</w:t>
      </w:r>
    </w:p>
    <w:p>
      <w:r>
        <w:t xml:space="preserve">These 6 columns describe the temporal aspects of the study for each matrix.</w:t>
      </w:r>
    </w:p>
    <w:p>
      <w:pPr>
        <w:pStyle w:val="Heading3"/>
      </w:pPr>
      <w:bookmarkStart w:id="90" w:name="matrixstartyear"/>
      <w:bookmarkEnd w:id="90"/>
      <w:r>
        <w:t xml:space="preserve">MatrixStartYear</w:t>
      </w:r>
    </w:p>
    <w:p>
      <w:r>
        <w:t xml:space="preserve">First year of study. Year</w:t>
      </w:r>
      <w:r>
        <w:t xml:space="preserve"> </w:t>
      </w:r>
      <m:oMath>
        <m:r>
          <m:rPr>
            <m:sty m:val="p"/>
          </m:rPr>
          <m:t>t</m:t>
        </m:r>
      </m:oMath>
      <w:r>
        <w:t xml:space="preserve"> </w:t>
      </w:r>
      <w:r>
        <w:t xml:space="preserve">in annual matrix population model that describes population dynamics from time</w:t>
      </w:r>
      <w:r>
        <w:t xml:space="preserve"> </w:t>
      </w:r>
      <m:oMath>
        <m:r>
          <m:rPr>
            <m:sty m:val="p"/>
          </m:rPr>
          <m:t>t</m:t>
        </m:r>
      </m:oMath>
      <w:r>
        <w:t xml:space="preserve"> </w:t>
      </w:r>
      <w:r>
        <w:t xml:space="preserve">to</w:t>
      </w:r>
      <w:r>
        <w:t xml:space="preserve"> </w:t>
      </w:r>
      <m:oMath>
        <m:r>
          <m:rPr>
            <m:sty m:val="p"/>
          </m:rPr>
          <m:t>t</m:t>
        </m:r>
        <m:r>
          <m:rPr>
            <m:sty m:val="p"/>
          </m:rPr>
          <m:t>+</m:t>
        </m:r>
        <m:r>
          <m:rPr>
            <m:sty m:val="p"/>
          </m:rPr>
          <m:t>1</m:t>
        </m:r>
      </m:oMath>
      <w:r>
        <w:t xml:space="preserve">. e.g. 1995.</w:t>
      </w:r>
    </w:p>
    <w:p>
      <w:r>
        <w:pict>
          <v:rect style="width:0;height:1.5pt" o:hralign="center" o:hrstd="t" o:hr="t"/>
        </w:pict>
      </w:r>
    </w:p>
    <w:p>
      <w:pPr>
        <w:pStyle w:val="Heading2"/>
      </w:pPr>
      <w:bookmarkStart w:id="91" w:name="matrixstartseason"/>
      <w:bookmarkEnd w:id="91"/>
      <w:r>
        <w:t xml:space="preserve">MatrixStartSeason</w:t>
      </w:r>
    </w:p>
    <w:p>
      <w:r>
        <w:t xml:space="preserve">Numeric indication of the first season of study. Season</w:t>
      </w:r>
      <w:r>
        <w:t xml:space="preserve"> </w:t>
      </w:r>
      <m:oMath>
        <m:r>
          <m:rPr>
            <m:sty m:val="p"/>
          </m:rPr>
          <m:t>s</m:t>
        </m:r>
      </m:oMath>
      <w:r>
        <w:t xml:space="preserve"> </w:t>
      </w:r>
      <w:r>
        <w:t xml:space="preserve">in periodic matrix population model that describes population dynamics from season</w:t>
      </w:r>
      <w:r>
        <w:t xml:space="preserve"> </w:t>
      </w:r>
      <m:oMath>
        <m:r>
          <m:rPr>
            <m:sty m:val="p"/>
          </m:rPr>
          <m:t>s</m:t>
        </m:r>
      </m:oMath>
      <w:r>
        <w:t xml:space="preserve"> </w:t>
      </w:r>
      <w:r>
        <w:t xml:space="preserve">to</w:t>
      </w:r>
      <w:r>
        <w:t xml:space="preserve"> </w:t>
      </w:r>
      <m:oMath>
        <m:r>
          <m:rPr>
            <m:sty m:val="p"/>
          </m:rPr>
          <m:t>s</m:t>
        </m:r>
        <m:r>
          <m:rPr>
            <m:sty m:val="p"/>
          </m:rPr>
          <m:t>+</m:t>
        </m:r>
        <m:r>
          <m:rPr>
            <m:sty m:val="p"/>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5"/>
          <w:ilvl w:val="0"/>
        </w:numPr>
      </w:pPr>
      <w:r>
        <w:t xml:space="preserve">Spring</w:t>
      </w:r>
    </w:p>
    <w:p>
      <w:pPr>
        <w:pStyle w:val="Compact"/>
        <w:numPr>
          <w:numId w:val="1035"/>
          <w:ilvl w:val="0"/>
        </w:numPr>
      </w:pPr>
      <w:r>
        <w:t xml:space="preserve">Summer</w:t>
      </w:r>
    </w:p>
    <w:p>
      <w:pPr>
        <w:pStyle w:val="Compact"/>
        <w:numPr>
          <w:numId w:val="1035"/>
          <w:ilvl w:val="0"/>
        </w:numPr>
      </w:pPr>
      <w:r>
        <w:t xml:space="preserve">Autumn or Fall</w:t>
      </w:r>
    </w:p>
    <w:p>
      <w:pPr>
        <w:pStyle w:val="Compact"/>
        <w:numPr>
          <w:numId w:val="1035"/>
          <w:ilvl w:val="0"/>
        </w:numPr>
      </w:pPr>
      <w:r>
        <w:t xml:space="preserve">Winter</w:t>
      </w:r>
    </w:p>
    <w:p>
      <w:r>
        <w:pict>
          <v:rect style="width:0;height:1.5pt" o:hralign="center" o:hrstd="t" o:hr="t"/>
        </w:pict>
      </w:r>
    </w:p>
    <w:p>
      <w:pPr>
        <w:pStyle w:val="Heading2"/>
      </w:pPr>
      <w:bookmarkStart w:id="92" w:name="matrixstartmonth"/>
      <w:bookmarkEnd w:id="92"/>
      <w:r>
        <w:t xml:space="preserve">MatrixStartMonth</w:t>
      </w:r>
    </w:p>
    <w:p>
      <w:r>
        <w:t xml:space="preserve">Numeric indication of the first month of study. Month</w:t>
      </w:r>
      <w:r>
        <w:t xml:space="preserve"> </w:t>
      </w:r>
      <m:oMath>
        <m:r>
          <m:rPr>
            <m:sty m:val="p"/>
          </m:rPr>
          <m:t>m</m:t>
        </m:r>
      </m:oMath>
      <w:r>
        <w:t xml:space="preserve"> </w:t>
      </w:r>
      <w:r>
        <w:t xml:space="preserve">in periodic matrix population model that describes population dynamics from month</w:t>
      </w:r>
      <w:r>
        <w:t xml:space="preserve"> </w:t>
      </w:r>
      <m:oMath>
        <m:r>
          <m:rPr>
            <m:sty m:val="p"/>
          </m:rPr>
          <m:t>m</m:t>
        </m:r>
      </m:oMath>
      <w:r>
        <w:t xml:space="preserve"> </w:t>
      </w:r>
      <w:r>
        <w:t xml:space="preserve">to</w:t>
      </w:r>
      <w:r>
        <w:t xml:space="preserve"> </w:t>
      </w:r>
      <m:oMath>
        <m:r>
          <m:rPr>
            <m:sty m:val="p"/>
          </m:rPr>
          <m:t>m</m:t>
        </m:r>
        <m:r>
          <m:rPr>
            <m:sty m:val="p"/>
          </m:rPr>
          <m:t>+</m:t>
        </m:r>
        <m:r>
          <m:rPr>
            <m:sty m:val="p"/>
          </m:rPr>
          <m:t>1</m:t>
        </m:r>
      </m:oMath>
    </w:p>
    <w:p>
      <w:pPr>
        <w:pStyle w:val="Compact"/>
        <w:numPr>
          <w:numId w:val="1036"/>
          <w:ilvl w:val="0"/>
        </w:numPr>
      </w:pPr>
      <w:r>
        <w:t xml:space="preserve">January</w:t>
      </w:r>
    </w:p>
    <w:p>
      <w:pPr>
        <w:pStyle w:val="Compact"/>
        <w:numPr>
          <w:numId w:val="1036"/>
          <w:ilvl w:val="0"/>
        </w:numPr>
      </w:pPr>
      <w:r>
        <w:t xml:space="preserve">February</w:t>
      </w:r>
    </w:p>
    <w:p>
      <w:pPr>
        <w:pStyle w:val="Compact"/>
        <w:numPr>
          <w:numId w:val="1036"/>
          <w:ilvl w:val="0"/>
        </w:numPr>
      </w:pPr>
      <w:r>
        <w:t xml:space="preserve">March</w:t>
      </w:r>
    </w:p>
    <w:p>
      <w:pPr>
        <w:pStyle w:val="Compact"/>
        <w:numPr>
          <w:numId w:val="1036"/>
          <w:ilvl w:val="0"/>
        </w:numPr>
      </w:pPr>
      <w:r>
        <w:t xml:space="preserve">April</w:t>
      </w:r>
    </w:p>
    <w:p>
      <w:pPr>
        <w:pStyle w:val="Compact"/>
        <w:numPr>
          <w:numId w:val="1036"/>
          <w:ilvl w:val="0"/>
        </w:numPr>
      </w:pPr>
      <w:r>
        <w:t xml:space="preserve">May</w:t>
      </w:r>
    </w:p>
    <w:p>
      <w:pPr>
        <w:pStyle w:val="Compact"/>
        <w:numPr>
          <w:numId w:val="1036"/>
          <w:ilvl w:val="0"/>
        </w:numPr>
      </w:pPr>
      <w:r>
        <w:t xml:space="preserve">June</w:t>
      </w:r>
    </w:p>
    <w:p>
      <w:pPr>
        <w:pStyle w:val="Compact"/>
        <w:numPr>
          <w:numId w:val="1036"/>
          <w:ilvl w:val="0"/>
        </w:numPr>
      </w:pPr>
      <w:r>
        <w:t xml:space="preserve">July</w:t>
      </w:r>
    </w:p>
    <w:p>
      <w:pPr>
        <w:pStyle w:val="Compact"/>
        <w:numPr>
          <w:numId w:val="1036"/>
          <w:ilvl w:val="0"/>
        </w:numPr>
      </w:pPr>
      <w:r>
        <w:t xml:space="preserve">August</w:t>
      </w:r>
    </w:p>
    <w:p>
      <w:pPr>
        <w:pStyle w:val="Compact"/>
        <w:numPr>
          <w:numId w:val="1036"/>
          <w:ilvl w:val="0"/>
        </w:numPr>
      </w:pPr>
      <w:r>
        <w:t xml:space="preserve">September</w:t>
      </w:r>
    </w:p>
    <w:p>
      <w:pPr>
        <w:pStyle w:val="Compact"/>
        <w:numPr>
          <w:numId w:val="1036"/>
          <w:ilvl w:val="0"/>
        </w:numPr>
      </w:pPr>
      <w:r>
        <w:t xml:space="preserve">October</w:t>
      </w:r>
    </w:p>
    <w:p>
      <w:pPr>
        <w:pStyle w:val="Compact"/>
        <w:numPr>
          <w:numId w:val="1036"/>
          <w:ilvl w:val="0"/>
        </w:numPr>
      </w:pPr>
      <w:r>
        <w:t xml:space="preserve">November</w:t>
      </w:r>
    </w:p>
    <w:p>
      <w:pPr>
        <w:pStyle w:val="Compact"/>
        <w:numPr>
          <w:numId w:val="1036"/>
          <w:ilvl w:val="0"/>
        </w:numPr>
      </w:pPr>
      <w:r>
        <w:t xml:space="preserve">December</w:t>
      </w:r>
    </w:p>
    <w:p>
      <w:r>
        <w:pict>
          <v:rect style="width:0;height:1.5pt" o:hralign="center" o:hrstd="t" o:hr="t"/>
        </w:pict>
      </w:r>
    </w:p>
    <w:p>
      <w:pPr>
        <w:pStyle w:val="Heading2"/>
      </w:pPr>
      <w:bookmarkStart w:id="93" w:name="matrixendyear"/>
      <w:bookmarkEnd w:id="93"/>
      <w:r>
        <w:t xml:space="preserve">MatrixEndYear</w:t>
      </w:r>
    </w:p>
    <w:p>
      <w:r>
        <w:t xml:space="preserve">Last year of study. Year</w:t>
      </w:r>
      <w:r>
        <w:t xml:space="preserve"> </w:t>
      </w:r>
      <m:oMath>
        <m:r>
          <m:rPr>
            <m:sty m:val="p"/>
          </m:rPr>
          <m:t>t</m:t>
        </m:r>
        <m:r>
          <m:rPr>
            <m:sty m:val="p"/>
          </m:rPr>
          <m:t>+</m:t>
        </m:r>
        <m:r>
          <m:rPr>
            <m:sty m:val="p"/>
          </m:rPr>
          <m:t>1</m:t>
        </m:r>
      </m:oMath>
      <w:r>
        <w:t xml:space="preserve"> </w:t>
      </w:r>
      <w:r>
        <w:t xml:space="preserve">in matrix population model that describes population dynamics from time</w:t>
      </w:r>
      <w:r>
        <w:t xml:space="preserve"> </w:t>
      </w:r>
      <m:oMath>
        <m:r>
          <m:rPr>
            <m:sty m:val="p"/>
          </m:rPr>
          <m:t>t</m:t>
        </m:r>
      </m:oMath>
      <w:r>
        <w:t xml:space="preserve"> </w:t>
      </w:r>
      <w:r>
        <w:t xml:space="preserve">to</w:t>
      </w:r>
      <w:r>
        <w:t xml:space="preserve"> </w:t>
      </w:r>
      <m:oMath>
        <m:r>
          <m:rPr>
            <m:sty m:val="p"/>
          </m:rPr>
          <m:t>t</m:t>
        </m:r>
        <m:r>
          <m:rPr>
            <m:sty m:val="p"/>
          </m:rPr>
          <m:t>+</m:t>
        </m:r>
        <m:r>
          <m:rPr>
            <m:sty m:val="p"/>
          </m:rPr>
          <m:t>1</m:t>
        </m:r>
      </m:oMath>
      <w:r>
        <w:t xml:space="preserve">. e.g. 2001.</w:t>
      </w:r>
    </w:p>
    <w:p>
      <w:r>
        <w:pict>
          <v:rect style="width:0;height:1.5pt" o:hralign="center" o:hrstd="t" o:hr="t"/>
        </w:pict>
      </w:r>
    </w:p>
    <w:p>
      <w:pPr>
        <w:pStyle w:val="Heading2"/>
      </w:pPr>
      <w:bookmarkStart w:id="94" w:name="matrixendseason"/>
      <w:bookmarkEnd w:id="94"/>
      <w:r>
        <w:t xml:space="preserve">MatrixEndSeason</w:t>
      </w:r>
    </w:p>
    <w:p>
      <w:r>
        <w:t xml:space="preserve">Numeric indication of the end season of the matrix.</w:t>
      </w:r>
    </w:p>
    <w:p>
      <w:pPr>
        <w:pStyle w:val="Compact"/>
        <w:numPr>
          <w:numId w:val="1037"/>
          <w:ilvl w:val="0"/>
        </w:numPr>
      </w:pPr>
      <w:r>
        <w:t xml:space="preserve">Spring</w:t>
      </w:r>
    </w:p>
    <w:p>
      <w:pPr>
        <w:pStyle w:val="Compact"/>
        <w:numPr>
          <w:numId w:val="1037"/>
          <w:ilvl w:val="0"/>
        </w:numPr>
      </w:pPr>
      <w:r>
        <w:t xml:space="preserve">Summer</w:t>
      </w:r>
    </w:p>
    <w:p>
      <w:pPr>
        <w:pStyle w:val="Compact"/>
        <w:numPr>
          <w:numId w:val="1037"/>
          <w:ilvl w:val="0"/>
        </w:numPr>
      </w:pPr>
      <w:r>
        <w:t xml:space="preserve">Autumn or Fall</w:t>
      </w:r>
    </w:p>
    <w:p>
      <w:pPr>
        <w:pStyle w:val="Compact"/>
        <w:numPr>
          <w:numId w:val="1037"/>
          <w:ilvl w:val="0"/>
        </w:numPr>
      </w:pPr>
      <w:r>
        <w:t xml:space="preserve">Winter</w:t>
      </w:r>
    </w:p>
    <w:p>
      <w:r>
        <w:pict>
          <v:rect style="width:0;height:1.5pt" o:hralign="center" o:hrstd="t" o:hr="t"/>
        </w:pict>
      </w:r>
    </w:p>
    <w:p>
      <w:pPr>
        <w:pStyle w:val="Heading2"/>
      </w:pPr>
      <w:bookmarkStart w:id="95" w:name="matrixendmonth"/>
      <w:bookmarkEnd w:id="95"/>
      <w:r>
        <w:t xml:space="preserve">MatrixEndMonth</w:t>
      </w:r>
    </w:p>
    <w:p>
      <w:r>
        <w:t xml:space="preserve">Numeric indication of the last month</w:t>
      </w:r>
      <w:r>
        <w:t xml:space="preserve"> </w:t>
      </w:r>
      <m:oMath>
        <m:r>
          <m:rPr>
            <m:sty m:val="p"/>
          </m:rPr>
          <m:t>m</m:t>
        </m:r>
      </m:oMath>
      <w:r>
        <w:t xml:space="preserve"> </w:t>
      </w:r>
      <w:r>
        <w:t xml:space="preserve">of study. Month</w:t>
      </w:r>
      <w:r>
        <w:t xml:space="preserve"> </w:t>
      </w:r>
      <m:oMath>
        <m:r>
          <m:rPr>
            <m:sty m:val="p"/>
          </m:rPr>
          <m:t>m</m:t>
        </m:r>
        <m:r>
          <m:rPr>
            <m:sty m:val="p"/>
          </m:rPr>
          <m:t>+</m:t>
        </m:r>
        <m:r>
          <m:rPr>
            <m:sty m:val="p"/>
          </m:rPr>
          <m:t>1</m:t>
        </m:r>
      </m:oMath>
      <w:r>
        <w:t xml:space="preserve"> </w:t>
      </w:r>
      <w:r>
        <w:t xml:space="preserve">in periodic matrix population model that describes population dynamics from month</w:t>
      </w:r>
      <w:r>
        <w:t xml:space="preserve"> </w:t>
      </w:r>
      <m:oMath>
        <m:r>
          <m:rPr>
            <m:sty m:val="p"/>
          </m:rPr>
          <m:t>m</m:t>
        </m:r>
      </m:oMath>
      <w:r>
        <w:t xml:space="preserve"> </w:t>
      </w:r>
      <w:r>
        <w:t xml:space="preserve">to</w:t>
      </w:r>
      <w:r>
        <w:t xml:space="preserve"> </w:t>
      </w:r>
      <m:oMath>
        <m:r>
          <m:rPr>
            <m:sty m:val="p"/>
          </m:rPr>
          <m:t>m</m:t>
        </m:r>
        <m:r>
          <m:rPr>
            <m:sty m:val="p"/>
          </m:rPr>
          <m:t>+</m:t>
        </m:r>
        <m:r>
          <m:rPr>
            <m:sty m:val="p"/>
          </m:rPr>
          <m:t>1</m:t>
        </m:r>
      </m:oMath>
      <w:r>
        <w:t xml:space="preserve">.</w:t>
      </w:r>
    </w:p>
    <w:p>
      <w:pPr>
        <w:pStyle w:val="Compact"/>
        <w:numPr>
          <w:numId w:val="1038"/>
          <w:ilvl w:val="0"/>
        </w:numPr>
      </w:pPr>
      <w:r>
        <w:t xml:space="preserve">January</w:t>
      </w:r>
    </w:p>
    <w:p>
      <w:pPr>
        <w:pStyle w:val="Compact"/>
        <w:numPr>
          <w:numId w:val="1038"/>
          <w:ilvl w:val="0"/>
        </w:numPr>
      </w:pPr>
      <w:r>
        <w:t xml:space="preserve">February</w:t>
      </w:r>
    </w:p>
    <w:p>
      <w:pPr>
        <w:pStyle w:val="Compact"/>
        <w:numPr>
          <w:numId w:val="1038"/>
          <w:ilvl w:val="0"/>
        </w:numPr>
      </w:pPr>
      <w:r>
        <w:t xml:space="preserve">March</w:t>
      </w:r>
    </w:p>
    <w:p>
      <w:pPr>
        <w:pStyle w:val="Compact"/>
        <w:numPr>
          <w:numId w:val="1038"/>
          <w:ilvl w:val="0"/>
        </w:numPr>
      </w:pPr>
      <w:r>
        <w:t xml:space="preserve">April</w:t>
      </w:r>
    </w:p>
    <w:p>
      <w:pPr>
        <w:pStyle w:val="Compact"/>
        <w:numPr>
          <w:numId w:val="1038"/>
          <w:ilvl w:val="0"/>
        </w:numPr>
      </w:pPr>
      <w:r>
        <w:t xml:space="preserve">May</w:t>
      </w:r>
    </w:p>
    <w:p>
      <w:pPr>
        <w:pStyle w:val="Compact"/>
        <w:numPr>
          <w:numId w:val="1038"/>
          <w:ilvl w:val="0"/>
        </w:numPr>
      </w:pPr>
      <w:r>
        <w:t xml:space="preserve">June</w:t>
      </w:r>
    </w:p>
    <w:p>
      <w:pPr>
        <w:pStyle w:val="Compact"/>
        <w:numPr>
          <w:numId w:val="1038"/>
          <w:ilvl w:val="0"/>
        </w:numPr>
      </w:pPr>
      <w:r>
        <w:t xml:space="preserve">July</w:t>
      </w:r>
    </w:p>
    <w:p>
      <w:pPr>
        <w:pStyle w:val="Compact"/>
        <w:numPr>
          <w:numId w:val="1038"/>
          <w:ilvl w:val="0"/>
        </w:numPr>
      </w:pPr>
      <w:r>
        <w:t xml:space="preserve">August</w:t>
      </w:r>
    </w:p>
    <w:p>
      <w:pPr>
        <w:pStyle w:val="Compact"/>
        <w:numPr>
          <w:numId w:val="1038"/>
          <w:ilvl w:val="0"/>
        </w:numPr>
      </w:pPr>
      <w:r>
        <w:t xml:space="preserve">September</w:t>
      </w:r>
    </w:p>
    <w:p>
      <w:pPr>
        <w:pStyle w:val="Compact"/>
        <w:numPr>
          <w:numId w:val="1038"/>
          <w:ilvl w:val="0"/>
        </w:numPr>
      </w:pPr>
      <w:r>
        <w:t xml:space="preserve">October</w:t>
      </w:r>
    </w:p>
    <w:p>
      <w:pPr>
        <w:pStyle w:val="Compact"/>
        <w:numPr>
          <w:numId w:val="1038"/>
          <w:ilvl w:val="0"/>
        </w:numPr>
      </w:pPr>
      <w:r>
        <w:t xml:space="preserve">November</w:t>
      </w:r>
    </w:p>
    <w:p>
      <w:pPr>
        <w:pStyle w:val="Compact"/>
        <w:numPr>
          <w:numId w:val="1038"/>
          <w:ilvl w:val="0"/>
        </w:numPr>
      </w:pPr>
      <w:r>
        <w:t xml:space="preserve">December</w:t>
      </w:r>
    </w:p>
    <w:p>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r>
        <w:t xml:space="preserve">This is how it possibly looks like (this is a 6x6 mean (the upper one) and individual (the lower one) matrix for the algae Alaria_nana)</w:t>
      </w:r>
    </w:p>
    <w:p>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96"/>
                    <a:stretch>
                      <a:fillRect/>
                    </a:stretch>
                  </pic:blipFill>
                  <pic:spPr bwMode="auto">
                    <a:xfrm>
                      <a:off x="0" y="0"/>
                      <a:ext cx="3835400" cy="29337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97" w:name="matrixpopulation"/>
      <w:bookmarkEnd w:id="97"/>
      <w:r>
        <w:t xml:space="preserve">MatrixPopulation</w:t>
      </w:r>
    </w:p>
    <w:p>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98" w:name="geolocation-columns"/>
      <w:bookmarkEnd w:id="98"/>
      <w:r>
        <w:t xml:space="preserve">Geolocation columns</w:t>
      </w:r>
    </w:p>
    <w:p>
      <w:r>
        <w:t xml:space="preserve">These 11 columns describes the location of each matrix.</w:t>
      </w:r>
    </w:p>
    <w:p>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99" w:name="latdeg-latmin-latsec"/>
      <w:bookmarkEnd w:id="99"/>
      <w:r>
        <w:t xml:space="preserve">LatDeg / LatMin / LatSec</w:t>
      </w:r>
    </w:p>
    <w:p>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p>
    <w:p>
      <w:pPr>
        <w:pStyle w:val="Heading3"/>
      </w:pPr>
      <w:bookmarkStart w:id="100" w:name="latns"/>
      <w:bookmarkEnd w:id="100"/>
      <w:r>
        <w:t xml:space="preserve">LatNS</w:t>
      </w:r>
    </w:p>
    <w:p>
      <w:r>
        <w:t xml:space="preserve">Cardinal direction</w:t>
      </w:r>
    </w:p>
    <w:p>
      <w:pPr>
        <w:pStyle w:val="Compact"/>
        <w:numPr>
          <w:numId w:val="1039"/>
          <w:ilvl w:val="0"/>
        </w:numPr>
      </w:pPr>
      <w:r>
        <w:t xml:space="preserve">N - North</w:t>
      </w:r>
    </w:p>
    <w:p>
      <w:pPr>
        <w:pStyle w:val="Compact"/>
        <w:numPr>
          <w:numId w:val="1039"/>
          <w:ilvl w:val="0"/>
        </w:numPr>
      </w:pPr>
      <w:r>
        <w:t xml:space="preserve">S - South</w:t>
      </w:r>
    </w:p>
    <w:p>
      <w:r>
        <w:rPr>
          <w:b/>
        </w:rPr>
        <w:t xml:space="preserve">Note:</w:t>
      </w:r>
      <w:r>
        <w:t xml:space="preserve"> </w:t>
      </w:r>
      <w:r>
        <w:t xml:space="preserve">Cardinal direction might be given with a “+” or “-“ whereat “+” means North and “-“ means South.</w:t>
      </w:r>
    </w:p>
    <w:p>
      <w:pPr>
        <w:pStyle w:val="Heading3"/>
      </w:pPr>
      <w:bookmarkStart w:id="101" w:name="londeg-lonmin-lonsec"/>
      <w:bookmarkEnd w:id="101"/>
      <w:r>
        <w:t xml:space="preserve">LonDeg / LonMin / LonSec</w:t>
      </w:r>
    </w:p>
    <w:p>
      <w:r>
        <w:t xml:space="preserve">Records the degree (0-90), minute (0-60) and second (0-60) values of the locations of the matrix.</w:t>
      </w:r>
    </w:p>
    <w:p>
      <w:pPr>
        <w:pStyle w:val="Heading3"/>
      </w:pPr>
      <w:bookmarkStart w:id="102" w:name="lonwe"/>
      <w:bookmarkEnd w:id="102"/>
      <w:r>
        <w:t xml:space="preserve">LonWE</w:t>
      </w:r>
    </w:p>
    <w:p>
      <w:r>
        <w:t xml:space="preserve">Cardinal direction</w:t>
      </w:r>
    </w:p>
    <w:p>
      <w:pPr>
        <w:pStyle w:val="Compact"/>
        <w:numPr>
          <w:numId w:val="1040"/>
          <w:ilvl w:val="0"/>
        </w:numPr>
      </w:pPr>
      <w:r>
        <w:t xml:space="preserve">W - West</w:t>
      </w:r>
    </w:p>
    <w:p>
      <w:pPr>
        <w:pStyle w:val="Compact"/>
        <w:numPr>
          <w:numId w:val="1040"/>
          <w:ilvl w:val="0"/>
        </w:numPr>
      </w:pPr>
      <w:r>
        <w:t xml:space="preserve">E - East</w:t>
      </w:r>
    </w:p>
    <w:p>
      <w:r>
        <w:rPr>
          <w:b/>
        </w:rPr>
        <w:t xml:space="preserve">Note:</w:t>
      </w:r>
      <w:r>
        <w:t xml:space="preserve"> </w:t>
      </w:r>
      <w:r>
        <w:t xml:space="preserve">Cardinal direction might be given with a “+” or “-“ whereat “+” means East and “-“ means West.</w:t>
      </w:r>
    </w:p>
    <w:p>
      <w:pPr>
        <w:pStyle w:val="Heading3"/>
      </w:pPr>
      <w:bookmarkStart w:id="103" w:name="altitude"/>
      <w:bookmarkEnd w:id="103"/>
      <w:r>
        <w:t xml:space="preserve">Altitude</w:t>
      </w:r>
    </w:p>
    <w:p>
      <w:r>
        <w:t xml:space="preserve">Altitude of studied population in m = Height above sea level of specific population in meters e.g. 208m.</w:t>
      </w:r>
    </w:p>
    <w:p>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r>
        <w:drawing>
          <wp:inline>
            <wp:extent cx="5440680" cy="2304976"/>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4"/>
                    <a:stretch>
                      <a:fillRect/>
                    </a:stretch>
                  </pic:blipFill>
                  <pic:spPr bwMode="auto">
                    <a:xfrm>
                      <a:off x="0" y="0"/>
                      <a:ext cx="5440680" cy="2304976"/>
                    </a:xfrm>
                    <a:prstGeom prst="rect">
                      <a:avLst/>
                    </a:prstGeom>
                    <a:noFill/>
                    <a:ln w="9525">
                      <a:noFill/>
                      <a:headEnd/>
                      <a:tailEnd/>
                    </a:ln>
                  </pic:spPr>
                </pic:pic>
              </a:graphicData>
            </a:graphic>
          </wp:inline>
        </w:drawing>
      </w:r>
    </w:p>
    <w:p>
      <w:pPr>
        <w:pStyle w:val="Heading3"/>
      </w:pPr>
      <w:bookmarkStart w:id="105" w:name="country"/>
      <w:bookmarkEnd w:id="105"/>
      <w:r>
        <w:t xml:space="preserve">Country</w:t>
      </w:r>
    </w:p>
    <w:p>
      <w:r>
        <w:t xml:space="preserve">The ISO 3 Country Code(s) of where the study took place. If the study involves multiple countries, these are separated by "; ".</w:t>
      </w:r>
      <w:r>
        <w:t xml:space="preserve"> </w:t>
      </w:r>
      <w:hyperlink r:id="rId106">
        <w:r>
          <w:rPr>
            <w:rStyle w:val="Link"/>
          </w:rPr>
          <w:t xml:space="preserve">https://en.wikipedia.org/wiki/ISO_3166-1_alpha-3</w:t>
        </w:r>
      </w:hyperlink>
      <w:r>
        <w:t xml:space="preserve">.</w:t>
      </w:r>
    </w:p>
    <w:p>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07" w:name="continent"/>
      <w:bookmarkEnd w:id="107"/>
      <w:r>
        <w:t xml:space="preserve">Continent</w:t>
      </w:r>
    </w:p>
    <w:p>
      <w:r>
        <w:t xml:space="preserve">Continent where study took place</w:t>
      </w:r>
    </w:p>
    <w:p>
      <w:pPr>
        <w:pStyle w:val="Compact"/>
        <w:numPr>
          <w:numId w:val="1041"/>
          <w:ilvl w:val="0"/>
        </w:numPr>
      </w:pPr>
      <w:r>
        <w:t xml:space="preserve">Africa</w:t>
      </w:r>
    </w:p>
    <w:p>
      <w:pPr>
        <w:pStyle w:val="Compact"/>
        <w:numPr>
          <w:numId w:val="1041"/>
          <w:ilvl w:val="0"/>
        </w:numPr>
      </w:pPr>
      <w:r>
        <w:t xml:space="preserve">Asia</w:t>
      </w:r>
    </w:p>
    <w:p>
      <w:pPr>
        <w:pStyle w:val="Compact"/>
        <w:numPr>
          <w:numId w:val="1041"/>
          <w:ilvl w:val="0"/>
        </w:numPr>
      </w:pPr>
      <w:r>
        <w:t xml:space="preserve">Europe</w:t>
      </w:r>
    </w:p>
    <w:p>
      <w:pPr>
        <w:pStyle w:val="Compact"/>
        <w:numPr>
          <w:numId w:val="1041"/>
          <w:ilvl w:val="0"/>
        </w:numPr>
      </w:pPr>
      <w:r>
        <w:t xml:space="preserve">N America (includes Canada, USA and Mexico)</w:t>
      </w:r>
    </w:p>
    <w:p>
      <w:pPr>
        <w:pStyle w:val="Compact"/>
        <w:numPr>
          <w:numId w:val="1041"/>
          <w:ilvl w:val="0"/>
        </w:numPr>
      </w:pPr>
      <w:r>
        <w:t xml:space="preserve">S America (incluces the rest of the countries in the Americas not outlined in "N America")</w:t>
      </w:r>
    </w:p>
    <w:p>
      <w:pPr>
        <w:pStyle w:val="Compact"/>
        <w:numPr>
          <w:numId w:val="1041"/>
          <w:ilvl w:val="0"/>
        </w:numPr>
      </w:pPr>
      <w:r>
        <w:t xml:space="preserve">Antarctica</w:t>
      </w:r>
    </w:p>
    <w:p>
      <w:pPr>
        <w:pStyle w:val="Compact"/>
        <w:numPr>
          <w:numId w:val="1041"/>
          <w:ilvl w:val="0"/>
        </w:numPr>
      </w:pPr>
      <w:r>
        <w:t xml:space="preserve">Oceania (various definitions for Oceania exist, but here we opted for this one:</w:t>
      </w:r>
      <w:r>
        <w:t xml:space="preserve"> </w:t>
      </w:r>
      <w:hyperlink r:id="rId108">
        <w:r>
          <w:rPr>
            <w:rStyle w:val="Link"/>
          </w:rPr>
          <w:t xml:space="preserve">https://en.wikipedia.org/wiki/List_of_Oceanian_countries_by_population</w:t>
        </w:r>
      </w:hyperlink>
      <w:r>
        <w:t xml:space="preserve">)</w:t>
      </w:r>
    </w:p>
    <w:p>
      <w:pPr>
        <w:pStyle w:val="Heading3"/>
      </w:pPr>
      <w:bookmarkStart w:id="109" w:name="general-notes-on-location-information"/>
      <w:bookmarkEnd w:id="109"/>
      <w:r>
        <w:t xml:space="preserve">General notes on location information</w:t>
      </w:r>
    </w:p>
    <w:p>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r>
        <w:t xml:space="preserve">This is how it possibly looks like (this is a 6x6 mean (the upper one) and individual (the lower one) matrix for the algae Alaria_nana)</w:t>
      </w:r>
    </w:p>
    <w:p>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10"/>
                    <a:stretch>
                      <a:fillRect/>
                    </a:stretch>
                  </pic:blipFill>
                  <pic:spPr bwMode="auto">
                    <a:xfrm>
                      <a:off x="0" y="0"/>
                      <a:ext cx="3695700" cy="2336800"/>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11" w:name="matrixsplit"/>
      <w:bookmarkEnd w:id="111"/>
      <w:r>
        <w:t xml:space="preserve">MatrixSplit</w:t>
      </w:r>
    </w:p>
    <w:p>
      <w:r>
        <w:t xml:space="preserve">Indicates the type of matrix population model, i.e. can A it be divided into U, F and C sub-matrices? If a matrix is divisible, we divide it! Then always insert all sub-matrices – even if e.g. C only has zeros!</w:t>
      </w:r>
    </w:p>
    <w:p>
      <w:pPr>
        <w:pStyle w:val="Compact"/>
        <w:numPr>
          <w:numId w:val="1042"/>
          <w:ilvl w:val="0"/>
        </w:numPr>
      </w:pPr>
      <w:r>
        <w:t xml:space="preserve">Divided - The matrix population model A has successfully been divided into the process-based sub matrices U, F and C.</w:t>
      </w:r>
    </w:p>
    <w:p>
      <w:pPr>
        <w:pStyle w:val="Compact"/>
        <w:numPr>
          <w:numId w:val="1042"/>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r>
        <w:t xml:space="preserve">This is how it possibly looks like (these are two divisible 4x4 matrices for the herb</w:t>
      </w:r>
      <w:r>
        <w:t xml:space="preserve"> </w:t>
      </w:r>
      <w:r>
        <w:rPr>
          <w:i/>
        </w:rPr>
        <w:t xml:space="preserve">Dactylorhiza lapponica</w:t>
      </w:r>
      <w:r>
        <w:t xml:space="preserve">):</w:t>
      </w:r>
    </w:p>
    <w:p>
      <w:r>
        <w:drawing>
          <wp:inline>
            <wp:extent cx="5440680" cy="1148315"/>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2"/>
                    <a:stretch>
                      <a:fillRect/>
                    </a:stretch>
                  </pic:blipFill>
                  <pic:spPr bwMode="auto">
                    <a:xfrm>
                      <a:off x="0" y="0"/>
                      <a:ext cx="5440680" cy="1148315"/>
                    </a:xfrm>
                    <a:prstGeom prst="rect">
                      <a:avLst/>
                    </a:prstGeom>
                    <a:noFill/>
                    <a:ln w="9525">
                      <a:noFill/>
                      <a:headEnd/>
                      <a:tailEnd/>
                    </a:ln>
                  </pic:spPr>
                </pic:pic>
              </a:graphicData>
            </a:graphic>
          </wp:inline>
        </w:drawing>
      </w:r>
    </w:p>
    <w:p>
      <w:r>
        <w:t xml:space="preserve">This is how it possibly looks like (this is a indivisible 5x5 matrices for the herb</w:t>
      </w:r>
      <w:r>
        <w:t xml:space="preserve"> </w:t>
      </w:r>
      <w:r>
        <w:rPr>
          <w:i/>
        </w:rPr>
        <w:t xml:space="preserve">Syngonanthus nitens</w:t>
      </w:r>
      <w:r>
        <w:t xml:space="preserve">):</w:t>
      </w:r>
    </w:p>
    <w:p>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3"/>
                    <a:stretch>
                      <a:fillRect/>
                    </a:stretch>
                  </pic:blipFill>
                  <pic:spPr bwMode="auto">
                    <a:xfrm>
                      <a:off x="0" y="0"/>
                      <a:ext cx="3733800" cy="1536700"/>
                    </a:xfrm>
                    <a:prstGeom prst="rect">
                      <a:avLst/>
                    </a:prstGeom>
                    <a:noFill/>
                    <a:ln w="9525">
                      <a:noFill/>
                      <a:headEnd/>
                      <a:tailEnd/>
                    </a:ln>
                  </pic:spPr>
                </pic:pic>
              </a:graphicData>
            </a:graphic>
          </wp:inline>
        </w:drawing>
      </w:r>
    </w:p>
    <w:p>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r>
        <w:drawing>
          <wp:inline>
            <wp:extent cx="5440680" cy="7691696"/>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4"/>
                    <a:stretch>
                      <a:fillRect/>
                    </a:stretch>
                  </pic:blipFill>
                  <pic:spPr bwMode="auto">
                    <a:xfrm>
                      <a:off x="0" y="0"/>
                      <a:ext cx="5440680" cy="7691696"/>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115" w:name="observation"/>
      <w:bookmarkEnd w:id="115"/>
      <w:r>
        <w:t xml:space="preserve">Observation</w:t>
      </w:r>
    </w:p>
    <w:p>
      <w:r>
        <w:t xml:space="preserve">Any useful additional information about the population matrix model that is not provided elsewhere but may nonetheless be important (e.g. plant canopy, burning intervals, etc.)</w:t>
      </w:r>
    </w:p>
    <w:p>
      <w:r>
        <w:t xml:space="preserve">Some standardised sentences:</w:t>
      </w:r>
    </w:p>
    <w:p>
      <w:pPr>
        <w:pStyle w:val="Compact"/>
        <w:numPr>
          <w:numId w:val="1043"/>
          <w:ilvl w:val="0"/>
        </w:numPr>
      </w:pPr>
      <w:r>
        <w:t xml:space="preserve">The GPS coordinates were approximated to the closest geographic location described in the reference. (see Geolocation)</w:t>
      </w:r>
    </w:p>
    <w:p>
      <w:pPr>
        <w:pStyle w:val="Compact"/>
        <w:numPr>
          <w:numId w:val="1043"/>
          <w:ilvl w:val="0"/>
        </w:numPr>
      </w:pPr>
      <w:r>
        <w:t xml:space="preserve">GPS co-ordinates cited exactly as reported in original paper. These do not match written study site description. (see Geolocation)</w:t>
      </w:r>
    </w:p>
    <w:p>
      <w:pPr>
        <w:pStyle w:val="Compact"/>
        <w:numPr>
          <w:numId w:val="1043"/>
          <w:ilvl w:val="0"/>
        </w:numPr>
      </w:pPr>
      <w:r>
        <w:t xml:space="preserve">Geolocation / Altitude from descriptor: (if no matrices are enters yet but a geolocation information are available)</w:t>
      </w:r>
    </w:p>
    <w:p>
      <w:pPr>
        <w:pStyle w:val="Compact"/>
        <w:numPr>
          <w:numId w:val="1043"/>
          <w:ilvl w:val="0"/>
        </w:numPr>
      </w:pPr>
      <w:r>
        <w:t xml:space="preserve">Matrix is calculated with stochastic model</w:t>
      </w:r>
    </w:p>
    <w:p>
      <w:pPr>
        <w:pStyle w:val="Compact"/>
        <w:numPr>
          <w:numId w:val="1043"/>
          <w:ilvl w:val="0"/>
        </w:numPr>
      </w:pPr>
      <w:r>
        <w:t xml:space="preserve">X years since last fire</w:t>
      </w:r>
    </w:p>
    <w:p>
      <w:pPr>
        <w:pStyle w:val="Compact"/>
        <w:numPr>
          <w:numId w:val="1043"/>
          <w:ilvl w:val="0"/>
        </w:numPr>
      </w:pPr>
      <w:r>
        <w:t xml:space="preserve">Calculated with demographic data from Author JournalName YearPublished</w:t>
      </w:r>
    </w:p>
    <w:p>
      <w:pPr>
        <w:pStyle w:val="Compact"/>
        <w:numPr>
          <w:numId w:val="1043"/>
          <w:ilvl w:val="0"/>
        </w:numPr>
      </w:pPr>
      <w:r>
        <w:t xml:space="preserve">Data is from a greenhouse experiment</w:t>
      </w:r>
    </w:p>
    <w:p>
      <w:pPr>
        <w:pStyle w:val="Compact"/>
        <w:numPr>
          <w:numId w:val="1043"/>
          <w:ilvl w:val="0"/>
        </w:numPr>
      </w:pPr>
      <w:r>
        <w:t xml:space="preserve">MatrixClassAuthor is not clarified</w:t>
      </w:r>
    </w:p>
    <w:p>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16" w:name="matrixclassorganized"/>
      <w:bookmarkEnd w:id="116"/>
      <w:r>
        <w:t xml:space="preserve">MatrixClassOrganized</w:t>
      </w:r>
    </w:p>
    <w:p>
      <w:r>
        <w:t xml:space="preserve">We standardise all stages in a given population matrix model to one of three stages (prop, active, dorm) to facilitate analyses.</w:t>
      </w:r>
    </w:p>
    <w:p>
      <w:pPr>
        <w:pStyle w:val="Compact"/>
        <w:numPr>
          <w:numId w:val="1044"/>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4"/>
          <w:ilvl w:val="0"/>
        </w:numPr>
      </w:pPr>
      <w:r>
        <w:t xml:space="preserve">active - This includes stages that can neither be placed in the “prop” nor “dorm” (see below) stages.</w:t>
      </w:r>
    </w:p>
    <w:p>
      <w:pPr>
        <w:pStyle w:val="Compact"/>
        <w:numPr>
          <w:numId w:val="1044"/>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17" w:name="matrixclassauthor"/>
      <w:bookmarkEnd w:id="117"/>
      <w:r>
        <w:t xml:space="preserve">MatrixClassAuthor</w:t>
      </w:r>
    </w:p>
    <w:p>
      <w:r>
        <w:t xml:space="preserve">The stage description as indicated in the source by the publication author of the matrix population model. When possible, we add units (e.g. cm, m, cm</w:t>
      </w:r>
      <w:r>
        <w:rPr>
          <w:vertAlign w:val="superscript"/>
        </w:rPr>
        <w:t xml:space="preserve">2</w:t>
      </w:r>
      <w:r>
        <w:t xml:space="preserve">)</w:t>
      </w:r>
    </w:p>
    <w:p>
      <w:r>
        <w:t xml:space="preserve">Some information on how to correctly write things in that column:</w:t>
      </w:r>
    </w:p>
    <w:p>
      <w:pPr>
        <w:pStyle w:val="Compact"/>
        <w:numPr>
          <w:numId w:val="1045"/>
          <w:ilvl w:val="0"/>
        </w:numPr>
      </w:pPr>
      <w:r>
        <w:t xml:space="preserve">First letter must be a capital letter (e.g. Adult: 100-150 cm DBH)</w:t>
      </w:r>
    </w:p>
    <w:p>
      <w:pPr>
        <w:pStyle w:val="Compact"/>
        <w:numPr>
          <w:numId w:val="1045"/>
          <w:ilvl w:val="0"/>
        </w:numPr>
      </w:pPr>
      <w:r>
        <w:t xml:space="preserve">If the Author uses abbreviations first write them down, followed by a “:” and the explanation of that abbreviations</w:t>
      </w:r>
    </w:p>
    <w:p>
      <w:pPr>
        <w:pStyle w:val="Compact"/>
        <w:numPr>
          <w:numId w:val="1045"/>
          <w:ilvl w:val="0"/>
        </w:numPr>
      </w:pPr>
      <w:r>
        <w:t xml:space="preserve">Use the most detailed description</w:t>
      </w:r>
    </w:p>
    <w:p>
      <w:pPr>
        <w:pStyle w:val="Compact"/>
        <w:numPr>
          <w:numId w:val="1045"/>
          <w:ilvl w:val="0"/>
        </w:numPr>
      </w:pPr>
      <w:r>
        <w:t xml:space="preserve">Always add units (when possible) (e.g. 0-9 cm DBH, not 0-9 DBH)</w:t>
      </w:r>
    </w:p>
    <w:p>
      <w:pPr>
        <w:pStyle w:val="Compact"/>
        <w:numPr>
          <w:numId w:val="1045"/>
          <w:ilvl w:val="0"/>
        </w:numPr>
      </w:pPr>
      <w:r>
        <w:t xml:space="preserve">Be clear in what is described (e.g. 0-9 cm DBH/ height, not only 0-9 cm)</w:t>
      </w:r>
    </w:p>
    <w:p>
      <w:pPr>
        <w:pStyle w:val="Compact"/>
        <w:numPr>
          <w:numId w:val="1045"/>
          <w:ilvl w:val="0"/>
        </w:numPr>
      </w:pPr>
      <w:r>
        <w:t xml:space="preserve">Make sure that you use “.” Instead of “,” when typing numbers (e.g. 1.45 cm, not 1,45 cm)</w:t>
      </w:r>
    </w:p>
    <w:p>
      <w:pPr>
        <w:pStyle w:val="Compact"/>
        <w:numPr>
          <w:numId w:val="1045"/>
          <w:ilvl w:val="0"/>
        </w:numPr>
      </w:pPr>
      <w:r>
        <w:t xml:space="preserve">Make sure that there is space between the number and the unit (e.g. 1.45 cm, not 1.45cm)</w:t>
      </w:r>
    </w:p>
    <w:p>
      <w:pPr>
        <w:pStyle w:val="Compact"/>
        <w:numPr>
          <w:numId w:val="1045"/>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5"/>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18" w:name="matrixclassnumber"/>
      <w:bookmarkEnd w:id="118"/>
      <w:r>
        <w:t xml:space="preserve">MatrixClassNumber</w:t>
      </w:r>
    </w:p>
    <w:p>
      <w:r>
        <w:t xml:space="preserve">A numerical representation of classes in the population matrix model. Numbers starting with 1 (</w:t>
      </w:r>
      <w:r>
        <w:rPr>
          <w:b/>
        </w:rPr>
        <w:t xml:space="preserve">not 0</w:t>
      </w:r>
      <w:r>
        <w:t xml:space="preserve">). e.g. 1,2,3, ...</w:t>
      </w:r>
      <w:r>
        <w:t xml:space="preserve"> </w:t>
      </w:r>
      <m:oMath>
        <m:r>
          <m:rPr>
            <m:sty m:val="p"/>
          </m:rPr>
          <m:t>n</m:t>
        </m:r>
      </m:oMath>
      <w:r>
        <w:t xml:space="preserve">, where</w:t>
      </w:r>
      <w:r>
        <w:t xml:space="preserve"> </w:t>
      </w:r>
      <m:oMath>
        <m:r>
          <m:rPr>
            <m:sty m:val="p"/>
          </m:rPr>
          <m:t>n</m:t>
        </m:r>
      </m:oMath>
      <w:r>
        <w:t xml:space="preserve"> </w:t>
      </w:r>
      <w:r>
        <w:t xml:space="preserve">is the dimension of the population matrix.</w:t>
      </w:r>
    </w:p>
    <w:p>
      <w:r>
        <w:pict>
          <v:rect style="width:0;height:1.5pt" o:hralign="center" o:hrstd="t" o:hr="t"/>
        </w:pict>
      </w:r>
    </w:p>
    <w:p>
      <w:pPr>
        <w:pStyle w:val="Heading2"/>
      </w:pPr>
      <w:bookmarkStart w:id="119" w:name="matumatfmatc"/>
      <w:bookmarkEnd w:id="119"/>
      <w:r>
        <w:t xml:space="preserve">matU/matF/matC/</w:t>
      </w:r>
    </w:p>
    <w:p>
      <w:r>
        <w:t xml:space="preserve">The population matrix models. Including the overall matrix (A) and, where possible, the sub-matrices U (survival), F (fecundity), C (clonality). A range of numeric values is possible in each element of the matrix.</w:t>
      </w:r>
    </w:p>
    <w:p>
      <w:pPr>
        <w:numPr>
          <w:numId w:val="1046"/>
          <w:ilvl w:val="0"/>
        </w:numPr>
      </w:pPr>
      <w:r>
        <w:t xml:space="preserve">The A matrix - Transition probabilities are constrained between 0 and 1. Reproductive values are always positive but have no upper bound.</w:t>
      </w:r>
    </w:p>
    <w:p>
      <w:pPr>
        <w:numPr>
          <w:numId w:val="1046"/>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6"/>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6"/>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r>
        <w:t xml:space="preserve">The values for the U, F and C matrices are only digitised for “Divided” matrices (indicated by variable</w:t>
      </w:r>
      <w:r>
        <w:t xml:space="preserve"> </w:t>
      </w:r>
      <w:r>
        <w:rPr>
          <w:b/>
        </w:rPr>
        <w:t xml:space="preserve">MatrixSplit</w:t>
      </w:r>
      <w:r>
        <w:t xml:space="preserve">)</w:t>
      </w:r>
    </w:p>
    <w:p>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20" w:name="color-coding"/>
      <w:bookmarkEnd w:id="120"/>
      <w:r>
        <w:t xml:space="preserve">Color coding</w:t>
      </w:r>
    </w:p>
    <w:p>
      <w:r>
        <w:t xml:space="preserve">Within the Excel sheets we color code all matrices in the same standardised way. The “color palette” can easily be found in (and copy pasted from) all stacked files (last tab).</w:t>
      </w:r>
    </w:p>
    <w:p>
      <w:r>
        <w:rPr>
          <w:b/>
        </w:rPr>
        <w:t xml:space="preserve">unique cells</w:t>
      </w:r>
      <w:r>
        <w:t xml:space="preserve"> </w:t>
      </w:r>
      <w:r>
        <w:t xml:space="preserve">(only one reproduction- or transition-form exists)</w:t>
      </w:r>
    </w:p>
    <w:p>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1"/>
                    <a:stretch>
                      <a:fillRect/>
                    </a:stretch>
                  </pic:blipFill>
                  <pic:spPr bwMode="auto">
                    <a:xfrm>
                      <a:off x="0" y="0"/>
                      <a:ext cx="5003800" cy="2374900"/>
                    </a:xfrm>
                    <a:prstGeom prst="rect">
                      <a:avLst/>
                    </a:prstGeom>
                    <a:noFill/>
                    <a:ln w="9525">
                      <a:noFill/>
                      <a:headEnd/>
                      <a:tailEnd/>
                    </a:ln>
                  </pic:spPr>
                </pic:pic>
              </a:graphicData>
            </a:graphic>
          </wp:inline>
        </w:drawing>
      </w:r>
    </w:p>
    <w:p>
      <w:r>
        <w:rPr>
          <w:b/>
        </w:rPr>
        <w:t xml:space="preserve">mixed cells</w:t>
      </w:r>
      <w:r>
        <w:t xml:space="preserve"> </w:t>
      </w:r>
      <w:r>
        <w:t xml:space="preserve">(more than one reproduction- or transition-form exists)</w:t>
      </w:r>
    </w:p>
    <w:p>
      <w:r>
        <w:drawing>
          <wp:inline>
            <wp:extent cx="5440680" cy="918556"/>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2"/>
                    <a:stretch>
                      <a:fillRect/>
                    </a:stretch>
                  </pic:blipFill>
                  <pic:spPr bwMode="auto">
                    <a:xfrm>
                      <a:off x="0" y="0"/>
                      <a:ext cx="5440680" cy="918556"/>
                    </a:xfrm>
                    <a:prstGeom prst="rect">
                      <a:avLst/>
                    </a:prstGeom>
                    <a:noFill/>
                    <a:ln w="9525">
                      <a:noFill/>
                      <a:headEnd/>
                      <a:tailEnd/>
                    </a:ln>
                  </pic:spPr>
                </pic:pic>
              </a:graphicData>
            </a:graphic>
          </wp:inline>
        </w:drawing>
      </w:r>
    </w:p>
    <w:p>
      <w:r>
        <w:rPr>
          <w:b/>
        </w:rPr>
        <w:t xml:space="preserve">other colored cells</w:t>
      </w:r>
    </w:p>
    <w:p>
      <w:r>
        <w:drawing>
          <wp:inline>
            <wp:extent cx="5440680" cy="1115784"/>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3"/>
                    <a:stretch>
                      <a:fillRect/>
                    </a:stretch>
                  </pic:blipFill>
                  <pic:spPr bwMode="auto">
                    <a:xfrm>
                      <a:off x="0" y="0"/>
                      <a:ext cx="5440680" cy="1115784"/>
                    </a:xfrm>
                    <a:prstGeom prst="rect">
                      <a:avLst/>
                    </a:prstGeom>
                    <a:noFill/>
                    <a:ln w="9525">
                      <a:noFill/>
                      <a:headEnd/>
                      <a:tailEnd/>
                    </a:ln>
                  </pic:spPr>
                </pic:pic>
              </a:graphicData>
            </a:graphic>
          </wp:inline>
        </w:drawing>
      </w:r>
    </w:p>
    <w:p>
      <w:r>
        <w:t xml:space="preserve">All matrices are to be digitised using color-codes for the matrix elements</w:t>
      </w:r>
      <w:r>
        <w:t xml:space="preserve"> </w:t>
      </w:r>
      <m:oMath>
        <m:sSub>
          <m:e>
            <m:r>
              <m:rPr>
                <m:sty m:val="p"/>
              </m:rPr>
              <m:t>a</m:t>
            </m:r>
          </m:e>
          <m:sub>
            <m:r>
              <m:rPr>
                <m:sty m:val="p"/>
              </m:rPr>
              <m:t>i</m:t>
            </m:r>
            <m:r>
              <m:rPr>
                <m:sty m:val="p"/>
              </m:rPr>
              <m:t>j</m:t>
            </m:r>
          </m:sub>
        </m:sSub>
        <m:r>
          <m:rPr>
            <m:sty m:val="p"/>
          </m:rPr>
          <m:t>&gt;</m:t>
        </m:r>
        <m:r>
          <m:rPr>
            <m:sty m:val="p"/>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r>
        <w:drawing>
          <wp:inline>
            <wp:extent cx="5440680" cy="2189453"/>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4"/>
                    <a:stretch>
                      <a:fillRect/>
                    </a:stretch>
                  </pic:blipFill>
                  <pic:spPr bwMode="auto">
                    <a:xfrm>
                      <a:off x="0" y="0"/>
                      <a:ext cx="5440680" cy="2189453"/>
                    </a:xfrm>
                    <a:prstGeom prst="rect">
                      <a:avLst/>
                    </a:prstGeom>
                    <a:noFill/>
                    <a:ln w="9525">
                      <a:noFill/>
                      <a:headEnd/>
                      <a:tailEnd/>
                    </a:ln>
                  </pic:spPr>
                </pic:pic>
              </a:graphicData>
            </a:graphic>
          </wp:inline>
        </w:drawing>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4682d1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8e18b7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e0c5d1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2" Target="media/rId112.png" /><Relationship Type="http://schemas.openxmlformats.org/officeDocument/2006/relationships/image" Id="rId110" Target="media/rId110.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8" Target="media/rId78.png" /><Relationship Type="http://schemas.openxmlformats.org/officeDocument/2006/relationships/image" Id="rId114" Target="media/rId114.png" /><Relationship Type="http://schemas.openxmlformats.org/officeDocument/2006/relationships/image" Id="rId86" Target="media/rId86.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113" Target="media/rId113.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hyperlink" Id="rId34" Target="File:__" TargetMode="External" /><Relationship Type="http://schemas.openxmlformats.org/officeDocument/2006/relationships/hyperlink" Id="rId47" Target="http://images.webofknowledge.com/WOK46/help/WOS/A_abrvjt.html" TargetMode="External" /><Relationship Type="http://schemas.openxmlformats.org/officeDocument/2006/relationships/hyperlink" Id="rId5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65" Target="http://www.fws.gov/endangered/" TargetMode="External" /><Relationship Type="http://schemas.openxmlformats.org/officeDocument/2006/relationships/hyperlink" Id="rId27" Target="http://www.iplantcollaborative.org/" TargetMode="External" /><Relationship Type="http://schemas.openxmlformats.org/officeDocument/2006/relationships/hyperlink" Id="rId28" Target="https://en.wikipedia.org/" TargetMode="External" /><Relationship Type="http://schemas.openxmlformats.org/officeDocument/2006/relationships/hyperlink" Id="rId106" Target="https://en.wikipedia.org/wiki/ISO_3166-1_alpha-3" TargetMode="External" /><Relationship Type="http://schemas.openxmlformats.org/officeDocument/2006/relationships/hyperlink" Id="rId108" Target="https://en.wikipedia.org/wiki/List_of_Oceanian_countries_by_population"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4" Target="File:__" TargetMode="External" /><Relationship Type="http://schemas.openxmlformats.org/officeDocument/2006/relationships/hyperlink" Id="rId47" Target="http://images.webofknowledge.com/WOK46/help/WOS/A_abrvjt.html" TargetMode="External" /><Relationship Type="http://schemas.openxmlformats.org/officeDocument/2006/relationships/hyperlink" Id="rId5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65" Target="http://www.fws.gov/endangered/" TargetMode="External" /><Relationship Type="http://schemas.openxmlformats.org/officeDocument/2006/relationships/hyperlink" Id="rId27" Target="http://www.iplantcollaborative.org/" TargetMode="External" /><Relationship Type="http://schemas.openxmlformats.org/officeDocument/2006/relationships/hyperlink" Id="rId28" Target="https://en.wikipedia.org/" TargetMode="External" /><Relationship Type="http://schemas.openxmlformats.org/officeDocument/2006/relationships/hyperlink" Id="rId106" Target="https://en.wikipedia.org/wiki/ISO_3166-1_alpha-3" TargetMode="External" /><Relationship Type="http://schemas.openxmlformats.org/officeDocument/2006/relationships/hyperlink" Id="rId108" Target="https://en.wikipedia.org/wiki/List_of_Oceanian_countries_by_population"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