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1.png" ContentType="image/png"/>
  <Override PartName="/word/media/rId109.png" ContentType="image/png"/>
  <Override PartName="/word/media/rId95.png" ContentType="image/png"/>
  <Override PartName="/word/media/rId103.png" ContentType="image/png"/>
  <Override PartName="/word/media/rId77.png" ContentType="image/png"/>
  <Override PartName="/word/media/rId113.png" ContentType="image/png"/>
  <Override PartName="/word/media/rId85.png" ContentType="image/png"/>
  <Override PartName="/word/media/rId58.png" ContentType="image/png"/>
  <Override PartName="/word/media/rId60.png" ContentType="image/png"/>
  <Override PartName="/word/media/rId112.png" ContentType="image/png"/>
  <Override PartName="/word/media/rId120.png" ContentType="image/png"/>
  <Override PartName="/word/media/rId121.png" ContentType="image/png"/>
  <Override PartName="/word/media/rId122.png" ContentType="image/png"/>
  <Override PartName="/word/media/rId1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Heading2"/>
      </w:pPr>
      <w:bookmarkStart w:id="21" w:name="preamble"/>
      <w:bookmarkEnd w:id="21"/>
      <w:r>
        <w:t xml:space="preserve">Preamble</w:t>
      </w:r>
    </w:p>
    <w:p>
      <w:r>
        <w:t xml:space="preserve">The COMPADRE and COMADRE databases are compiled from (mostly) published literature. The majority of this literature was published as peer-reviewed articles in academic journals, with a smaller number of data obtained from books, conference presentations etc.</w:t>
      </w:r>
    </w:p>
    <w:p>
      <w:r>
        <w:t xml:space="preserve">The data digitization team (The COMPADRINOs) read the literature and extract information in order to reconstruct the matrix analysed by the original researchers. The extracted data are entered into Excel spreadsheets in a structured way. Wherever there are doubts about aspects of the data the team attempts to contact the researchers to resolve them. There are two types of Excel file in COMPADRE/COMADRE: (1) The DESCRIPTOR FILE(s) which contain metadata allowing the interpretation of the matrix data; and (2) the STACKED MATRIX FILE(s) which contain the matrices themselves, plus some additional matrix-specific information.</w:t>
      </w:r>
    </w:p>
    <w:p>
      <w:r>
        <w:t xml:space="preserve">These data are compiled using a set of R scripts and released to the public as open access data via the website: www.compadre-db.org.</w:t>
      </w:r>
    </w:p>
    <w:p>
      <w:r>
        <w:t xml:space="preserve">This document outlines the way that the digitization team should enter data into the Excel sheets. It is primarily intended for internal use and as such includes information on some variables which are not released into the public domain. Nevertheless, in the interests of transparency we provide open access to the document here.</w:t>
      </w:r>
    </w:p>
    <w:p>
      <w:r>
        <w:t xml:space="preserve">Questions or comments about this protocol should be addressed to Rob Salguero-Gómez (</w:t>
      </w:r>
      <w:hyperlink r:id="rId22">
        <w:r>
          <w:rPr>
            <w:rStyle w:val="Link"/>
          </w:rPr>
          <w:t xml:space="preserve">r.salguero@uq.edu.au</w:t>
        </w:r>
      </w:hyperlink>
      <w:r>
        <w:t xml:space="preserve">) or Owen Jones (</w:t>
      </w:r>
      <w:hyperlink r:id="rId23">
        <w:r>
          <w:rPr>
            <w:rStyle w:val="Link"/>
          </w:rPr>
          <w:t xml:space="preserve">jones@biology.sdu.dk</w:t>
        </w:r>
      </w:hyperlink>
      <w:r>
        <w:t xml:space="preserve">).</w:t>
      </w:r>
    </w:p>
    <w:p>
      <w:pPr>
        <w:pStyle w:val="Heading2"/>
      </w:pPr>
      <w:bookmarkStart w:id="24" w:name="general-information"/>
      <w:bookmarkEnd w:id="24"/>
      <w:r>
        <w:t xml:space="preserve">General information</w:t>
      </w:r>
    </w:p>
    <w:p>
      <w:pPr>
        <w:numPr>
          <w:numId w:val="1001"/>
          <w:ilvl w:val="0"/>
        </w:numPr>
      </w:pPr>
      <w:r>
        <w:t xml:space="preserve">This protocol is intended for both the COMPADRE Plant Matrix Database and the COMADRE Animal Matrix Database. Some variables pertain to</w:t>
      </w:r>
      <w:r>
        <w:t xml:space="preserve"> </w:t>
      </w:r>
      <w:r>
        <w:rPr>
          <w:i/>
        </w:rPr>
        <w:t xml:space="preserve">only</w:t>
      </w:r>
      <w:r>
        <w:t xml:space="preserve"> </w:t>
      </w:r>
      <w:r>
        <w:t xml:space="preserve">one or the other database and are indicated as such in the text.</w:t>
      </w:r>
    </w:p>
    <w:p>
      <w:pPr>
        <w:numPr>
          <w:numId w:val="1001"/>
          <w:ilvl w:val="0"/>
        </w:numPr>
      </w:pPr>
      <w:r>
        <w:t xml:space="preserve">PDFs of new publications emailed to the COMPADRinos are to be saved under the “Literature” sub-folder of COMPADRE or COMADRE in the N://COMPADRE &amp; COMADRE directory of the MPIDR server. Immediately after saving the PDF, a new entry must be opened with the “Species”, “Author”, “Journal”, and “Year” in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 sources.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column of the species descriptors file.</w:t>
      </w:r>
    </w:p>
    <w:p>
      <w:pPr>
        <w:numPr>
          <w:numId w:val="1001"/>
          <w:ilvl w:val="0"/>
        </w:numPr>
      </w:pPr>
      <w:r>
        <w:t xml:space="preserve">If additional PDFs are found with respect to a given species [population?], these must be inspected for any additional matrices with different model assumptions (e.g. different stages) and/or different study years, populations and/or treatments. If the paper provides new information, it must be included in the database as an additional species entry.</w:t>
      </w:r>
    </w:p>
    <w:p>
      <w:pPr>
        <w:numPr>
          <w:numId w:val="1001"/>
          <w:ilvl w:val="0"/>
        </w:numPr>
      </w:pPr>
      <w:r>
        <w:t xml:space="preserve">Authors must only be contacted from the official email:</w:t>
      </w:r>
      <w:r>
        <w:t xml:space="preserve"> </w:t>
      </w:r>
      <w:hyperlink r:id="rId25">
        <w:r>
          <w:rPr>
            <w:rStyle w:val="Link"/>
          </w:rPr>
          <w:t xml:space="preserve">compadre-contact@demogr.mpg.de</w:t>
        </w:r>
      </w:hyperlink>
      <w:r>
        <w:t xml:space="preserve">.</w:t>
      </w:r>
    </w:p>
    <w:p>
      <w:pPr>
        <w:numPr>
          <w:numId w:val="1001"/>
          <w:ilvl w:val="0"/>
        </w:numPr>
      </w:pPr>
      <w:r>
        <w:t xml:space="preserve">Latin names of species must be checked using reliable sources (e.g. Catalogue of Life [</w:t>
      </w:r>
      <w:hyperlink r:id="rId26">
        <w:r>
          <w:rPr>
            <w:rStyle w:val="Link"/>
          </w:rPr>
          <w:t xml:space="preserve">http://www.catalogueoflife.org/</w:t>
        </w:r>
      </w:hyperlink>
      <w:r>
        <w:t xml:space="preserve">], iPlant Collaborative [</w:t>
      </w:r>
      <w:hyperlink r:id="rId27">
        <w:r>
          <w:rPr>
            <w:rStyle w:val="Link"/>
          </w:rPr>
          <w:t xml:space="preserve">http://www.iplantcollaborative.org/</w:t>
        </w:r>
      </w:hyperlink>
      <w:r>
        <w:t xml:space="preserve">], Wikipedia [</w:t>
      </w:r>
      <w:hyperlink r:id="rId28">
        <w:r>
          <w:rPr>
            <w:rStyle w:val="Link"/>
          </w:rPr>
          <w:t xml:space="preserve">https://en.wikipedia.org/</w:t>
        </w:r>
      </w:hyperlink>
      <w:r>
        <w:t xml:space="preserve">]) for spelling mistakes.</w:t>
      </w:r>
    </w:p>
    <w:p>
      <w:pPr>
        <w:numPr>
          <w:numId w:val="1001"/>
          <w:ilvl w:val="0"/>
        </w:numPr>
      </w:pPr>
      <w:r>
        <w:t xml:space="preserve">The element-by-element mean values of unmanipulated (control) and treatment matrices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digitizing matrices, only colors from the color palette, which is given inside the Excel file,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if possible.</w:t>
      </w:r>
    </w:p>
    <w:p>
      <w:r>
        <w:pict>
          <v:rect style="width:0;height:1.5pt" o:hralign="center" o:hrstd="t" o:hr="t"/>
        </w:pict>
      </w:r>
    </w:p>
    <w:p>
      <w:pPr>
        <w:pStyle w:val="Heading1"/>
      </w:pPr>
      <w:bookmarkStart w:id="29" w:name="values-used-throughout-the-database"/>
      <w:bookmarkEnd w:id="29"/>
      <w:r>
        <w:t xml:space="preserve">Values used throughout the database</w:t>
      </w:r>
    </w:p>
    <w:p>
      <w:r>
        <w:t xml:space="preserve">The following values are commonly used throughout the database.</w:t>
      </w:r>
    </w:p>
    <w:p>
      <w:r>
        <w:rPr>
          <w:b/>
        </w:rPr>
        <w:t xml:space="preserve">NA</w:t>
      </w:r>
      <w:r>
        <w:t xml:space="preserve"> </w:t>
      </w:r>
      <w:r>
        <w:t xml:space="preserve">- Not available - The information is not available either because the author does not have it or because the information is not recognized as “priority” (see below)</w:t>
      </w:r>
    </w:p>
    <w:p>
      <w:r>
        <w:rPr>
          <w:b/>
        </w:rPr>
        <w:t xml:space="preserve">AFI</w:t>
      </w:r>
      <w:r>
        <w:t xml:space="preserve"> </w:t>
      </w:r>
      <w:r>
        <w:t xml:space="preserve">- Asked for it - The information is not yet in the database, but the COMPADRino has already contacted the author requesting it (i.e. the author has not yet replied)</w:t>
      </w:r>
    </w:p>
    <w:p>
      <w:r>
        <w:rPr>
          <w:b/>
        </w:rPr>
        <w:t xml:space="preserve">NDY</w:t>
      </w:r>
      <w:r>
        <w:t xml:space="preserve"> </w:t>
      </w:r>
      <w:r>
        <w:t xml:space="preserve">- Not digitized yet - The information has not yet been digitized. This is likely to occur when some priority information has been digitized for a given species, and the COMPADRino has moved onto another species without contacting an author for the missing information</w:t>
      </w:r>
    </w:p>
    <w:p>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Same for ranges, where author provides a range of latitudes and longitudes for a given population. Ranges are noted into the observation column</w:t>
      </w:r>
    </w:p>
    <w:p>
      <w:r>
        <w:rPr>
          <w:b/>
        </w:rPr>
        <w:t xml:space="preserve">LAB</w:t>
      </w:r>
      <w:r>
        <w:t xml:space="preserve"> </w:t>
      </w:r>
      <w:r>
        <w:t xml:space="preserve">- Laboratory - The author collected demographic data for the studied species in a laboratory or under greenhouse conditions – controlled, usually indoor, conditions that mean the study species is not affected by the environment conditions typical of the actual geographic location of the study</w:t>
      </w:r>
    </w:p>
    <w:p>
      <w:r>
        <w:rPr>
          <w:b/>
        </w:rPr>
        <w:t xml:space="preserve">FRANK</w:t>
      </w:r>
      <w:r>
        <w:t xml:space="preserve"> </w:t>
      </w:r>
      <w:r>
        <w:t xml:space="preserve">- Frankenstein matrix - The author used demographic data from at least two other papers and calculated a</w:t>
      </w:r>
      <w:r>
        <w:t xml:space="preserve"> </w:t>
      </w:r>
      <w:r>
        <w:rPr>
          <w:i/>
        </w:rPr>
        <w:t xml:space="preserve">new</w:t>
      </w:r>
      <w:r>
        <w:t xml:space="preserve"> </w:t>
      </w:r>
      <w:r>
        <w:t xml:space="preserve">matrix out of that data. In those cases we typically have different study sites and years of study. For these data we do not calculate averages or ranges but instead enter</w:t>
      </w:r>
      <w:r>
        <w:t xml:space="preserve"> </w:t>
      </w:r>
      <w:r>
        <w:rPr>
          <w:b/>
        </w:rPr>
        <w:t xml:space="preserve">FRANK</w:t>
      </w:r>
      <w:r>
        <w:t xml:space="preserve">.</w:t>
      </w:r>
    </w:p>
    <w:p>
      <w:r>
        <w:pict>
          <v:rect style="width:0;height:1.5pt" o:hralign="center" o:hrstd="t" o:hr="t"/>
        </w:pict>
      </w:r>
    </w:p>
    <w:p>
      <w:pPr>
        <w:pStyle w:val="Heading1"/>
      </w:pPr>
      <w:bookmarkStart w:id="30" w:name="priority-variables"/>
      <w:bookmarkEnd w:id="30"/>
      <w:r>
        <w:t xml:space="preserve">Priority variables</w:t>
      </w:r>
    </w:p>
    <w:p>
      <w:r>
        <w:t xml:space="preserve">The following is a list of variables that the COMPADRino team digitizes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Heading2"/>
      </w:pPr>
      <w:bookmarkStart w:id="31" w:name="references"/>
      <w:bookmarkEnd w:id="31"/>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2" w:name="descriptor-file"/>
      <w:bookmarkEnd w:id="32"/>
      <w:r>
        <w:t xml:space="preserve">DESCRIPTOR FILE</w:t>
      </w:r>
    </w:p>
    <w:p>
      <w:pPr>
        <w:pStyle w:val="Heading2"/>
      </w:pPr>
      <w:bookmarkStart w:id="33" w:name="student"/>
      <w:bookmarkEnd w:id="33"/>
      <w:r>
        <w:t xml:space="preserve">Student</w:t>
      </w:r>
    </w:p>
    <w:p>
      <w:r>
        <w:t xml:space="preserve">First name of COMPADRino</w:t>
      </w:r>
    </w:p>
    <w:p>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Julia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r>
        <w:t xml:space="preserve">Information for Species Descriptors file:</w:t>
      </w:r>
    </w:p>
    <w:p>
      <w:r>
        <w:t xml:space="preserve">The fill color of the Student-column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(e.g. no mail address of author(s) found).</w:t>
      </w:r>
    </w:p>
    <w:p>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r>
        <w:t xml:space="preserve">Information for the Stacked File:</w:t>
      </w:r>
    </w:p>
    <w:p>
      <w:r>
        <w:t xml:space="preserve">The color coding in the EnteredBy-column of the Stacked File means the following:</w:t>
      </w:r>
    </w:p>
    <w:p>
      <w:pPr>
        <w:pStyle w:val="Compact"/>
        <w:numPr>
          <w:numId w:val="1006"/>
          <w:ilvl w:val="0"/>
        </w:numPr>
      </w:pPr>
      <w:r>
        <w:t xml:space="preserve">RED There is some problem with this entry, the student who entered the species is informed and works on the plant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Plant is ready to go online.</w:t>
      </w:r>
    </w:p>
    <w:p>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4" w:name="notes"/>
      <w:bookmarkEnd w:id="34"/>
      <w:r>
        <w:t xml:space="preserve">Notes</w:t>
      </w:r>
    </w:p>
    <w:p>
      <w:r>
        <w:t xml:space="preserve">This column is intended to record any important issues or general notes about the data for the use of the COMPADRE/COMADRE team. It should be ensured that these entries include only sensible informative key points/sentences that also others can understand.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5" w:name="versionrelease"/>
      <w:bookmarkEnd w:id="35"/>
      <w:r>
        <w:t xml:space="preserve">VersionRelease</w:t>
      </w:r>
    </w:p>
    <w:p>
      <w:r>
        <w:t xml:space="preserve">The Version number of the database where the data is/will be released. e.g. 3.0, 3.1. Where the data are not yet to be released (for example, because the data are incomplete) an "X" is used in place of a version number. For all future digitization, an "X" should be placed in the version record. These will be replaced with an appropriate version number by Owen or Rob at a later date.</w:t>
      </w:r>
    </w:p>
    <w:p>
      <w:r>
        <w:pict>
          <v:rect style="width:0;height:1.5pt" o:hralign="center" o:hrstd="t" o:hr="t"/>
        </w:pict>
      </w:r>
    </w:p>
    <w:p>
      <w:pPr>
        <w:pStyle w:val="Heading2"/>
      </w:pPr>
      <w:bookmarkStart w:id="36" w:name="transferred"/>
      <w:bookmarkEnd w:id="36"/>
      <w:r>
        <w:t xml:space="preserve">Transferred</w:t>
      </w:r>
    </w:p>
    <w:p>
      <w:r>
        <w:t xml:space="preserve">Record the status of transference of matrices into the stacked file.</w:t>
      </w:r>
    </w:p>
    <w:p>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r>
        <w:t xml:space="preserve">If there is no email address for an author of a paper, but that paper has a matrix that can be digitized – enter the matrix to the stacked file and enter all information that is available from the paper into the descriptor, all missing information get an NA and we list the species as “transferred-Yes”</w:t>
      </w:r>
    </w:p>
    <w:p>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r>
        <w:rPr>
          <w:b/>
        </w:rPr>
        <w:t xml:space="preserve">No</w:t>
      </w:r>
      <w:r>
        <w:t xml:space="preserve"> </w:t>
      </w:r>
      <w:r>
        <w:t xml:space="preserve">- Nothing has yet been transferred, but the COMPADRino has started working on this species.</w:t>
      </w:r>
    </w:p>
    <w:p>
      <w:r>
        <w:t xml:space="preserve">If the matrix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matrix).</w:t>
      </w:r>
    </w:p>
    <w:p>
      <w:r>
        <w:pict>
          <v:rect style="width:0;height:1.5pt" o:hralign="center" o:hrstd="t" o:hr="t"/>
        </w:pict>
      </w:r>
    </w:p>
    <w:p>
      <w:pPr>
        <w:pStyle w:val="Heading2"/>
      </w:pPr>
      <w:bookmarkStart w:id="37" w:name="missingdata"/>
      <w:bookmarkEnd w:id="37"/>
      <w:r>
        <w:t xml:space="preserve">MissingData</w:t>
      </w:r>
    </w:p>
    <w:p>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digitized</w:t>
      </w:r>
    </w:p>
    <w:p>
      <w:r>
        <w:t xml:space="preserve">If more than one piece of information is missing, these are separated with ";" (without white-space in between), e.g. "I;S;O".</w:t>
      </w:r>
    </w:p>
    <w:p>
      <w:r>
        <w:pict>
          <v:rect style="width:0;height:1.5pt" o:hralign="center" o:hrstd="t" o:hr="t"/>
        </w:pict>
      </w:r>
    </w:p>
    <w:p>
      <w:pPr>
        <w:pStyle w:val="Heading2"/>
      </w:pPr>
      <w:bookmarkStart w:id="38" w:name="datedigitalization"/>
      <w:bookmarkEnd w:id="38"/>
      <w:r>
        <w:t xml:space="preserve">DateDigitalization</w:t>
      </w:r>
    </w:p>
    <w:p>
      <w:r>
        <w:t xml:space="preserve">Records the date when COMPADRino started working on this species resp. when Matrix was digitized in stacked file. Dates should be recorded in US date format: mm.dd.yyyy, e.g. 12.25.2015 for 25th Dec 2015.</w:t>
      </w:r>
    </w:p>
    <w:p>
      <w:r>
        <w:pict>
          <v:rect style="width:0;height:1.5pt" o:hralign="center" o:hrstd="t" o:hr="t"/>
        </w:pict>
      </w:r>
    </w:p>
    <w:p>
      <w:pPr>
        <w:pStyle w:val="Heading2"/>
      </w:pPr>
      <w:bookmarkStart w:id="39" w:name="embargo"/>
      <w:bookmarkEnd w:id="39"/>
      <w:r>
        <w:t xml:space="preserve">Embargo</w:t>
      </w:r>
    </w:p>
    <w:p>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0" w:name="growthtype-p"/>
      <w:bookmarkEnd w:id="40"/>
      <w:r>
        <w:t xml:space="preserve">GrowthType (P)</w:t>
      </w:r>
    </w:p>
    <w:p>
      <w:r>
        <w:t xml:space="preserve">This entry applies only to plants and records the plant/algae type, based mainly on architectural organization.</w:t>
      </w:r>
    </w:p>
    <w:p>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r>
        <w:t xml:space="preserve">The species should be assigned to one of these possible values using the description of plant growth type provided by the author and by reference to other sources (e.g. other publications).</w:t>
      </w:r>
    </w:p>
    <w:p>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WHAT HAPPENED HERE???</w:t>
      </w:r>
    </w:p>
    <w:p>
      <w:r>
        <w:pict>
          <v:rect style="width:0;height:1.5pt" o:hralign="center" o:hrstd="t" o:hr="t"/>
        </w:pict>
      </w:r>
    </w:p>
    <w:p>
      <w:pPr>
        <w:pStyle w:val="Heading2"/>
      </w:pPr>
      <w:bookmarkStart w:id="41" w:name="class-a"/>
      <w:bookmarkEnd w:id="41"/>
      <w:r>
        <w:t xml:space="preserve">Class (A)</w:t>
      </w:r>
    </w:p>
    <w:p>
      <w:r>
        <w:t xml:space="preserve">This entry only applies to animals. For animals, taxonomic class is recorded in both the Descriptors file and the Stacked Matrix file. This information is intended for internal use and reflects how our PDF library is organized on our servers.</w:t>
      </w:r>
    </w:p>
    <w:p>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r>
        <w:pict>
          <v:rect style="width:0;height:1.5pt" o:hralign="center" o:hrstd="t" o:hr="t"/>
        </w:pict>
      </w:r>
    </w:p>
    <w:p>
      <w:pPr>
        <w:pStyle w:val="Heading2"/>
      </w:pPr>
      <w:bookmarkStart w:id="42" w:name="speciesauthor"/>
      <w:bookmarkEnd w:id="42"/>
      <w:r>
        <w:t xml:space="preserve">SpeciesAuthor</w:t>
      </w:r>
    </w:p>
    <w:p>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r>
        <w:t xml:space="preserve">The word following “var.”, “subsp.” or “cf.” must not be capitalized. Excel will try to capitalize it via auto-correct because it follows a period punctuation.</w:t>
      </w:r>
    </w:p>
    <w:p>
      <w:r>
        <w:t xml:space="preserve">Always use an underscore "_" to substitute spaces (e.g. write "Cryptantha_flava"" instead of "Cryptantha flava").</w:t>
      </w:r>
    </w:p>
    <w:p>
      <w:r>
        <w:t xml:space="preserve">If two or more different demographic studies exist for a particular species, these should be digitized with concatenated numbers after the genus_species starting with “2” (e.g. “Rosa_sempervirens”, “Rosa_sempervirens_2”, “Rosa_sempervirens_3”).</w:t>
      </w:r>
    </w:p>
    <w:p>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3" w:name="commonname"/>
      <w:bookmarkEnd w:id="43"/>
      <w:r>
        <w:t xml:space="preserve">CommonName</w:t>
      </w:r>
    </w:p>
    <w:p>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44" w:name="authors"/>
      <w:bookmarkEnd w:id="44"/>
      <w:r>
        <w:t xml:space="preserve">Authors</w:t>
      </w:r>
    </w:p>
    <w:p>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45" w:name="journal"/>
      <w:bookmarkEnd w:id="45"/>
      <w:r>
        <w:t xml:space="preserve">Journal</w:t>
      </w:r>
    </w:p>
    <w:p>
      <w:r>
        <w:t xml:space="preserve">Record the name of the journal from which data were sourced. If the data were sourced from a book, thesis, report, or conference talk/poster, record that as appropriate. For journal abbreviations see list here:</w:t>
      </w:r>
      <w:r>
        <w:t xml:space="preserve"> </w:t>
      </w:r>
      <w:hyperlink r:id="rId46">
        <w:r>
          <w:rPr>
            <w:rStyle w:val="Link"/>
          </w:rPr>
          <w:t xml:space="preserve">http://images.webofknowledge.com/WOK46/help/WOS/A_abrvjt.html</w:t>
        </w:r>
      </w:hyperlink>
      <w:r>
        <w:t xml:space="preserve">.</w:t>
      </w:r>
    </w:p>
    <w:p>
      <w:r>
        <w:t xml:space="preserve">If no abbreviation is available in both of those list, take a look into the paper. Often there are abbreviations in the left corner of the paper or at the first page.</w:t>
      </w:r>
    </w:p>
    <w:p>
      <w:pPr>
        <w:pStyle w:val="Compact"/>
        <w:numPr>
          <w:numId w:val="1010"/>
          <w:ilvl w:val="0"/>
        </w:numPr>
      </w:pPr>
      <w:r>
        <w:t xml:space="preserve">Journal Abbreviation (e.g. J. Ecol.) - Where the data come from a scientific journal article, the abbreviated journal name is given. We use the standard abbreviation of the journal using the BIOSIS Format.</w:t>
      </w:r>
    </w:p>
    <w:p>
      <w:pPr>
        <w:pStyle w:val="Compact"/>
        <w:numPr>
          <w:numId w:val="1010"/>
          <w:ilvl w:val="0"/>
        </w:numPr>
      </w:pPr>
      <w:r>
        <w:t xml:space="preserve">Book - Matrices are from a book, or book chapter. Note: If our source is a book name the author of the related chapter in Authors, not the author of the book.</w:t>
      </w:r>
    </w:p>
    <w:p>
      <w:pPr>
        <w:pStyle w:val="Compact"/>
        <w:numPr>
          <w:numId w:val="1010"/>
          <w:ilvl w:val="0"/>
        </w:numPr>
      </w:pPr>
      <w:r>
        <w:t xml:space="preserve">PhD thesis - Matrices are from a doctoral thesis.</w:t>
      </w:r>
    </w:p>
    <w:p>
      <w:pPr>
        <w:pStyle w:val="Compact"/>
        <w:numPr>
          <w:numId w:val="1010"/>
          <w:ilvl w:val="0"/>
        </w:numPr>
      </w:pPr>
      <w:r>
        <w:t xml:space="preserve">MSc thesis - Matrices are from a masters thesis.</w:t>
      </w:r>
    </w:p>
    <w:p>
      <w:pPr>
        <w:pStyle w:val="Compact"/>
        <w:numPr>
          <w:numId w:val="1010"/>
          <w:ilvl w:val="0"/>
        </w:numPr>
      </w:pPr>
      <w:r>
        <w:t xml:space="preserve">Report - Matrices are from a report.</w:t>
      </w:r>
    </w:p>
    <w:p>
      <w:pPr>
        <w:pStyle w:val="Compact"/>
        <w:numPr>
          <w:numId w:val="1010"/>
          <w:ilvl w:val="0"/>
        </w:numPr>
      </w:pPr>
      <w:r>
        <w:t xml:space="preserve">Conference Talk - Matrices reported in a conference talk.</w:t>
      </w:r>
    </w:p>
    <w:p>
      <w:pPr>
        <w:pStyle w:val="Compact"/>
        <w:numPr>
          <w:numId w:val="1010"/>
          <w:ilvl w:val="0"/>
        </w:numPr>
      </w:pPr>
      <w:r>
        <w:t xml:space="preserve">Conference Poster - Matrices reported in a conference poster.</w:t>
      </w:r>
    </w:p>
    <w:p>
      <w:r>
        <w:pict>
          <v:rect style="width:0;height:1.5pt" o:hralign="center" o:hrstd="t" o:hr="t"/>
        </w:pict>
      </w:r>
    </w:p>
    <w:p>
      <w:pPr>
        <w:pStyle w:val="Heading2"/>
      </w:pPr>
      <w:bookmarkStart w:id="47" w:name="yearpublication"/>
      <w:bookmarkEnd w:id="47"/>
      <w:r>
        <w:t xml:space="preserve">YearPublication</w:t>
      </w:r>
    </w:p>
    <w:p>
      <w:r>
        <w:t xml:space="preserve">Year of publication of the source publication. This should be recorded as YYYY e.g. 2002.</w:t>
      </w:r>
    </w:p>
    <w:p>
      <w:r>
        <w:pict>
          <v:rect style="width:0;height:1.5pt" o:hralign="center" o:hrstd="t" o:hr="t"/>
        </w:pict>
      </w:r>
    </w:p>
    <w:p>
      <w:pPr>
        <w:pStyle w:val="Heading2"/>
      </w:pPr>
      <w:bookmarkStart w:id="48" w:name="correspondingauthor"/>
      <w:bookmarkEnd w:id="48"/>
      <w:r>
        <w:t xml:space="preserve">CorrespondingAuthor</w:t>
      </w:r>
    </w:p>
    <w:p>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49" w:name="email"/>
      <w:bookmarkEnd w:id="49"/>
      <w:r>
        <w:t xml:space="preserve">Email</w:t>
      </w:r>
    </w:p>
    <w:p>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r>
        <w:t xml:space="preserve">e.g.</w:t>
      </w:r>
      <w:r>
        <w:t xml:space="preserve"> </w:t>
      </w:r>
      <w:hyperlink r:id="rId23">
        <w:r>
          <w:rPr>
            <w:rStyle w:val="Link"/>
          </w:rPr>
          <w:t xml:space="preserve">jones@biology.sdu.dk</w:t>
        </w:r>
      </w:hyperlink>
      <w:r>
        <w:t xml:space="preserve"> </w:t>
      </w:r>
      <w:r>
        <w:t xml:space="preserve">(2015)</w:t>
      </w:r>
    </w:p>
    <w:p>
      <w:r>
        <w:pict>
          <v:rect style="width:0;height:1.5pt" o:hralign="center" o:hrstd="t" o:hr="t"/>
        </w:pict>
      </w:r>
    </w:p>
    <w:p>
      <w:pPr>
        <w:pStyle w:val="Heading2"/>
      </w:pPr>
      <w:bookmarkStart w:id="50" w:name="contacted"/>
      <w:bookmarkEnd w:id="50"/>
      <w:r>
        <w:t xml:space="preserve">Contacted</w:t>
      </w:r>
    </w:p>
    <w:p>
      <w:r>
        <w:t xml:space="preserve">Record the date(s) when the publication author was contacted asking for information in US date format (mm.dd.yyyy). Authors should always be contacted from the</w:t>
      </w:r>
      <w:r>
        <w:t xml:space="preserve"> </w:t>
      </w:r>
      <w:hyperlink r:id="rId25">
        <w:r>
          <w:rPr>
            <w:rStyle w:val="Link"/>
          </w:rPr>
          <w:t xml:space="preserve">compadre-contact@demogr.mpg.de</w:t>
        </w:r>
      </w:hyperlink>
      <w:r>
        <w:t xml:space="preserve"> </w:t>
      </w:r>
      <w:r>
        <w:t xml:space="preserve">email address rather than a personal email address.</w:t>
      </w:r>
    </w:p>
    <w:p>
      <w:r>
        <w:t xml:space="preserve">Procedure for lack of response depends on the age of the paper:</w:t>
      </w:r>
    </w:p>
    <w:p>
      <w:pPr>
        <w:numPr>
          <w:numId w:val="1011"/>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1"/>
          <w:ilvl w:val="0"/>
        </w:numPr>
      </w:pPr>
      <w:r>
        <w:t xml:space="preserve">For more recent papers (published after 1990): If the authors (and coauthors) do not reply after the third time you have contacted them, please pass the email that you have sent them to Owen and Rob. If they cannot make contact, they will change “Partly” to “Yes” in Transferred column.</w:t>
      </w:r>
    </w:p>
    <w:p>
      <w:r>
        <w:t xml:space="preserve">If you were not able to find an email address of any of the authors of a paper (and also Rob and Owen don't know one), but that paper has a matrix that can be digitized – enter the matrix to the stacked file and enter all information that are available from the paper into the descriptor, all missing information get an NA and we list the species as “transferred-Yes”, still enter the missing information into MissingData</w:t>
      </w:r>
    </w:p>
    <w:p>
      <w:r>
        <w:pict>
          <v:rect style="width:0;height:1.5pt" o:hralign="center" o:hrstd="t" o:hr="t"/>
        </w:pict>
      </w:r>
    </w:p>
    <w:p>
      <w:pPr>
        <w:pStyle w:val="Heading2"/>
      </w:pPr>
      <w:bookmarkStart w:id="51" w:name="contentemail"/>
      <w:bookmarkEnd w:id="51"/>
      <w:r>
        <w:t xml:space="preserve">ContentEmail</w:t>
      </w:r>
    </w:p>
    <w:p>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52" w:name="reply"/>
      <w:bookmarkEnd w:id="52"/>
      <w:r>
        <w:t xml:space="preserve">Reply</w:t>
      </w:r>
    </w:p>
    <w:p>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w:t>
      </w:r>
    </w:p>
    <w:p>
      <w:r>
        <w:pict>
          <v:rect style="width:0;height:1.5pt" o:hralign="center" o:hrstd="t" o:hr="t"/>
        </w:pict>
      </w:r>
    </w:p>
    <w:p>
      <w:pPr>
        <w:pStyle w:val="Heading2"/>
      </w:pPr>
      <w:bookmarkStart w:id="53" w:name="doiisbn"/>
      <w:bookmarkEnd w:id="53"/>
      <w:r>
        <w:t xml:space="preserve">DOI/ISBN</w:t>
      </w:r>
    </w:p>
    <w:p>
      <w:r>
        <w:t xml:space="preserve">Records Digital Object Identifier (DOI) or International Standard Book Number (ISBN) codes that identifies the source material. In more recent papers you may find the DOI somewhere at the beginning of the paper. You may also search for it in the Web of Knowledge.</w:t>
      </w:r>
    </w:p>
    <w:p>
      <w:r>
        <w:pict>
          <v:rect style="width:0;height:1.5pt" o:hralign="center" o:hrstd="t" o:hr="t"/>
        </w:pict>
      </w:r>
    </w:p>
    <w:p>
      <w:pPr>
        <w:pStyle w:val="Heading2"/>
      </w:pPr>
      <w:bookmarkStart w:id="54" w:name="additionalsource"/>
      <w:bookmarkEnd w:id="54"/>
      <w:r>
        <w:t xml:space="preserve">AdditionalSource</w:t>
      </w:r>
    </w:p>
    <w:p>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55" w:name="database"/>
      <w:bookmarkEnd w:id="55"/>
      <w:r>
        <w:t xml:space="preserve">Database</w:t>
      </w:r>
    </w:p>
    <w:p>
      <w:r>
        <w:t xml:space="preserve">Over the years COMPADRE database has obtained data from similar matrix databases. This column records whenever this is the case. The possible values are:</w:t>
      </w:r>
    </w:p>
    <w:p>
      <w:pPr>
        <w:pStyle w:val="Compact"/>
        <w:numPr>
          <w:numId w:val="1012"/>
          <w:ilvl w:val="0"/>
        </w:numPr>
      </w:pPr>
      <w:r>
        <w:t xml:space="preserve">Exeter - David Hodgson</w:t>
      </w:r>
    </w:p>
    <w:p>
      <w:pPr>
        <w:pStyle w:val="Compact"/>
        <w:numPr>
          <w:numId w:val="1012"/>
          <w:ilvl w:val="0"/>
        </w:numPr>
      </w:pPr>
      <w:r>
        <w:t xml:space="preserve">COMPADRE I - Miguel Franco &amp; Jonathan Silvertown</w:t>
      </w:r>
    </w:p>
    <w:p>
      <w:pPr>
        <w:pStyle w:val="Compact"/>
        <w:numPr>
          <w:numId w:val="1012"/>
          <w:ilvl w:val="0"/>
        </w:numPr>
      </w:pPr>
      <w:r>
        <w:t xml:space="preserve">Ramula - Satu Ramula</w:t>
      </w:r>
    </w:p>
    <w:p>
      <w:pPr>
        <w:pStyle w:val="Compact"/>
        <w:numPr>
          <w:numId w:val="1012"/>
          <w:ilvl w:val="0"/>
        </w:numPr>
      </w:pPr>
      <w:r>
        <w:t xml:space="preserve">NCEAS - Jennifer Williams et al.</w:t>
      </w:r>
    </w:p>
    <w:p>
      <w:pPr>
        <w:pStyle w:val="Compact"/>
        <w:numPr>
          <w:numId w:val="1012"/>
          <w:ilvl w:val="0"/>
        </w:numPr>
      </w:pPr>
      <w:r>
        <w:t xml:space="preserve">UQ - Yvonne Buckley and collaborators</w:t>
      </w:r>
    </w:p>
    <w:p>
      <w:r>
        <w:pict>
          <v:rect style="width:0;height:1.5pt" o:hralign="center" o:hrstd="t" o:hr="t"/>
        </w:pict>
      </w:r>
    </w:p>
    <w:p>
      <w:pPr>
        <w:pStyle w:val="Heading2"/>
      </w:pPr>
      <w:bookmarkStart w:id="56" w:name="ecoregion"/>
      <w:bookmarkEnd w:id="56"/>
      <w:r>
        <w:t xml:space="preserve">Ecoregion</w:t>
      </w:r>
    </w:p>
    <w:p>
      <w:r>
        <w:t xml:space="preserve">Description of the Ecoregion for the study, using the categories described in Figure 1 of Olson et al. (2001).</w:t>
      </w:r>
    </w:p>
    <w:p>
      <w:r>
        <w:rPr>
          <w:b/>
        </w:rPr>
        <w:t xml:space="preserve">Terrestrial ecoregions</w:t>
      </w:r>
    </w:p>
    <w:p>
      <w:pPr>
        <w:pStyle w:val="Compact"/>
        <w:numPr>
          <w:numId w:val="1013"/>
          <w:ilvl w:val="0"/>
        </w:numPr>
      </w:pPr>
      <w:r>
        <w:t xml:space="preserve">TMB tropical and subtropical moist broadleaf forests</w:t>
      </w:r>
    </w:p>
    <w:p>
      <w:pPr>
        <w:pStyle w:val="Compact"/>
        <w:numPr>
          <w:numId w:val="1013"/>
          <w:ilvl w:val="0"/>
        </w:numPr>
      </w:pPr>
      <w:r>
        <w:t xml:space="preserve">TDB tropical and subtropical dry broadleaf forests</w:t>
      </w:r>
    </w:p>
    <w:p>
      <w:pPr>
        <w:pStyle w:val="Compact"/>
        <w:numPr>
          <w:numId w:val="1013"/>
          <w:ilvl w:val="0"/>
        </w:numPr>
      </w:pPr>
      <w:r>
        <w:t xml:space="preserve">TSC tropical and subtropical coniferous forests</w:t>
      </w:r>
    </w:p>
    <w:p>
      <w:pPr>
        <w:pStyle w:val="Compact"/>
        <w:numPr>
          <w:numId w:val="1013"/>
          <w:ilvl w:val="0"/>
        </w:numPr>
      </w:pPr>
      <w:r>
        <w:t xml:space="preserve">TBM temperate broadleaf and mixed forests</w:t>
      </w:r>
    </w:p>
    <w:p>
      <w:pPr>
        <w:pStyle w:val="Compact"/>
        <w:numPr>
          <w:numId w:val="1013"/>
          <w:ilvl w:val="0"/>
        </w:numPr>
      </w:pPr>
      <w:r>
        <w:t xml:space="preserve">TCF temperate coniferous forests</w:t>
      </w:r>
    </w:p>
    <w:p>
      <w:pPr>
        <w:pStyle w:val="Compact"/>
        <w:numPr>
          <w:numId w:val="1013"/>
          <w:ilvl w:val="0"/>
        </w:numPr>
      </w:pPr>
      <w:r>
        <w:t xml:space="preserve">BOR boreal forests/ taiga</w:t>
      </w:r>
    </w:p>
    <w:p>
      <w:pPr>
        <w:pStyle w:val="Compact"/>
        <w:numPr>
          <w:numId w:val="1013"/>
          <w:ilvl w:val="0"/>
        </w:numPr>
      </w:pPr>
      <w:r>
        <w:t xml:space="preserve">TGV tropical and subtropical grasslands, savannas and shrublands</w:t>
      </w:r>
    </w:p>
    <w:p>
      <w:pPr>
        <w:pStyle w:val="Compact"/>
        <w:numPr>
          <w:numId w:val="1013"/>
          <w:ilvl w:val="0"/>
        </w:numPr>
      </w:pPr>
      <w:r>
        <w:t xml:space="preserve">TGS temperate grasslands, savannas, and shrublands</w:t>
      </w:r>
    </w:p>
    <w:p>
      <w:pPr>
        <w:pStyle w:val="Compact"/>
        <w:numPr>
          <w:numId w:val="1013"/>
          <w:ilvl w:val="0"/>
        </w:numPr>
      </w:pPr>
      <w:r>
        <w:t xml:space="preserve">FGS flooded grasslands and savannas</w:t>
      </w:r>
    </w:p>
    <w:p>
      <w:pPr>
        <w:pStyle w:val="Compact"/>
        <w:numPr>
          <w:numId w:val="1013"/>
          <w:ilvl w:val="0"/>
        </w:numPr>
      </w:pPr>
      <w:r>
        <w:t xml:space="preserve">MON montane grasslands and shrublands</w:t>
      </w:r>
    </w:p>
    <w:p>
      <w:pPr>
        <w:pStyle w:val="Compact"/>
        <w:numPr>
          <w:numId w:val="1013"/>
          <w:ilvl w:val="0"/>
        </w:numPr>
      </w:pPr>
      <w:r>
        <w:t xml:space="preserve">TUN tundra</w:t>
      </w:r>
    </w:p>
    <w:p>
      <w:pPr>
        <w:pStyle w:val="Compact"/>
        <w:numPr>
          <w:numId w:val="1013"/>
          <w:ilvl w:val="0"/>
        </w:numPr>
      </w:pPr>
      <w:r>
        <w:t xml:space="preserve">MED Mediterranean forests, woodlands and scrubs</w:t>
      </w:r>
    </w:p>
    <w:p>
      <w:pPr>
        <w:pStyle w:val="Compact"/>
        <w:numPr>
          <w:numId w:val="1013"/>
          <w:ilvl w:val="0"/>
        </w:numPr>
      </w:pPr>
      <w:r>
        <w:t xml:space="preserve">DES deserts and xeric shrublands</w:t>
      </w:r>
    </w:p>
    <w:p>
      <w:pPr>
        <w:pStyle w:val="Compact"/>
        <w:numPr>
          <w:numId w:val="1013"/>
          <w:ilvl w:val="0"/>
        </w:numPr>
      </w:pPr>
      <w:r>
        <w:t xml:space="preserve">MAN mangroves</w:t>
      </w:r>
    </w:p>
    <w:p>
      <w:r>
        <w:rPr>
          <w:b/>
        </w:rPr>
        <w:t xml:space="preserve">Freshwater ecoregions</w:t>
      </w:r>
    </w:p>
    <w:p>
      <w:pPr>
        <w:pStyle w:val="Compact"/>
        <w:numPr>
          <w:numId w:val="1014"/>
          <w:ilvl w:val="0"/>
        </w:numPr>
      </w:pPr>
      <w:r>
        <w:t xml:space="preserve">LRE large river ecosystems</w:t>
      </w:r>
    </w:p>
    <w:p>
      <w:pPr>
        <w:pStyle w:val="Compact"/>
        <w:numPr>
          <w:numId w:val="1014"/>
          <w:ilvl w:val="0"/>
        </w:numPr>
      </w:pPr>
      <w:r>
        <w:t xml:space="preserve">LRH large river headwater ecosystems</w:t>
      </w:r>
    </w:p>
    <w:p>
      <w:pPr>
        <w:pStyle w:val="Compact"/>
        <w:numPr>
          <w:numId w:val="1014"/>
          <w:ilvl w:val="0"/>
        </w:numPr>
      </w:pPr>
      <w:r>
        <w:t xml:space="preserve">LRD large river delta ecosystems</w:t>
      </w:r>
    </w:p>
    <w:p>
      <w:pPr>
        <w:pStyle w:val="Compact"/>
        <w:numPr>
          <w:numId w:val="1014"/>
          <w:ilvl w:val="0"/>
        </w:numPr>
      </w:pPr>
      <w:r>
        <w:t xml:space="preserve">SRD small river delta ecosystems</w:t>
      </w:r>
    </w:p>
    <w:p>
      <w:pPr>
        <w:pStyle w:val="Compact"/>
        <w:numPr>
          <w:numId w:val="1014"/>
          <w:ilvl w:val="0"/>
        </w:numPr>
      </w:pPr>
      <w:r>
        <w:t xml:space="preserve">SLE small lake ecosystems</w:t>
      </w:r>
    </w:p>
    <w:p>
      <w:pPr>
        <w:pStyle w:val="Compact"/>
        <w:numPr>
          <w:numId w:val="1014"/>
          <w:ilvl w:val="0"/>
        </w:numPr>
      </w:pPr>
      <w:r>
        <w:t xml:space="preserve">LLE large lake ecosystems</w:t>
      </w:r>
    </w:p>
    <w:p>
      <w:pPr>
        <w:pStyle w:val="Compact"/>
        <w:numPr>
          <w:numId w:val="1014"/>
          <w:ilvl w:val="0"/>
        </w:numPr>
      </w:pPr>
      <w:r>
        <w:t xml:space="preserve">XBE xeric basin ecosystems</w:t>
      </w:r>
    </w:p>
    <w:p>
      <w:r>
        <w:rPr>
          <w:b/>
        </w:rPr>
        <w:t xml:space="preserve">Marine ecoregions</w:t>
      </w:r>
    </w:p>
    <w:p>
      <w:pPr>
        <w:pStyle w:val="Compact"/>
        <w:numPr>
          <w:numId w:val="1015"/>
          <w:ilvl w:val="0"/>
        </w:numPr>
      </w:pPr>
      <w:r>
        <w:t xml:space="preserve">POE polar ecosystems</w:t>
      </w:r>
    </w:p>
    <w:p>
      <w:pPr>
        <w:pStyle w:val="Compact"/>
        <w:numPr>
          <w:numId w:val="1015"/>
          <w:ilvl w:val="0"/>
        </w:numPr>
      </w:pPr>
      <w:r>
        <w:t xml:space="preserve">TSS temperate shelf and seas ecosystems</w:t>
      </w:r>
    </w:p>
    <w:p>
      <w:pPr>
        <w:pStyle w:val="Compact"/>
        <w:numPr>
          <w:numId w:val="1015"/>
          <w:ilvl w:val="0"/>
        </w:numPr>
      </w:pPr>
      <w:r>
        <w:t xml:space="preserve">TEU temperate upwellings</w:t>
      </w:r>
    </w:p>
    <w:p>
      <w:pPr>
        <w:pStyle w:val="Compact"/>
        <w:numPr>
          <w:numId w:val="1015"/>
          <w:ilvl w:val="0"/>
        </w:numPr>
      </w:pPr>
      <w:r>
        <w:t xml:space="preserve">TRU tropical upwellings</w:t>
      </w:r>
    </w:p>
    <w:p>
      <w:pPr>
        <w:pStyle w:val="Compact"/>
        <w:numPr>
          <w:numId w:val="1015"/>
          <w:ilvl w:val="0"/>
        </w:numPr>
      </w:pPr>
      <w:r>
        <w:t xml:space="preserve">TRC tropical coral</w:t>
      </w:r>
    </w:p>
    <w:p>
      <w:r>
        <w:t xml:space="preserve">For a more inclusive description of water ecoregions, see</w:t>
      </w:r>
      <w:r>
        <w:t xml:space="preserve"> </w:t>
      </w:r>
      <w:hyperlink r:id="rId57">
        <w:r>
          <w:rPr>
            <w:rStyle w:val="Link"/>
          </w:rPr>
          <w:t xml:space="preserve">http://worldwildlife.org/biomes</w:t>
        </w:r>
      </w:hyperlink>
    </w:p>
    <w:p>
      <w:r>
        <w:t xml:space="preserve">This is a drop-down variable. Separate with "; " if more than one</w:t>
      </w:r>
    </w:p>
    <w:p>
      <w:r>
        <w:t xml:space="preserve">To find out within which terrestrial ecoregion your study has been made, search for the place on the following map:</w:t>
      </w:r>
    </w:p>
    <w:p>
      <w:r>
        <w:drawing>
          <wp:inline>
            <wp:extent cx="5440680" cy="4203063"/>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58"/>
                    <a:stretch>
                      <a:fillRect/>
                    </a:stretch>
                  </pic:blipFill>
                  <pic:spPr bwMode="auto">
                    <a:xfrm>
                      <a:off x="0" y="0"/>
                      <a:ext cx="5440680" cy="4203063"/>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59" w:name="growthformraunkiaer-p"/>
      <w:bookmarkEnd w:id="59"/>
      <w:r>
        <w:t xml:space="preserve">GrowthFormRaunkiaer (P)</w:t>
      </w:r>
    </w:p>
    <w:p>
      <w:r>
        <w:t xml:space="preserve">Plant classification according to Raunkiaer (classified after the position of the overwintering buds)</w:t>
      </w:r>
    </w:p>
    <w:p>
      <w:r>
        <w:t xml:space="preserve">Possible values</w:t>
      </w:r>
    </w:p>
    <w:p>
      <w:pPr>
        <w:pStyle w:val="Compact"/>
        <w:numPr>
          <w:numId w:val="1016"/>
          <w:ilvl w:val="0"/>
        </w:numPr>
      </w:pPr>
      <w:r>
        <w:t xml:space="preserve">Megaphanerophyte e.g. Big trees (&gt;30 m height)</w:t>
      </w:r>
    </w:p>
    <w:p>
      <w:pPr>
        <w:pStyle w:val="Compact"/>
        <w:numPr>
          <w:numId w:val="1016"/>
          <w:ilvl w:val="0"/>
        </w:numPr>
      </w:pPr>
      <w:r>
        <w:t xml:space="preserve">Mesophanerophyte e.g. medium trees (8-30 m height)</w:t>
      </w:r>
    </w:p>
    <w:p>
      <w:pPr>
        <w:pStyle w:val="Compact"/>
        <w:numPr>
          <w:numId w:val="1016"/>
          <w:ilvl w:val="0"/>
        </w:numPr>
      </w:pPr>
      <w:r>
        <w:t xml:space="preserve">Nanophanerophyte e.g. small trees (0.25-8 m height)</w:t>
      </w:r>
    </w:p>
    <w:p>
      <w:pPr>
        <w:pStyle w:val="Compact"/>
        <w:numPr>
          <w:numId w:val="1016"/>
          <w:ilvl w:val="0"/>
        </w:numPr>
      </w:pPr>
      <w:r>
        <w:t xml:space="preserve">Chamaephyte Buds on persistent shoots near the ground</w:t>
      </w:r>
    </w:p>
    <w:p>
      <w:pPr>
        <w:pStyle w:val="Compact"/>
        <w:numPr>
          <w:numId w:val="1016"/>
          <w:ilvl w:val="0"/>
        </w:numPr>
      </w:pPr>
      <w:r>
        <w:t xml:space="preserve">Hemicryptophyte Buds at or near the soil surface, e.g. daisy, dandelion</w:t>
      </w:r>
    </w:p>
    <w:p>
      <w:pPr>
        <w:pStyle w:val="Compact"/>
        <w:numPr>
          <w:numId w:val="1016"/>
          <w:ilvl w:val="0"/>
        </w:numPr>
      </w:pPr>
      <w:r>
        <w:t xml:space="preserve">Geophyte Buds resting under dry ground, e.g. crocus, tulip</w:t>
      </w:r>
    </w:p>
    <w:p>
      <w:pPr>
        <w:pStyle w:val="Compact"/>
        <w:numPr>
          <w:numId w:val="1016"/>
          <w:ilvl w:val="0"/>
        </w:numPr>
      </w:pPr>
      <w:r>
        <w:t xml:space="preserve">Helophyte Buds resting in marshy ground, e.g. reedmace, marsh-marigold</w:t>
      </w:r>
    </w:p>
    <w:p>
      <w:pPr>
        <w:pStyle w:val="Compact"/>
        <w:numPr>
          <w:numId w:val="1016"/>
          <w:ilvl w:val="0"/>
        </w:numPr>
      </w:pPr>
      <w:r>
        <w:t xml:space="preserve">Hydrophyte Resting by being submerged under water, e.g. water-lily, frogbit</w:t>
      </w:r>
    </w:p>
    <w:p>
      <w:pPr>
        <w:pStyle w:val="Compact"/>
        <w:numPr>
          <w:numId w:val="1016"/>
          <w:ilvl w:val="0"/>
        </w:numPr>
      </w:pPr>
      <w:r>
        <w:t xml:space="preserve">Therophyte Mostly annual plants</w:t>
      </w:r>
    </w:p>
    <w:p>
      <w:pPr>
        <w:pStyle w:val="Compact"/>
        <w:numPr>
          <w:numId w:val="1016"/>
          <w:ilvl w:val="0"/>
        </w:numPr>
      </w:pPr>
      <w:r>
        <w:t xml:space="preserve">Epiphyte E.g. Epiphytes</w:t>
      </w:r>
    </w:p>
    <w:p>
      <w:r>
        <w:t xml:space="preserve">For further information see www.en.wikipedia.org/wiki/Raunkiaer_plant_life-form.</w:t>
      </w:r>
    </w:p>
    <w:p>
      <w:r>
        <w:drawing>
          <wp:inline>
            <wp:extent cx="5440680" cy="2689072"/>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60"/>
                    <a:stretch>
                      <a:fillRect/>
                    </a:stretch>
                  </pic:blipFill>
                  <pic:spPr bwMode="auto">
                    <a:xfrm>
                      <a:off x="0" y="0"/>
                      <a:ext cx="5440680" cy="2689072"/>
                    </a:xfrm>
                    <a:prstGeom prst="rect">
                      <a:avLst/>
                    </a:prstGeom>
                    <a:noFill/>
                    <a:ln w="9525">
                      <a:noFill/>
                      <a:headEnd/>
                      <a:tailEnd/>
                    </a:ln>
                  </pic:spPr>
                </pic:pic>
              </a:graphicData>
            </a:graphic>
          </wp:inline>
        </w:drawing>
      </w:r>
    </w:p>
    <w:p>
      <w:pPr>
        <w:pStyle w:val="Compact"/>
        <w:numPr>
          <w:numId w:val="1017"/>
          <w:ilvl w:val="0"/>
        </w:numPr>
      </w:pPr>
      <w:r>
        <w:t xml:space="preserve">Phanerophytes</w:t>
      </w:r>
    </w:p>
    <w:p>
      <w:pPr>
        <w:pStyle w:val="Compact"/>
        <w:numPr>
          <w:numId w:val="1017"/>
          <w:ilvl w:val="0"/>
        </w:numPr>
      </w:pPr>
      <w:r>
        <w:t xml:space="preserve">Chamaephyte</w:t>
      </w:r>
    </w:p>
    <w:p>
      <w:pPr>
        <w:pStyle w:val="Compact"/>
        <w:numPr>
          <w:numId w:val="1017"/>
          <w:ilvl w:val="0"/>
        </w:numPr>
      </w:pPr>
      <w:r>
        <w:t xml:space="preserve">Chamaephyte</w:t>
      </w:r>
    </w:p>
    <w:p>
      <w:pPr>
        <w:pStyle w:val="Compact"/>
        <w:numPr>
          <w:numId w:val="1017"/>
          <w:ilvl w:val="0"/>
        </w:numPr>
      </w:pPr>
      <w:r>
        <w:t xml:space="preserve">Hemicryptophyte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Helophyte</w:t>
      </w:r>
    </w:p>
    <w:p>
      <w:pPr>
        <w:pStyle w:val="Compact"/>
        <w:numPr>
          <w:numId w:val="1017"/>
          <w:ilvl w:val="0"/>
        </w:numPr>
      </w:pPr>
      <w:r>
        <w:t xml:space="preserve">Cryptophytes, more specifically: Hydrophyte</w:t>
      </w:r>
    </w:p>
    <w:p>
      <w:pPr>
        <w:pStyle w:val="Compact"/>
        <w:numPr>
          <w:numId w:val="1017"/>
          <w:ilvl w:val="0"/>
        </w:numPr>
      </w:pPr>
      <w:r>
        <w:t xml:space="preserve">Cryptophytes, more specifically: Hydrophyte</w:t>
      </w:r>
    </w:p>
    <w:p>
      <w:pPr>
        <w:pStyle w:val="Compact"/>
        <w:numPr>
          <w:numId w:val="1017"/>
          <w:ilvl w:val="0"/>
        </w:numPr>
      </w:pPr>
      <w:r>
        <w:t xml:space="preserve">Therophyte, aerophyte and epiphyte not shown</w:t>
      </w:r>
    </w:p>
    <w:p>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However, the variable “Plant type” typically relates to the variable “Growth form Raunkiaer” as it follows</w:t>
      </w:r>
    </w:p>
    <w:p>
      <w:pPr>
        <w:pStyle w:val="Compact"/>
        <w:numPr>
          <w:numId w:val="1018"/>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8"/>
          <w:ilvl w:val="0"/>
        </w:numPr>
      </w:pPr>
      <w:r>
        <w:t xml:space="preserve">“Herbaceous perennials” may be “Hydrophyte”, “Helophyte”, “Epiphyte”, “Geophyte”, “Hemicryptophyte” or “Chamaephyte”.</w:t>
      </w:r>
    </w:p>
    <w:p>
      <w:pPr>
        <w:pStyle w:val="Compact"/>
        <w:numPr>
          <w:numId w:val="1019"/>
          <w:ilvl w:val="1"/>
        </w:numPr>
      </w:pPr>
      <w:r>
        <w:t xml:space="preserve">Hydrophyte: herbaceous perennial that lives in or really close to a lake, river or sea</w:t>
      </w:r>
    </w:p>
    <w:p>
      <w:pPr>
        <w:pStyle w:val="Compact"/>
        <w:numPr>
          <w:numId w:val="1019"/>
          <w:ilvl w:val="1"/>
        </w:numPr>
      </w:pPr>
      <w:r>
        <w:t xml:space="preserve">Helophyte: herbaceous perennial that lives in a marsh or wetland</w:t>
      </w:r>
    </w:p>
    <w:p>
      <w:pPr>
        <w:pStyle w:val="Compact"/>
        <w:numPr>
          <w:numId w:val="1019"/>
          <w:ilvl w:val="1"/>
        </w:numPr>
      </w:pPr>
      <w:r>
        <w:t xml:space="preserve">Geophyte: herbaceous perennial that overwinters below ground. These species have a storage below ground of the following types: rhizome, tuber, bulb or similar</w:t>
      </w:r>
    </w:p>
    <w:p>
      <w:pPr>
        <w:pStyle w:val="Compact"/>
        <w:numPr>
          <w:numId w:val="1019"/>
          <w:ilvl w:val="1"/>
        </w:numPr>
      </w:pPr>
      <w:r>
        <w:t xml:space="preserve">Hemicryptophyte: herbaceous perennial without storage organ below ground that will overwinter right at ground level</w:t>
      </w:r>
    </w:p>
    <w:p>
      <w:pPr>
        <w:pStyle w:val="Compact"/>
        <w:numPr>
          <w:numId w:val="1019"/>
          <w:ilvl w:val="1"/>
        </w:numPr>
      </w:pPr>
      <w:r>
        <w:t xml:space="preserve">Chamaephyte: herbaceous perennial that will overwinter above ground but no higher than 25 cm.</w:t>
      </w:r>
    </w:p>
    <w:p>
      <w:pPr>
        <w:pStyle w:val="Compact"/>
        <w:numPr>
          <w:numId w:val="1018"/>
          <w:ilvl w:val="0"/>
        </w:numPr>
      </w:pPr>
      <w:r>
        <w:t xml:space="preserve">“Annual” (and biennials or pseudo-annuals) are “Therophyte”.</w:t>
      </w:r>
    </w:p>
    <w:p>
      <w:pPr>
        <w:pStyle w:val="Compact"/>
        <w:numPr>
          <w:numId w:val="1018"/>
          <w:ilvl w:val="0"/>
        </w:numPr>
      </w:pPr>
      <w:r>
        <w:t xml:space="preserve">“Algae” is “Hydrophyte”.</w:t>
      </w:r>
    </w:p>
    <w:p>
      <w:pPr>
        <w:pStyle w:val="Compact"/>
        <w:numPr>
          <w:numId w:val="1018"/>
          <w:ilvl w:val="0"/>
        </w:numPr>
      </w:pPr>
      <w:r>
        <w:t xml:space="preserve">“Bryophyte” can be “Epiphyte” or “Hemicryptophyte”.</w:t>
      </w:r>
    </w:p>
    <w:p>
      <w:pPr>
        <w:pStyle w:val="Compact"/>
        <w:numPr>
          <w:numId w:val="1018"/>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61" w:name="iucnstatus"/>
      <w:bookmarkEnd w:id="61"/>
      <w:r>
        <w:t xml:space="preserve">IUCNStatus</w:t>
      </w:r>
    </w:p>
    <w:p>
      <w:r>
        <w:t xml:space="preserve">Status of conservation of the species as a whole as per criteria of the International Union for the Conservation of Nature (IUCN).</w:t>
      </w:r>
    </w:p>
    <w:p>
      <w:pPr>
        <w:pStyle w:val="Compact"/>
        <w:numPr>
          <w:numId w:val="1020"/>
          <w:ilvl w:val="0"/>
        </w:numPr>
      </w:pPr>
      <w:r>
        <w:t xml:space="preserve">EX - Extinct - no known individuals remaining.</w:t>
      </w:r>
    </w:p>
    <w:p>
      <w:pPr>
        <w:pStyle w:val="Compact"/>
        <w:numPr>
          <w:numId w:val="1020"/>
          <w:ilvl w:val="0"/>
        </w:numPr>
      </w:pPr>
      <w:r>
        <w:t xml:space="preserve">EW - Extinct in Wild - known only to survive in captivity, or as a naturalized population outside its historic range.</w:t>
      </w:r>
    </w:p>
    <w:p>
      <w:pPr>
        <w:pStyle w:val="Compact"/>
        <w:numPr>
          <w:numId w:val="1020"/>
          <w:ilvl w:val="0"/>
        </w:numPr>
      </w:pPr>
      <w:r>
        <w:t xml:space="preserve">CR - Critically Endangered - extremely high risk of extinction in the wild</w:t>
      </w:r>
    </w:p>
    <w:p>
      <w:pPr>
        <w:pStyle w:val="Compact"/>
        <w:numPr>
          <w:numId w:val="1020"/>
          <w:ilvl w:val="0"/>
        </w:numPr>
      </w:pPr>
      <w:r>
        <w:t xml:space="preserve">EN - Endangered - high risk of extinction in the wild.</w:t>
      </w:r>
    </w:p>
    <w:p>
      <w:pPr>
        <w:pStyle w:val="Compact"/>
        <w:numPr>
          <w:numId w:val="1020"/>
          <w:ilvl w:val="0"/>
        </w:numPr>
      </w:pPr>
      <w:r>
        <w:t xml:space="preserve">VU - Vulnerable - high risk of endangerment in the wild.</w:t>
      </w:r>
    </w:p>
    <w:p>
      <w:pPr>
        <w:pStyle w:val="Compact"/>
        <w:numPr>
          <w:numId w:val="1020"/>
          <w:ilvl w:val="0"/>
        </w:numPr>
      </w:pPr>
      <w:r>
        <w:t xml:space="preserve">NT - Near Threatened - likely to become endangered in the near future.</w:t>
      </w:r>
    </w:p>
    <w:p>
      <w:pPr>
        <w:pStyle w:val="Compact"/>
        <w:numPr>
          <w:numId w:val="1020"/>
          <w:ilvl w:val="0"/>
        </w:numPr>
      </w:pPr>
      <w:r>
        <w:t xml:space="preserve">LC - Least Concern - Lowest risk. Does not qualify for a more at risk category. Widespread and abundant taxa are included in this category.</w:t>
      </w:r>
    </w:p>
    <w:p>
      <w:pPr>
        <w:pStyle w:val="Compact"/>
        <w:numPr>
          <w:numId w:val="1020"/>
          <w:ilvl w:val="0"/>
        </w:numPr>
      </w:pPr>
      <w:r>
        <w:t xml:space="preserve">DD - Data Deficient - not enough data to make an assessment of its risk of extinction.</w:t>
      </w:r>
    </w:p>
    <w:p>
      <w:pPr>
        <w:pStyle w:val="Compact"/>
        <w:numPr>
          <w:numId w:val="1020"/>
          <w:ilvl w:val="0"/>
        </w:numPr>
      </w:pPr>
      <w:r>
        <w:t xml:space="preserve">NE - Not Evaluated - has not yet been evaluated against the IUCN criteria.</w:t>
      </w:r>
    </w:p>
    <w:p>
      <w:pPr>
        <w:pStyle w:val="Compact"/>
        <w:numPr>
          <w:numId w:val="1020"/>
          <w:ilvl w:val="0"/>
        </w:numPr>
      </w:pPr>
      <w:r>
        <w:t xml:space="preserve">LR/cd - Lower Risk/conservation dependent - at lower risk of extinction, but requiring conservation intervention to maintain the population. This is an older (1994) category, not used in recent assessments.</w:t>
      </w:r>
    </w:p>
    <w:p>
      <w:pPr>
        <w:pStyle w:val="Compact"/>
        <w:numPr>
          <w:numId w:val="1020"/>
          <w:ilvl w:val="0"/>
        </w:numPr>
      </w:pPr>
      <w:r>
        <w:t xml:space="preserve">LR/nt - Lower Risk/near threatened - at lower risk of extinction, but considered to be near threatened. This is an older (1994) category, not used in recent assessments.</w:t>
      </w:r>
    </w:p>
    <w:p>
      <w:pPr>
        <w:pStyle w:val="Compact"/>
        <w:numPr>
          <w:numId w:val="1020"/>
          <w:ilvl w:val="0"/>
        </w:numPr>
      </w:pPr>
      <w:r>
        <w:t xml:space="preserve">LR/lc - Lower Risk/least concern - at lower risk of extinction, considered to be widespread and abundant. This is an older (1994) category, not used in recent assessments.</w:t>
      </w:r>
    </w:p>
    <w:p>
      <w:r>
        <w:t xml:space="preserve">More detailed information on IUCN Red-list and Wikipedia Red List Categories</w:t>
      </w:r>
    </w:p>
    <w:p>
      <w:r>
        <w:t xml:space="preserve">Several assessments have been carried out since the 1990s. Recent assessments use the 2001 IUCN Red List Categories and Criteria. Version 3.1. However, some taxa included in the current IUCN Red List database have not been reassessed since before 2000 and therefore still use the 1994 IUCN Red List Categories and Criteria. Version 2.3.</w:t>
      </w:r>
    </w:p>
    <w:p>
      <w:r>
        <w:pict>
          <v:rect style="width:0;height:1.5pt" o:hralign="center" o:hrstd="t" o:hr="t"/>
        </w:pict>
      </w:r>
    </w:p>
    <w:p>
      <w:pPr>
        <w:pStyle w:val="Heading2"/>
      </w:pPr>
      <w:bookmarkStart w:id="62" w:name="invasivestatus"/>
      <w:bookmarkEnd w:id="62"/>
      <w:r>
        <w:t xml:space="preserve">InvasiveStatus</w:t>
      </w:r>
    </w:p>
    <w:p>
      <w:r>
        <w:t xml:space="preserve">Records whether the species is present in the Global Invasive Species Database. www.issg.org.</w:t>
      </w:r>
    </w:p>
    <w:p>
      <w:pPr>
        <w:pStyle w:val="Compact"/>
        <w:numPr>
          <w:numId w:val="1021"/>
          <w:ilvl w:val="0"/>
        </w:numPr>
      </w:pPr>
      <w:r>
        <w:t xml:space="preserve">No - Not present in ISSG database.</w:t>
      </w:r>
    </w:p>
    <w:p>
      <w:pPr>
        <w:pStyle w:val="Compact"/>
        <w:numPr>
          <w:numId w:val="1021"/>
          <w:ilvl w:val="0"/>
        </w:numPr>
      </w:pPr>
      <w:r>
        <w:t xml:space="preserve">Yes - Identified as invasive in ISSG database.</w:t>
      </w:r>
    </w:p>
    <w:p>
      <w:r>
        <w:pict>
          <v:rect style="width:0;height:1.5pt" o:hralign="center" o:hrstd="t" o:hr="t"/>
        </w:pict>
      </w:r>
    </w:p>
    <w:p>
      <w:pPr>
        <w:pStyle w:val="Heading2"/>
      </w:pPr>
      <w:bookmarkStart w:id="63" w:name="conservationstatusus"/>
      <w:bookmarkEnd w:id="63"/>
      <w:r>
        <w:t xml:space="preserve">ConservationStatusUS</w:t>
      </w:r>
    </w:p>
    <w:p>
      <w:r>
        <w:t xml:space="preserve">Records the conservation status under the U.S. Endangered Species Act, according to the United States Fisheries and Wildlife Service (</w:t>
      </w:r>
      <w:hyperlink r:id="rId64">
        <w:r>
          <w:rPr>
            <w:rStyle w:val="Link"/>
          </w:rPr>
          <w:t xml:space="preserve">http://www.fws.gov/endangered/</w:t>
        </w:r>
      </w:hyperlink>
      <w:r>
        <w:t xml:space="preserve">). Note that in a few cases this information also applies to species outside of the US territory (e.g. emperor penguin).</w:t>
      </w:r>
    </w:p>
    <w:p>
      <w:pPr>
        <w:pStyle w:val="Compact"/>
        <w:numPr>
          <w:numId w:val="1022"/>
          <w:ilvl w:val="0"/>
        </w:numPr>
      </w:pPr>
      <w:r>
        <w:t xml:space="preserve">EN - Endangered</w:t>
      </w:r>
    </w:p>
    <w:p>
      <w:pPr>
        <w:pStyle w:val="Compact"/>
        <w:numPr>
          <w:numId w:val="1022"/>
          <w:ilvl w:val="0"/>
        </w:numPr>
      </w:pPr>
      <w:r>
        <w:t xml:space="preserve">TH - Threatened</w:t>
      </w:r>
    </w:p>
    <w:p>
      <w:pPr>
        <w:pStyle w:val="Compact"/>
        <w:numPr>
          <w:numId w:val="1022"/>
          <w:ilvl w:val="0"/>
        </w:numPr>
      </w:pPr>
      <w:r>
        <w:t xml:space="preserve">NA - Not classified</w:t>
      </w:r>
    </w:p>
    <w:p>
      <w:r>
        <w:pict>
          <v:rect style="width:0;height:1.5pt" o:hralign="center" o:hrstd="t" o:hr="t"/>
        </w:pict>
      </w:r>
    </w:p>
    <w:p>
      <w:pPr>
        <w:pStyle w:val="Heading2"/>
      </w:pPr>
      <w:bookmarkStart w:id="65" w:name="purposes"/>
      <w:bookmarkEnd w:id="65"/>
      <w:r>
        <w:t xml:space="preserve">Purposes</w:t>
      </w:r>
    </w:p>
    <w:p>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r>
        <w:t xml:space="preserve">We have categorized the purposes as follows:</w:t>
      </w:r>
    </w:p>
    <w:p>
      <w:pPr>
        <w:pStyle w:val="Compact"/>
        <w:numPr>
          <w:numId w:val="1023"/>
          <w:ilvl w:val="0"/>
        </w:numPr>
      </w:pPr>
      <w:r>
        <w:t xml:space="preserve">Comparative demography - When the authors studied two or more species</w:t>
      </w:r>
    </w:p>
    <w:p>
      <w:pPr>
        <w:pStyle w:val="Compact"/>
        <w:numPr>
          <w:numId w:val="1023"/>
          <w:ilvl w:val="0"/>
        </w:numPr>
      </w:pPr>
      <w:r>
        <w:t xml:space="preserve">Spatial demography - When the authors studied the demography of two or more populations within the same species</w:t>
      </w:r>
    </w:p>
    <w:p>
      <w:pPr>
        <w:pStyle w:val="Compact"/>
        <w:numPr>
          <w:numId w:val="1023"/>
          <w:ilvl w:val="0"/>
        </w:numPr>
      </w:pPr>
      <w:r>
        <w:t xml:space="preserve">Abiotic impacts - When the authors studied the effects of abiotic factors (e.g fire, hurricanes, rain, fertilizers, droughts, etc)</w:t>
      </w:r>
    </w:p>
    <w:p>
      <w:pPr>
        <w:pStyle w:val="Compact"/>
        <w:numPr>
          <w:numId w:val="1023"/>
          <w:ilvl w:val="0"/>
        </w:numPr>
      </w:pPr>
      <w:r>
        <w:t xml:space="preserve">PVA - When the authors report a Population Viability Analysis of an endangered species</w:t>
      </w:r>
    </w:p>
    <w:p>
      <w:pPr>
        <w:pStyle w:val="Compact"/>
        <w:numPr>
          <w:numId w:val="1023"/>
          <w:ilvl w:val="0"/>
        </w:numPr>
      </w:pPr>
      <w:r>
        <w:t xml:space="preserve">Species dynamics description - When there is no actual treatment in the study (Unmanipulated). Instead, the goal was to describe the natural dynamics of a species</w:t>
      </w:r>
    </w:p>
    <w:p>
      <w:pPr>
        <w:pStyle w:val="Compact"/>
        <w:numPr>
          <w:numId w:val="1023"/>
          <w:ilvl w:val="0"/>
        </w:numPr>
      </w:pPr>
      <w:r>
        <w:t xml:space="preserve">Interspecific interactions - When the authors studied the interactions between different species (e.g herbivory, pollinators, inter-specific competition, predation, parasitism, etc)</w:t>
      </w:r>
    </w:p>
    <w:p>
      <w:pPr>
        <w:pStyle w:val="Compact"/>
        <w:numPr>
          <w:numId w:val="1023"/>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3"/>
          <w:ilvl w:val="0"/>
        </w:numPr>
      </w:pPr>
      <w:r>
        <w:t xml:space="preserve">Methodological advancement - When the novelty of the paper is not an ecological question, but mostly to introduce a new mathematical tool often using already published matrices</w:t>
      </w:r>
    </w:p>
    <w:p>
      <w:r>
        <w:pict>
          <v:rect style="width:0;height:1.5pt" o:hralign="center" o:hrstd="t" o:hr="t"/>
        </w:pict>
      </w:r>
    </w:p>
    <w:p>
      <w:pPr>
        <w:pStyle w:val="Heading2"/>
      </w:pPr>
      <w:bookmarkStart w:id="66" w:name="treatment"/>
      <w:bookmarkEnd w:id="66"/>
      <w:r>
        <w:t xml:space="preserve">Treatment</w:t>
      </w:r>
    </w:p>
    <w:p>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67" w:name="studystart"/>
      <w:bookmarkEnd w:id="67"/>
      <w:r>
        <w:t xml:space="preserve">StudyStart</w:t>
      </w:r>
    </w:p>
    <w:p>
      <w:r>
        <w:t xml:space="preserve">Records the first year of the study, e.g. 2008</w:t>
      </w:r>
    </w:p>
    <w:p>
      <w:r>
        <w:pict>
          <v:rect style="width:0;height:1.5pt" o:hralign="center" o:hrstd="t" o:hr="t"/>
        </w:pict>
      </w:r>
    </w:p>
    <w:p>
      <w:pPr>
        <w:pStyle w:val="Heading2"/>
      </w:pPr>
      <w:bookmarkStart w:id="68" w:name="studyend"/>
      <w:bookmarkEnd w:id="68"/>
      <w:r>
        <w:t xml:space="preserve">StudyEnd</w:t>
      </w:r>
    </w:p>
    <w:p>
      <w:r>
        <w:t xml:space="preserve">Records the last year of the study, e.g. 2012</w:t>
      </w:r>
    </w:p>
    <w:p>
      <w:r>
        <w:pict>
          <v:rect style="width:0;height:1.5pt" o:hralign="center" o:hrstd="t" o:hr="t"/>
        </w:pict>
      </w:r>
    </w:p>
    <w:p>
      <w:pPr>
        <w:pStyle w:val="Heading2"/>
      </w:pPr>
      <w:bookmarkStart w:id="69" w:name="studyduration"/>
      <w:bookmarkEnd w:id="69"/>
      <w:r>
        <w:t xml:space="preserve">StudyDuration</w:t>
      </w:r>
    </w:p>
    <w:p>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0" w:name="annualperiodicity"/>
      <w:bookmarkEnd w:id="70"/>
      <w:r>
        <w:t xml:space="preserve">AnnualPeriodicity</w:t>
      </w:r>
    </w:p>
    <w:p>
      <w:r>
        <w:t xml:space="preserve">Frequency with which seasonal or annual the matrix population model was constructed. For example:</w:t>
      </w:r>
    </w:p>
    <w:p>
      <w:pPr>
        <w:pStyle w:val="Compact"/>
        <w:numPr>
          <w:numId w:val="1024"/>
          <w:ilvl w:val="0"/>
        </w:numPr>
      </w:pPr>
      <w:r>
        <w:t xml:space="preserve">1 - Once a year</w:t>
      </w:r>
    </w:p>
    <w:p>
      <w:pPr>
        <w:pStyle w:val="Compact"/>
        <w:numPr>
          <w:numId w:val="1024"/>
          <w:ilvl w:val="0"/>
        </w:numPr>
      </w:pPr>
      <w:r>
        <w:t xml:space="preserve">2 - Twice per year (e.g. in January and in June)</w:t>
      </w:r>
    </w:p>
    <w:p>
      <w:pPr>
        <w:pStyle w:val="Compact"/>
        <w:numPr>
          <w:numId w:val="1024"/>
          <w:ilvl w:val="0"/>
        </w:numPr>
      </w:pPr>
      <w:r>
        <w:t xml:space="preserve">0.2 - Once every five years</w:t>
      </w:r>
    </w:p>
    <w:p>
      <w:pPr>
        <w:pStyle w:val="Compact"/>
        <w:numPr>
          <w:numId w:val="1024"/>
          <w:ilvl w:val="0"/>
        </w:numPr>
      </w:pPr>
      <w:r>
        <w:t xml:space="preserve">? - Other annual periodicities</w:t>
      </w:r>
    </w:p>
    <w:p>
      <w:r>
        <w:t xml:space="preserve">Annual periodicities can be calculated as follows: If the study site has been visited more than once a year calculate</w:t>
      </w:r>
      <w:r>
        <w:t xml:space="preserve"> </w:t>
      </w:r>
      <m:oMath>
        <m:r>
          <m:rPr>
            <m:sty m:val="p"/>
          </m:rPr>
          <m:t>1</m:t>
        </m:r>
        <m:r>
          <m:rPr>
            <m:sty m:val="p"/>
          </m:rPr>
          <m:t>*</m:t>
        </m:r>
        <m:r>
          <m:rPr>
            <m:sty m:val="p"/>
          </m:rPr>
          <m:t>N</m:t>
        </m:r>
      </m:oMath>
      <w:r>
        <w:t xml:space="preserve">, where N is the number of visits to the site per year, e.g.</w:t>
      </w:r>
      <w:r>
        <w:t xml:space="preserve"> </w:t>
      </w:r>
      <m:oMath>
        <m:r>
          <m:rPr>
            <m:sty m:val="p"/>
          </m:rPr>
          <m:t>1</m:t>
        </m:r>
        <m:r>
          <m:rPr>
            <m:sty m:val="p"/>
          </m:rPr>
          <m:t>*</m:t>
        </m:r>
        <m:r>
          <m:rPr>
            <m:sty m:val="p"/>
          </m:rPr>
          <m:t>2</m:t>
        </m:r>
        <m:r>
          <m:rPr>
            <m:sty m:val="p"/>
          </m:rPr>
          <m:t>=</m:t>
        </m:r>
        <m:r>
          <m:rPr>
            <m:sty m:val="p"/>
          </m:rPr>
          <m:t>2</m:t>
        </m:r>
      </m:oMath>
      <w:r>
        <w:t xml:space="preserve">. If the study site has been revisited less than once per year calculate</w:t>
      </w:r>
      <w:r>
        <w:t xml:space="preserve"> </w:t>
      </w:r>
      <m:oMath>
        <m:r>
          <m:rPr>
            <m:sty m:val="p"/>
          </m:rPr>
          <m:t>1</m:t>
        </m:r>
        <m:r>
          <m:rPr>
            <m:sty m:val="p"/>
          </m:rPr>
          <m:t>/</m:t>
        </m:r>
        <m:r>
          <m:rPr>
            <m:sty m:val="p"/>
          </m:rPr>
          <m:t>Y</m:t>
        </m:r>
      </m:oMath>
      <w:r>
        <w:t xml:space="preserve">, where Y is the number of years, e.g.</w:t>
      </w:r>
      <w:r>
        <w:t xml:space="preserve"> </w:t>
      </w:r>
      <m:oMath>
        <m:r>
          <m:rPr>
            <m:sty m:val="p"/>
          </m:rPr>
          <m:t>1</m:t>
        </m:r>
        <m:r>
          <m:rPr>
            <m:sty m:val="p"/>
          </m:rPr>
          <m:t>/</m:t>
        </m:r>
        <m:r>
          <m:rPr>
            <m:sty m:val="p"/>
          </m:rPr>
          <m:t>5</m:t>
        </m:r>
        <m:r>
          <m:rPr>
            <m:sty m:val="p"/>
          </m:rPr>
          <m:t>=</m:t>
        </m:r>
        <m:r>
          <m:rPr>
            <m:sty m:val="p"/>
          </m:rPr>
          <m:t>0</m:t>
        </m:r>
        <m:r>
          <m:rPr>
            <m:sty m:val="p"/>
          </m:rPr>
          <m:t>.</m:t>
        </m:r>
        <m:r>
          <m:rPr>
            <m:sty m:val="p"/>
          </m:rPr>
          <m:t>2</m:t>
        </m:r>
      </m:oMath>
      <w:r>
        <w:t xml:space="preserve">.</w:t>
      </w:r>
    </w:p>
    <w:p>
      <w:r>
        <w:pict>
          <v:rect style="width:0;height:1.5pt" o:hralign="center" o:hrstd="t" o:hr="t"/>
        </w:pict>
      </w:r>
    </w:p>
    <w:p>
      <w:pPr>
        <w:pStyle w:val="Heading2"/>
      </w:pPr>
      <w:bookmarkStart w:id="71" w:name="numberpopulations"/>
      <w:bookmarkEnd w:id="71"/>
      <w:r>
        <w:t xml:space="preserve">NumberPopulations</w:t>
      </w:r>
    </w:p>
    <w:p>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2" w:name="withinsitereplication"/>
      <w:bookmarkEnd w:id="72"/>
      <w:r>
        <w:t xml:space="preserve">WithinSiteReplication</w:t>
      </w:r>
    </w:p>
    <w:p>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73" w:name="matrixcriteriasize"/>
      <w:bookmarkEnd w:id="73"/>
      <w:r>
        <w:t xml:space="preserve">MatrixCriteriaSize</w:t>
      </w:r>
    </w:p>
    <w:p>
      <w:r>
        <w:t xml:space="preserve">Records whether the matrix model is based on size (e.g. stem length/number, body length/mass, etc).</w:t>
      </w:r>
    </w:p>
    <w:p>
      <w:pPr>
        <w:pStyle w:val="Compact"/>
        <w:numPr>
          <w:numId w:val="1025"/>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5"/>
          <w:ilvl w:val="0"/>
        </w:numPr>
      </w:pPr>
      <w:r>
        <w:t xml:space="preserve">No - The matrix population model is not based on size.</w:t>
      </w:r>
    </w:p>
    <w:p>
      <w:r>
        <w:pict>
          <v:rect style="width:0;height:1.5pt" o:hralign="center" o:hrstd="t" o:hr="t"/>
        </w:pict>
      </w:r>
    </w:p>
    <w:p>
      <w:pPr>
        <w:pStyle w:val="Heading2"/>
      </w:pPr>
      <w:bookmarkStart w:id="74" w:name="matrixcriteriaontogeny"/>
      <w:bookmarkEnd w:id="74"/>
      <w:r>
        <w:t xml:space="preserve">MatrixCriteriaOntogeny</w:t>
      </w:r>
    </w:p>
    <w:p>
      <w:r>
        <w:t xml:space="preserve">Records whether the matrix model is based on ontogenetic stage (e.g. seedbank, reproductive, vegetative, dormant, etc).</w:t>
      </w:r>
    </w:p>
    <w:p>
      <w:pPr>
        <w:pStyle w:val="Compact"/>
        <w:numPr>
          <w:numId w:val="1026"/>
          <w:ilvl w:val="0"/>
        </w:numPr>
      </w:pPr>
      <w:r>
        <w:t xml:space="preserve">Yes - The matrix population model contains at least one class that is based on development/ontogeny (e.g. seedbank, reproductive, vegetative, dormant, etc).</w:t>
      </w:r>
    </w:p>
    <w:p>
      <w:pPr>
        <w:pStyle w:val="Compact"/>
        <w:numPr>
          <w:numId w:val="1026"/>
          <w:ilvl w:val="0"/>
        </w:numPr>
      </w:pPr>
      <w:r>
        <w:t xml:space="preserve">No - Matrix population model is not based on ontogeny.</w:t>
      </w:r>
    </w:p>
    <w:p>
      <w:pPr>
        <w:pStyle w:val="Compact"/>
        <w:numPr>
          <w:numId w:val="1026"/>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75" w:name="matrixcriteriaage"/>
      <w:bookmarkEnd w:id="75"/>
      <w:r>
        <w:t xml:space="preserve">MatrixCriteriaAge</w:t>
      </w:r>
    </w:p>
    <w:p>
      <w:r>
        <w:t xml:space="preserve">Records whether there are any classes that are based on age.</w:t>
      </w:r>
    </w:p>
    <w:p>
      <w:pPr>
        <w:pStyle w:val="Compact"/>
        <w:numPr>
          <w:numId w:val="1027"/>
          <w:ilvl w:val="0"/>
        </w:numPr>
      </w:pPr>
      <w:r>
        <w:t xml:space="preserve">Yes - The matrix population model contains at least one class that is based on age (e.g. individuals of 0 year old)</w:t>
      </w:r>
    </w:p>
    <w:p>
      <w:pPr>
        <w:pStyle w:val="Compact"/>
        <w:numPr>
          <w:numId w:val="1027"/>
          <w:ilvl w:val="0"/>
        </w:numPr>
      </w:pPr>
      <w:r>
        <w:t xml:space="preserve">No - The matrix population model is not based on age</w:t>
      </w:r>
    </w:p>
    <w:p>
      <w:pPr>
        <w:pStyle w:val="Compact"/>
        <w:numPr>
          <w:numId w:val="1027"/>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2"/>
      </w:pPr>
      <w:bookmarkStart w:id="76" w:name="taxonomy-columns"/>
      <w:bookmarkEnd w:id="76"/>
      <w:r>
        <w:t xml:space="preserve">Taxonomy columns</w:t>
      </w:r>
    </w:p>
    <w:p>
      <w:r>
        <w:t xml:space="preserve">This series of 22 columns includes taxonomic information.</w:t>
      </w:r>
    </w:p>
    <w:p>
      <w:pPr>
        <w:pStyle w:val="Compact"/>
        <w:numPr>
          <w:numId w:val="1028"/>
          <w:ilvl w:val="0"/>
        </w:numPr>
      </w:pPr>
      <w:r>
        <w:t xml:space="preserve">Kingdom - Kingdom to which species belongs.</w:t>
      </w:r>
    </w:p>
    <w:p>
      <w:pPr>
        <w:pStyle w:val="Compact"/>
        <w:numPr>
          <w:numId w:val="1028"/>
          <w:ilvl w:val="0"/>
        </w:numPr>
      </w:pPr>
      <w:r>
        <w:t xml:space="preserve">Phylum - Phylum to which species belongs e.g. Magnoliophyta.</w:t>
      </w:r>
    </w:p>
    <w:p>
      <w:pPr>
        <w:pStyle w:val="Compact"/>
        <w:numPr>
          <w:numId w:val="1028"/>
          <w:ilvl w:val="0"/>
        </w:numPr>
      </w:pPr>
      <w:r>
        <w:t xml:space="preserve">AngioGymno Whether species is an angiosperm or a gymnosperm (record Angiosperm or Gymnosperm). If it is neither angiosperm nor gymnosperm fill in NA.</w:t>
      </w:r>
    </w:p>
    <w:p>
      <w:pPr>
        <w:pStyle w:val="Compact"/>
        <w:numPr>
          <w:numId w:val="1028"/>
          <w:ilvl w:val="0"/>
        </w:numPr>
      </w:pPr>
      <w:r>
        <w:t xml:space="preserve">DicotMonoc - Whether species is a dicot or monocot (record Eudicot or Monocot). If species is neither dicot nor monocot (i.e. if it is not an angiosperm) fill in NA.</w:t>
      </w:r>
    </w:p>
    <w:p>
      <w:pPr>
        <w:pStyle w:val="Compact"/>
        <w:numPr>
          <w:numId w:val="1028"/>
          <w:ilvl w:val="0"/>
        </w:numPr>
      </w:pPr>
      <w:r>
        <w:t xml:space="preserve">Class - Class to which species belongs e.g. Magnoliopsida.</w:t>
      </w:r>
    </w:p>
    <w:p>
      <w:pPr>
        <w:pStyle w:val="Compact"/>
        <w:numPr>
          <w:numId w:val="1028"/>
          <w:ilvl w:val="0"/>
        </w:numPr>
      </w:pPr>
      <w:r>
        <w:t xml:space="preserve">Family - Family to which species belongs e.g. Polygonaceae.</w:t>
      </w:r>
    </w:p>
    <w:p>
      <w:pPr>
        <w:pStyle w:val="Compact"/>
        <w:numPr>
          <w:numId w:val="1028"/>
          <w:ilvl w:val="0"/>
        </w:numPr>
      </w:pPr>
      <w:r>
        <w:t xml:space="preserve">Order - Order to which species belongs e.g. Caryophyllales.</w:t>
      </w:r>
    </w:p>
    <w:p>
      <w:pPr>
        <w:pStyle w:val="Compact"/>
        <w:numPr>
          <w:numId w:val="1028"/>
          <w:ilvl w:val="0"/>
        </w:numPr>
      </w:pPr>
      <w:r>
        <w:t xml:space="preserve">Genus - Genus used in SpeciesAuthor e.g. Chorizanthe.</w:t>
      </w:r>
    </w:p>
    <w:p>
      <w:pPr>
        <w:pStyle w:val="Compact"/>
        <w:numPr>
          <w:numId w:val="1028"/>
          <w:ilvl w:val="0"/>
        </w:numPr>
      </w:pPr>
      <w:r>
        <w:t xml:space="preserve">SpeciesAccepted - Currently accepted Latin name. This information is is obtained from The Plant List.</w:t>
      </w:r>
    </w:p>
    <w:p>
      <w:pPr>
        <w:pStyle w:val="Compact"/>
        <w:numPr>
          <w:numId w:val="1028"/>
          <w:ilvl w:val="0"/>
        </w:numPr>
      </w:pPr>
      <w:r>
        <w:t xml:space="preserve">GenusAccepted Taxonomic genus name of study SpeciesAccepted, as per The Plant List.</w:t>
      </w:r>
    </w:p>
    <w:p>
      <w:pPr>
        <w:pStyle w:val="Compact"/>
        <w:numPr>
          <w:numId w:val="1028"/>
          <w:ilvl w:val="0"/>
        </w:numPr>
      </w:pPr>
      <w:r>
        <w:t xml:space="preserve">SpeciesEpithetAccepted Taxonomic species epithet name of study SpeciesAccepted (see above), as per The Plant List epithet e.g. pungens</w:t>
      </w:r>
    </w:p>
    <w:p>
      <w:pPr>
        <w:pStyle w:val="Compact"/>
        <w:numPr>
          <w:numId w:val="1028"/>
          <w:ilvl w:val="0"/>
        </w:numPr>
      </w:pPr>
      <w:r>
        <w:t xml:space="preserve">InfraspecificAccepted Taxonomic infraspecific name of study SpeciesAccepted, as per The Plant List infraspecies e.g. pungens.</w:t>
      </w:r>
    </w:p>
    <w:p>
      <w:pPr>
        <w:pStyle w:val="Compact"/>
        <w:numPr>
          <w:numId w:val="1028"/>
          <w:ilvl w:val="0"/>
        </w:numPr>
      </w:pPr>
      <w:r>
        <w:t xml:space="preserve">TPLVersion - Version of The Plant List used for taxonomic validation 1.0 Version 1.0</w:t>
      </w:r>
    </w:p>
    <w:p>
      <w:pPr>
        <w:pStyle w:val="Compact"/>
        <w:numPr>
          <w:numId w:val="1028"/>
          <w:ilvl w:val="0"/>
        </w:numPr>
      </w:pPr>
      <w:r>
        <w:t xml:space="preserve">TaxonomicStatus - Taxonomic correspondence of SpeciesAuthor with SpeciesAccepted (above). Possible values include, NoMatch; Unresolved; Accepted; Synonym.</w:t>
      </w:r>
    </w:p>
    <w:p>
      <w:pPr>
        <w:pStyle w:val="Compact"/>
        <w:numPr>
          <w:numId w:val="1028"/>
          <w:ilvl w:val="0"/>
        </w:numPr>
      </w:pPr>
      <w:r>
        <w:t xml:space="preserve">NewGenus</w:t>
      </w:r>
    </w:p>
    <w:p>
      <w:pPr>
        <w:pStyle w:val="Compact"/>
        <w:numPr>
          <w:numId w:val="1028"/>
          <w:ilvl w:val="0"/>
        </w:numPr>
      </w:pPr>
      <w:r>
        <w:t xml:space="preserve">NewSpecies</w:t>
      </w:r>
    </w:p>
    <w:p>
      <w:pPr>
        <w:pStyle w:val="Compact"/>
        <w:numPr>
          <w:numId w:val="1028"/>
          <w:ilvl w:val="0"/>
        </w:numPr>
      </w:pPr>
      <w:r>
        <w:t xml:space="preserve">NewInfraspecific</w:t>
      </w:r>
    </w:p>
    <w:p>
      <w:pPr>
        <w:pStyle w:val="Compact"/>
        <w:numPr>
          <w:numId w:val="1028"/>
          <w:ilvl w:val="0"/>
        </w:numPr>
      </w:pPr>
      <w:r>
        <w:t xml:space="preserve">Authority - Taxonomic authority of SpeciesAccepted, as per The Plant List or Catalogue of Life.</w:t>
      </w:r>
    </w:p>
    <w:p>
      <w:pPr>
        <w:pStyle w:val="Compact"/>
        <w:numPr>
          <w:numId w:val="1028"/>
          <w:ilvl w:val="0"/>
        </w:numPr>
      </w:pPr>
      <w:r>
        <w:t xml:space="preserve">Typo</w:t>
      </w:r>
    </w:p>
    <w:p>
      <w:pPr>
        <w:pStyle w:val="Compact"/>
        <w:numPr>
          <w:numId w:val="1028"/>
          <w:ilvl w:val="0"/>
        </w:numPr>
      </w:pPr>
      <w:r>
        <w:t xml:space="preserve">WFormat</w:t>
      </w:r>
    </w:p>
    <w:p>
      <w:r>
        <w:t xml:space="preserve">Those variables will be digitized and checked frequently by the database curators.</w:t>
      </w:r>
    </w:p>
    <w:p>
      <w:r>
        <w:t xml:space="preserve">For COMPADRinos to get an idea of what kingdom, class etc means:</w:t>
      </w:r>
    </w:p>
    <w:p>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77"/>
                    <a:stretch>
                      <a:fillRect/>
                    </a:stretch>
                  </pic:blipFill>
                  <pic:spPr bwMode="auto">
                    <a:xfrm>
                      <a:off x="0" y="0"/>
                      <a:ext cx="2374900" cy="6096000"/>
                    </a:xfrm>
                    <a:prstGeom prst="rect">
                      <a:avLst/>
                    </a:prstGeom>
                    <a:noFill/>
                    <a:ln w="9525">
                      <a:noFill/>
                      <a:headEnd/>
                      <a:tailEnd/>
                    </a:ln>
                  </pic:spPr>
                </pic:pic>
              </a:graphicData>
            </a:graphic>
          </wp:inline>
        </w:drawing>
      </w:r>
    </w:p>
    <w:p>
      <w:r>
        <w:pict>
          <v:rect style="width:0;height:1.5pt" o:hralign="center" o:hrstd="t" o:hr="t"/>
        </w:pict>
      </w:r>
    </w:p>
    <w:p>
      <w:pPr>
        <w:pStyle w:val="Heading1"/>
      </w:pPr>
      <w:bookmarkStart w:id="78" w:name="stacked-matrix-files"/>
      <w:bookmarkEnd w:id="78"/>
      <w:r>
        <w:t xml:space="preserve">STACKED MATRIX FILES</w:t>
      </w:r>
    </w:p>
    <w:p>
      <w:r>
        <w:pict>
          <v:rect style="width:0;height:1.5pt" o:hralign="center" o:hrstd="t" o:hr="t"/>
        </w:pict>
      </w:r>
    </w:p>
    <w:p>
      <w:pPr>
        <w:pStyle w:val="Heading2"/>
      </w:pPr>
      <w:bookmarkStart w:id="79" w:name="enteredby"/>
      <w:bookmarkEnd w:id="79"/>
      <w:r>
        <w:t xml:space="preserve">EnteredBy</w:t>
      </w:r>
    </w:p>
    <w:p>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0" w:name="entereddate"/>
      <w:bookmarkEnd w:id="80"/>
      <w:r>
        <w:t xml:space="preserve">EnteredDate</w:t>
      </w:r>
    </w:p>
    <w:p>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1" w:name="source"/>
      <w:bookmarkEnd w:id="81"/>
      <w:r>
        <w:t xml:space="preserve">Source</w:t>
      </w:r>
    </w:p>
    <w:p>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9"/>
          <w:ilvl w:val="0"/>
        </w:numPr>
      </w:pPr>
      <w:r>
        <w:t xml:space="preserve">Author communication - Matrices derived from personal communication with author.</w:t>
      </w:r>
    </w:p>
    <w:p>
      <w:pPr>
        <w:pStyle w:val="Compact"/>
        <w:numPr>
          <w:numId w:val="1029"/>
          <w:ilvl w:val="0"/>
        </w:numPr>
      </w:pPr>
      <w:r>
        <w:t xml:space="preserve">Paper - Matrices derived from a published manuscript</w:t>
      </w:r>
    </w:p>
    <w:p>
      <w:pPr>
        <w:pStyle w:val="Compact"/>
        <w:numPr>
          <w:numId w:val="1029"/>
          <w:ilvl w:val="0"/>
        </w:numPr>
      </w:pPr>
      <w:r>
        <w:t xml:space="preserve">Old matrices - Matrices derived from an old matrices file (no more detailed description is available)</w:t>
      </w:r>
    </w:p>
    <w:p>
      <w:pPr>
        <w:pStyle w:val="Compact"/>
        <w:numPr>
          <w:numId w:val="1029"/>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9"/>
          <w:ilvl w:val="0"/>
        </w:numPr>
      </w:pPr>
      <w:r>
        <w:t xml:space="preserve">Online appendix - Matrices derived from the online appendix of publication</w:t>
      </w:r>
    </w:p>
    <w:p>
      <w:pPr>
        <w:pStyle w:val="Compact"/>
        <w:numPr>
          <w:numId w:val="1029"/>
          <w:ilvl w:val="0"/>
        </w:numPr>
      </w:pPr>
      <w:r>
        <w:t xml:space="preserve">Book - Matrices derived from a book</w:t>
      </w:r>
    </w:p>
    <w:p>
      <w:pPr>
        <w:pStyle w:val="Compact"/>
        <w:numPr>
          <w:numId w:val="1029"/>
          <w:ilvl w:val="0"/>
        </w:numPr>
      </w:pPr>
      <w:r>
        <w:t xml:space="preserve">Other sources - Matrices derived from any other source.</w:t>
      </w:r>
    </w:p>
    <w:p>
      <w:r>
        <w:pict>
          <v:rect style="width:0;height:1.5pt" o:hralign="center" o:hrstd="t" o:hr="t"/>
        </w:pict>
      </w:r>
    </w:p>
    <w:p>
      <w:pPr>
        <w:pStyle w:val="Heading2"/>
      </w:pPr>
      <w:bookmarkStart w:id="82" w:name="speciesauthor-1"/>
      <w:bookmarkEnd w:id="82"/>
      <w:r>
        <w:t xml:space="preserve">SpeciesAuthor</w:t>
      </w:r>
    </w:p>
    <w:p>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3" w:name="studiedsex"/>
      <w:bookmarkEnd w:id="83"/>
      <w:r>
        <w:t xml:space="preserve">StudiedSex</w:t>
      </w:r>
    </w:p>
    <w:p>
      <w:r>
        <w:t xml:space="preserve">Indication of the sex(es) considered when constructing the matrix population model.</w:t>
      </w:r>
    </w:p>
    <w:p>
      <w:pPr>
        <w:pStyle w:val="Compact"/>
        <w:numPr>
          <w:numId w:val="1030"/>
          <w:ilvl w:val="0"/>
        </w:numPr>
      </w:pPr>
      <w:r>
        <w:t xml:space="preserve">M - Studied only males</w:t>
      </w:r>
    </w:p>
    <w:p>
      <w:pPr>
        <w:pStyle w:val="Compact"/>
        <w:numPr>
          <w:numId w:val="1030"/>
          <w:ilvl w:val="0"/>
        </w:numPr>
      </w:pPr>
      <w:r>
        <w:t xml:space="preserve">F - Studied only females</w:t>
      </w:r>
    </w:p>
    <w:p>
      <w:pPr>
        <w:pStyle w:val="Compact"/>
        <w:numPr>
          <w:numId w:val="1030"/>
          <w:ilvl w:val="0"/>
        </w:numPr>
      </w:pPr>
      <w:r>
        <w:t xml:space="preserve">H - Hermaphrodites</w:t>
      </w:r>
    </w:p>
    <w:p>
      <w:pPr>
        <w:pStyle w:val="Compact"/>
        <w:numPr>
          <w:numId w:val="1030"/>
          <w:ilvl w:val="0"/>
        </w:numPr>
      </w:pPr>
      <w:r>
        <w:t xml:space="preserve">M/F - Males and females separately in the same population matrix model</w:t>
      </w:r>
    </w:p>
    <w:p>
      <w:pPr>
        <w:pStyle w:val="Compact"/>
        <w:numPr>
          <w:numId w:val="1030"/>
          <w:ilvl w:val="0"/>
        </w:numPr>
      </w:pPr>
      <w:r>
        <w:t xml:space="preserve">A - All sexes together</w:t>
      </w:r>
    </w:p>
    <w:p>
      <w:r>
        <w:pict>
          <v:rect style="width:0;height:1.5pt" o:hralign="center" o:hrstd="t" o:hr="t"/>
        </w:pict>
      </w:r>
    </w:p>
    <w:p>
      <w:pPr>
        <w:pStyle w:val="Heading2"/>
      </w:pPr>
      <w:bookmarkStart w:id="84" w:name="matrixcomposite"/>
      <w:bookmarkEnd w:id="84"/>
      <w:r>
        <w:t xml:space="preserve">MatrixComposite</w:t>
      </w:r>
    </w:p>
    <w:p>
      <w:r>
        <w:t xml:space="preserve">Indicates the type of matrix population model (See the figure below for more information).</w:t>
      </w:r>
    </w:p>
    <w:p>
      <w:pPr>
        <w:pStyle w:val="Compact"/>
        <w:numPr>
          <w:numId w:val="1031"/>
          <w:ilvl w:val="0"/>
        </w:numPr>
      </w:pPr>
      <w:r>
        <w:t xml:space="preserve">Individual - A matrix population model constructed for a single study × species × population × treatment × period combination</w:t>
      </w:r>
    </w:p>
    <w:p>
      <w:pPr>
        <w:pStyle w:val="Compact"/>
        <w:numPr>
          <w:numId w:val="1031"/>
          <w:ilvl w:val="0"/>
        </w:numPr>
      </w:pPr>
      <w:r>
        <w:t xml:space="preserve">Mean - An average (arithmetic mean) of other matrix population models (e.g. element-by-element arithmetic mean of a population's matrices across several time periods available)</w:t>
      </w:r>
    </w:p>
    <w:p>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calculated/digitized in the database.</w:t>
      </w:r>
    </w:p>
    <w:p>
      <w:pPr>
        <w:numPr>
          <w:numId w:val="1032"/>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2"/>
          <w:ilvl w:val="0"/>
        </w:numPr>
      </w:pPr>
      <w:r>
        <w:t xml:space="preserve">Seasonal - A matrix population model that does not describe a full annual transition, but rather a seasonal (&lt; 1 yr) transition</w:t>
      </w:r>
    </w:p>
    <w:p>
      <w:r>
        <w:t xml:space="preserve">A matrix can be seasonal even if a it is constructed over several years e.g. spring in years 2000-2012. Make sure you detail that there are multiple years data in the observation column.</w:t>
      </w:r>
    </w:p>
    <w:p>
      <w:r>
        <w:drawing>
          <wp:inline>
            <wp:extent cx="5440680" cy="3848436"/>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85"/>
                    <a:stretch>
                      <a:fillRect/>
                    </a:stretch>
                  </pic:blipFill>
                  <pic:spPr bwMode="auto">
                    <a:xfrm>
                      <a:off x="0" y="0"/>
                      <a:ext cx="5440680" cy="3848436"/>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86" w:name="matrixtreatment"/>
      <w:bookmarkEnd w:id="86"/>
      <w:r>
        <w:t xml:space="preserve">MatrixTreatment</w:t>
      </w:r>
    </w:p>
    <w:p>
      <w:r>
        <w:t xml:space="preserve">Describes if a treatment was applied or not, and the nature of the treatment.</w:t>
      </w:r>
    </w:p>
    <w:p>
      <w:pPr>
        <w:numPr>
          <w:numId w:val="1033"/>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3"/>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87" w:name="matrixcaptivity"/>
      <w:bookmarkEnd w:id="87"/>
      <w:r>
        <w:t xml:space="preserve">MatrixCaptivity</w:t>
      </w:r>
    </w:p>
    <w:p>
      <w:r>
        <w:t xml:space="preserve">Indicates whether the study species was studied in the wild or under controlled conditions for most of its life cycle.</w:t>
      </w:r>
    </w:p>
    <w:p>
      <w:pPr>
        <w:pStyle w:val="Compact"/>
        <w:numPr>
          <w:numId w:val="1034"/>
          <w:ilvl w:val="0"/>
        </w:numPr>
      </w:pPr>
      <w:r>
        <w:rPr>
          <w:b/>
        </w:rPr>
        <w:t xml:space="preserve">W</w:t>
      </w:r>
      <w:r>
        <w:t xml:space="preserve"> </w:t>
      </w:r>
      <w:r>
        <w:t xml:space="preserve">- Wild: the study was carried out in natural conditions.</w:t>
      </w:r>
    </w:p>
    <w:p>
      <w:pPr>
        <w:pStyle w:val="Compact"/>
        <w:numPr>
          <w:numId w:val="1034"/>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4"/>
          <w:ilvl w:val="0"/>
        </w:numPr>
      </w:pPr>
      <w:r>
        <w:rPr>
          <w:b/>
        </w:rPr>
        <w:t xml:space="preserve">CW</w:t>
      </w:r>
      <w:r>
        <w:t xml:space="preserve"> </w:t>
      </w:r>
      <w:r>
        <w:t xml:space="preserve">- Captured from wild: the study was carried out on a population that was captured from wild.</w:t>
      </w:r>
    </w:p>
    <w:p>
      <w:pPr>
        <w:pStyle w:val="Compact"/>
        <w:numPr>
          <w:numId w:val="1034"/>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88" w:name="yearseasonmonth"/>
      <w:bookmarkEnd w:id="88"/>
      <w:r>
        <w:t xml:space="preserve">YEAR/SEASON/MONTH</w:t>
      </w:r>
    </w:p>
    <w:p>
      <w:r>
        <w:t xml:space="preserve">These 6 columns describe the temporal aspects of the study for each matrix.</w:t>
      </w:r>
    </w:p>
    <w:p>
      <w:pPr>
        <w:pStyle w:val="Heading3"/>
      </w:pPr>
      <w:bookmarkStart w:id="89" w:name="matrixstartyear"/>
      <w:bookmarkEnd w:id="89"/>
      <w:r>
        <w:t xml:space="preserve">MatrixStartYear</w:t>
      </w:r>
    </w:p>
    <w:p>
      <w:r>
        <w:t xml:space="preserve">First year of study. Year</w:t>
      </w:r>
      <w:r>
        <w:t xml:space="preserve"> </w:t>
      </w:r>
      <m:oMath>
        <m:r>
          <m:rPr>
            <m:sty m:val="p"/>
          </m:rPr>
          <m:t>t</m:t>
        </m:r>
      </m:oMath>
      <w:r>
        <w:t xml:space="preserve"> </w:t>
      </w:r>
      <w:r>
        <w:t xml:space="preserve">in annual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1995.</w:t>
      </w:r>
    </w:p>
    <w:p>
      <w:r>
        <w:pict>
          <v:rect style="width:0;height:1.5pt" o:hralign="center" o:hrstd="t" o:hr="t"/>
        </w:pict>
      </w:r>
    </w:p>
    <w:p>
      <w:pPr>
        <w:pStyle w:val="Heading2"/>
      </w:pPr>
      <w:bookmarkStart w:id="90" w:name="matrixstartseason"/>
      <w:bookmarkEnd w:id="90"/>
      <w:r>
        <w:t xml:space="preserve">MatrixStartSeason</w:t>
      </w:r>
    </w:p>
    <w:p>
      <w:r>
        <w:t xml:space="preserve">Numeric indication of the first season of study. Season</w:t>
      </w:r>
      <w:r>
        <w:t xml:space="preserve"> </w:t>
      </w:r>
      <m:oMath>
        <m:r>
          <m:rPr>
            <m:sty m:val="p"/>
          </m:rPr>
          <m:t>s</m:t>
        </m:r>
      </m:oMath>
      <w:r>
        <w:t xml:space="preserve"> </w:t>
      </w:r>
      <w:r>
        <w:t xml:space="preserve">in periodic matrix population model that describes population dynamics from season</w:t>
      </w:r>
      <w:r>
        <w:t xml:space="preserve"> </w:t>
      </w:r>
      <m:oMath>
        <m:r>
          <m:rPr>
            <m:sty m:val="p"/>
          </m:rPr>
          <m:t>s</m:t>
        </m:r>
      </m:oMath>
      <w:r>
        <w:t xml:space="preserve"> </w:t>
      </w:r>
      <w:r>
        <w:t xml:space="preserve">to</w:t>
      </w:r>
      <w:r>
        <w:t xml:space="preserve"> </w:t>
      </w:r>
      <m:oMath>
        <m:r>
          <m:rPr>
            <m:sty m:val="p"/>
          </m:rPr>
          <m:t>s</m:t>
        </m:r>
        <m:r>
          <m:rPr>
            <m:sty m:val="p"/>
          </m:rPr>
          <m:t>+</m:t>
        </m:r>
        <m:r>
          <m:rPr>
            <m:sty m:val="p"/>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5"/>
          <w:ilvl w:val="0"/>
        </w:numPr>
      </w:pPr>
      <w:r>
        <w:t xml:space="preserve">Spring</w:t>
      </w:r>
    </w:p>
    <w:p>
      <w:pPr>
        <w:pStyle w:val="Compact"/>
        <w:numPr>
          <w:numId w:val="1035"/>
          <w:ilvl w:val="0"/>
        </w:numPr>
      </w:pPr>
      <w:r>
        <w:t xml:space="preserve">Summer</w:t>
      </w:r>
    </w:p>
    <w:p>
      <w:pPr>
        <w:pStyle w:val="Compact"/>
        <w:numPr>
          <w:numId w:val="1035"/>
          <w:ilvl w:val="0"/>
        </w:numPr>
      </w:pPr>
      <w:r>
        <w:t xml:space="preserve">Autumn or Fall</w:t>
      </w:r>
    </w:p>
    <w:p>
      <w:pPr>
        <w:pStyle w:val="Compact"/>
        <w:numPr>
          <w:numId w:val="1035"/>
          <w:ilvl w:val="0"/>
        </w:numPr>
      </w:pPr>
      <w:r>
        <w:t xml:space="preserve">Winter</w:t>
      </w:r>
    </w:p>
    <w:p>
      <w:r>
        <w:pict>
          <v:rect style="width:0;height:1.5pt" o:hralign="center" o:hrstd="t" o:hr="t"/>
        </w:pict>
      </w:r>
    </w:p>
    <w:p>
      <w:pPr>
        <w:pStyle w:val="Heading2"/>
      </w:pPr>
      <w:bookmarkStart w:id="91" w:name="matrixstartmonth"/>
      <w:bookmarkEnd w:id="91"/>
      <w:r>
        <w:t xml:space="preserve">MatrixStartMonth</w:t>
      </w:r>
    </w:p>
    <w:p>
      <w:r>
        <w:t xml:space="preserve">Numeric indication of the first month of study. Month</w:t>
      </w:r>
      <w:r>
        <w:t xml:space="preserve"> </w:t>
      </w:r>
      <m:oMath>
        <m:r>
          <m:rPr>
            <m:sty m:val="p"/>
          </m:rPr>
          <m:t>m</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p>
    <w:p>
      <w:pPr>
        <w:pStyle w:val="Compact"/>
        <w:numPr>
          <w:numId w:val="1036"/>
          <w:ilvl w:val="0"/>
        </w:numPr>
      </w:pPr>
      <w:r>
        <w:t xml:space="preserve">January</w:t>
      </w:r>
    </w:p>
    <w:p>
      <w:pPr>
        <w:pStyle w:val="Compact"/>
        <w:numPr>
          <w:numId w:val="1036"/>
          <w:ilvl w:val="0"/>
        </w:numPr>
      </w:pPr>
      <w:r>
        <w:t xml:space="preserve">February</w:t>
      </w:r>
    </w:p>
    <w:p>
      <w:pPr>
        <w:pStyle w:val="Compact"/>
        <w:numPr>
          <w:numId w:val="1036"/>
          <w:ilvl w:val="0"/>
        </w:numPr>
      </w:pPr>
      <w:r>
        <w:t xml:space="preserve">March</w:t>
      </w:r>
    </w:p>
    <w:p>
      <w:pPr>
        <w:pStyle w:val="Compact"/>
        <w:numPr>
          <w:numId w:val="1036"/>
          <w:ilvl w:val="0"/>
        </w:numPr>
      </w:pPr>
      <w:r>
        <w:t xml:space="preserve">April</w:t>
      </w:r>
    </w:p>
    <w:p>
      <w:pPr>
        <w:pStyle w:val="Compact"/>
        <w:numPr>
          <w:numId w:val="1036"/>
          <w:ilvl w:val="0"/>
        </w:numPr>
      </w:pPr>
      <w:r>
        <w:t xml:space="preserve">May</w:t>
      </w:r>
    </w:p>
    <w:p>
      <w:pPr>
        <w:pStyle w:val="Compact"/>
        <w:numPr>
          <w:numId w:val="1036"/>
          <w:ilvl w:val="0"/>
        </w:numPr>
      </w:pPr>
      <w:r>
        <w:t xml:space="preserve">June</w:t>
      </w:r>
    </w:p>
    <w:p>
      <w:pPr>
        <w:pStyle w:val="Compact"/>
        <w:numPr>
          <w:numId w:val="1036"/>
          <w:ilvl w:val="0"/>
        </w:numPr>
      </w:pPr>
      <w:r>
        <w:t xml:space="preserve">July</w:t>
      </w:r>
    </w:p>
    <w:p>
      <w:pPr>
        <w:pStyle w:val="Compact"/>
        <w:numPr>
          <w:numId w:val="1036"/>
          <w:ilvl w:val="0"/>
        </w:numPr>
      </w:pPr>
      <w:r>
        <w:t xml:space="preserve">August</w:t>
      </w:r>
    </w:p>
    <w:p>
      <w:pPr>
        <w:pStyle w:val="Compact"/>
        <w:numPr>
          <w:numId w:val="1036"/>
          <w:ilvl w:val="0"/>
        </w:numPr>
      </w:pPr>
      <w:r>
        <w:t xml:space="preserve">September</w:t>
      </w:r>
    </w:p>
    <w:p>
      <w:pPr>
        <w:pStyle w:val="Compact"/>
        <w:numPr>
          <w:numId w:val="1036"/>
          <w:ilvl w:val="0"/>
        </w:numPr>
      </w:pPr>
      <w:r>
        <w:t xml:space="preserve">October</w:t>
      </w:r>
    </w:p>
    <w:p>
      <w:pPr>
        <w:pStyle w:val="Compact"/>
        <w:numPr>
          <w:numId w:val="1036"/>
          <w:ilvl w:val="0"/>
        </w:numPr>
      </w:pPr>
      <w:r>
        <w:t xml:space="preserve">November</w:t>
      </w:r>
    </w:p>
    <w:p>
      <w:pPr>
        <w:pStyle w:val="Compact"/>
        <w:numPr>
          <w:numId w:val="1036"/>
          <w:ilvl w:val="0"/>
        </w:numPr>
      </w:pPr>
      <w:r>
        <w:t xml:space="preserve">December</w:t>
      </w:r>
    </w:p>
    <w:p>
      <w:r>
        <w:pict>
          <v:rect style="width:0;height:1.5pt" o:hralign="center" o:hrstd="t" o:hr="t"/>
        </w:pict>
      </w:r>
    </w:p>
    <w:p>
      <w:pPr>
        <w:pStyle w:val="Heading2"/>
      </w:pPr>
      <w:bookmarkStart w:id="92" w:name="matrixendyear"/>
      <w:bookmarkEnd w:id="92"/>
      <w:r>
        <w:t xml:space="preserve">MatrixEndYear</w:t>
      </w:r>
    </w:p>
    <w:p>
      <w:r>
        <w:t xml:space="preserve">Last year of study. Year</w:t>
      </w:r>
      <w:r>
        <w:t xml:space="preserve"> </w:t>
      </w:r>
      <m:oMath>
        <m:r>
          <m:rPr>
            <m:sty m:val="p"/>
          </m:rPr>
          <m:t>t</m:t>
        </m:r>
        <m:r>
          <m:rPr>
            <m:sty m:val="p"/>
          </m:rPr>
          <m:t>+</m:t>
        </m:r>
        <m:r>
          <m:rPr>
            <m:sty m:val="p"/>
          </m:rPr>
          <m:t>1</m:t>
        </m:r>
      </m:oMath>
      <w:r>
        <w:t xml:space="preserve"> </w:t>
      </w:r>
      <w:r>
        <w:t xml:space="preserve">in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2001.</w:t>
      </w:r>
    </w:p>
    <w:p>
      <w:r>
        <w:pict>
          <v:rect style="width:0;height:1.5pt" o:hralign="center" o:hrstd="t" o:hr="t"/>
        </w:pict>
      </w:r>
    </w:p>
    <w:p>
      <w:pPr>
        <w:pStyle w:val="Heading2"/>
      </w:pPr>
      <w:bookmarkStart w:id="93" w:name="matrixendseason"/>
      <w:bookmarkEnd w:id="93"/>
      <w:r>
        <w:t xml:space="preserve">MatrixEndSeason</w:t>
      </w:r>
    </w:p>
    <w:p>
      <w:r>
        <w:t xml:space="preserve">Numeric indication of the end season of the matrix.</w:t>
      </w:r>
    </w:p>
    <w:p>
      <w:pPr>
        <w:pStyle w:val="Compact"/>
        <w:numPr>
          <w:numId w:val="1037"/>
          <w:ilvl w:val="0"/>
        </w:numPr>
      </w:pPr>
      <w:r>
        <w:t xml:space="preserve">Spring</w:t>
      </w:r>
    </w:p>
    <w:p>
      <w:pPr>
        <w:pStyle w:val="Compact"/>
        <w:numPr>
          <w:numId w:val="1037"/>
          <w:ilvl w:val="0"/>
        </w:numPr>
      </w:pPr>
      <w:r>
        <w:t xml:space="preserve">Summer</w:t>
      </w:r>
    </w:p>
    <w:p>
      <w:pPr>
        <w:pStyle w:val="Compact"/>
        <w:numPr>
          <w:numId w:val="1037"/>
          <w:ilvl w:val="0"/>
        </w:numPr>
      </w:pPr>
      <w:r>
        <w:t xml:space="preserve">Autumn or Fall</w:t>
      </w:r>
    </w:p>
    <w:p>
      <w:pPr>
        <w:pStyle w:val="Compact"/>
        <w:numPr>
          <w:numId w:val="1037"/>
          <w:ilvl w:val="0"/>
        </w:numPr>
      </w:pPr>
      <w:r>
        <w:t xml:space="preserve">Winter</w:t>
      </w:r>
    </w:p>
    <w:p>
      <w:r>
        <w:pict>
          <v:rect style="width:0;height:1.5pt" o:hralign="center" o:hrstd="t" o:hr="t"/>
        </w:pict>
      </w:r>
    </w:p>
    <w:p>
      <w:pPr>
        <w:pStyle w:val="Heading2"/>
      </w:pPr>
      <w:bookmarkStart w:id="94" w:name="matrixendmonth"/>
      <w:bookmarkEnd w:id="94"/>
      <w:r>
        <w:t xml:space="preserve">MatrixEndMonth</w:t>
      </w:r>
    </w:p>
    <w:p>
      <w:r>
        <w:t xml:space="preserve">Numeric indication of the last month</w:t>
      </w:r>
      <w:r>
        <w:t xml:space="preserve"> </w:t>
      </w:r>
      <m:oMath>
        <m:r>
          <m:rPr>
            <m:sty m:val="p"/>
          </m:rPr>
          <m:t>m</m:t>
        </m:r>
      </m:oMath>
      <w:r>
        <w:t xml:space="preserve"> </w:t>
      </w:r>
      <w:r>
        <w:t xml:space="preserve">of study. Month</w:t>
      </w:r>
      <w:r>
        <w:t xml:space="preserve"> </w:t>
      </w:r>
      <m:oMath>
        <m:r>
          <m:rPr>
            <m:sty m:val="p"/>
          </m:rPr>
          <m:t>m</m:t>
        </m:r>
        <m:r>
          <m:rPr>
            <m:sty m:val="p"/>
          </m:rPr>
          <m:t>+</m:t>
        </m:r>
        <m:r>
          <m:rPr>
            <m:sty m:val="p"/>
          </m:rPr>
          <m:t>1</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r>
        <w:t xml:space="preserve">.</w:t>
      </w:r>
    </w:p>
    <w:p>
      <w:pPr>
        <w:pStyle w:val="Compact"/>
        <w:numPr>
          <w:numId w:val="1038"/>
          <w:ilvl w:val="0"/>
        </w:numPr>
      </w:pPr>
      <w:r>
        <w:t xml:space="preserve">January</w:t>
      </w:r>
    </w:p>
    <w:p>
      <w:pPr>
        <w:pStyle w:val="Compact"/>
        <w:numPr>
          <w:numId w:val="1038"/>
          <w:ilvl w:val="0"/>
        </w:numPr>
      </w:pPr>
      <w:r>
        <w:t xml:space="preserve">February</w:t>
      </w:r>
    </w:p>
    <w:p>
      <w:pPr>
        <w:pStyle w:val="Compact"/>
        <w:numPr>
          <w:numId w:val="1038"/>
          <w:ilvl w:val="0"/>
        </w:numPr>
      </w:pPr>
      <w:r>
        <w:t xml:space="preserve">March</w:t>
      </w:r>
    </w:p>
    <w:p>
      <w:pPr>
        <w:pStyle w:val="Compact"/>
        <w:numPr>
          <w:numId w:val="1038"/>
          <w:ilvl w:val="0"/>
        </w:numPr>
      </w:pPr>
      <w:r>
        <w:t xml:space="preserve">April</w:t>
      </w:r>
    </w:p>
    <w:p>
      <w:pPr>
        <w:pStyle w:val="Compact"/>
        <w:numPr>
          <w:numId w:val="1038"/>
          <w:ilvl w:val="0"/>
        </w:numPr>
      </w:pPr>
      <w:r>
        <w:t xml:space="preserve">May</w:t>
      </w:r>
    </w:p>
    <w:p>
      <w:pPr>
        <w:pStyle w:val="Compact"/>
        <w:numPr>
          <w:numId w:val="1038"/>
          <w:ilvl w:val="0"/>
        </w:numPr>
      </w:pPr>
      <w:r>
        <w:t xml:space="preserve">June</w:t>
      </w:r>
    </w:p>
    <w:p>
      <w:pPr>
        <w:pStyle w:val="Compact"/>
        <w:numPr>
          <w:numId w:val="1038"/>
          <w:ilvl w:val="0"/>
        </w:numPr>
      </w:pPr>
      <w:r>
        <w:t xml:space="preserve">July</w:t>
      </w:r>
    </w:p>
    <w:p>
      <w:pPr>
        <w:pStyle w:val="Compact"/>
        <w:numPr>
          <w:numId w:val="1038"/>
          <w:ilvl w:val="0"/>
        </w:numPr>
      </w:pPr>
      <w:r>
        <w:t xml:space="preserve">August</w:t>
      </w:r>
    </w:p>
    <w:p>
      <w:pPr>
        <w:pStyle w:val="Compact"/>
        <w:numPr>
          <w:numId w:val="1038"/>
          <w:ilvl w:val="0"/>
        </w:numPr>
      </w:pPr>
      <w:r>
        <w:t xml:space="preserve">September</w:t>
      </w:r>
    </w:p>
    <w:p>
      <w:pPr>
        <w:pStyle w:val="Compact"/>
        <w:numPr>
          <w:numId w:val="1038"/>
          <w:ilvl w:val="0"/>
        </w:numPr>
      </w:pPr>
      <w:r>
        <w:t xml:space="preserve">October</w:t>
      </w:r>
    </w:p>
    <w:p>
      <w:pPr>
        <w:pStyle w:val="Compact"/>
        <w:numPr>
          <w:numId w:val="1038"/>
          <w:ilvl w:val="0"/>
        </w:numPr>
      </w:pPr>
      <w:r>
        <w:t xml:space="preserve">November</w:t>
      </w:r>
    </w:p>
    <w:p>
      <w:pPr>
        <w:pStyle w:val="Compact"/>
        <w:numPr>
          <w:numId w:val="1038"/>
          <w:ilvl w:val="0"/>
        </w:numPr>
      </w:pPr>
      <w:r>
        <w:t xml:space="preserve">December</w:t>
      </w:r>
    </w:p>
    <w:p>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r>
        <w:t xml:space="preserve">This is how it possibly looks like (this is a 6x6 mean (the upper one) and individual (the lower one) matrix for the algae Alaria_nana)</w:t>
      </w:r>
    </w:p>
    <w:p>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95"/>
                    <a:stretch>
                      <a:fillRect/>
                    </a:stretch>
                  </pic:blipFill>
                  <pic:spPr bwMode="auto">
                    <a:xfrm>
                      <a:off x="0" y="0"/>
                      <a:ext cx="3835400" cy="29337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96" w:name="matrixpopulation"/>
      <w:bookmarkEnd w:id="96"/>
      <w:r>
        <w:t xml:space="preserve">MatrixPopulation</w:t>
      </w:r>
    </w:p>
    <w:p>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97" w:name="geolocation-columns"/>
      <w:bookmarkEnd w:id="97"/>
      <w:r>
        <w:t xml:space="preserve">Geolocation columns</w:t>
      </w:r>
    </w:p>
    <w:p>
      <w:r>
        <w:t xml:space="preserve">These 11 columns describes the location of each matrix.</w:t>
      </w:r>
    </w:p>
    <w:p>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98" w:name="latdeg-latmin-latsec"/>
      <w:bookmarkEnd w:id="98"/>
      <w:r>
        <w:t xml:space="preserve">LatDeg / LatMin / LatSec</w:t>
      </w:r>
    </w:p>
    <w:p>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99" w:name="latns"/>
      <w:bookmarkEnd w:id="99"/>
      <w:r>
        <w:t xml:space="preserve">LatNS</w:t>
      </w:r>
    </w:p>
    <w:p>
      <w:r>
        <w:t xml:space="preserve">Cardinal direction</w:t>
      </w:r>
    </w:p>
    <w:p>
      <w:pPr>
        <w:pStyle w:val="Compact"/>
        <w:numPr>
          <w:numId w:val="1039"/>
          <w:ilvl w:val="0"/>
        </w:numPr>
      </w:pPr>
      <w:r>
        <w:t xml:space="preserve">N - North</w:t>
      </w:r>
    </w:p>
    <w:p>
      <w:pPr>
        <w:pStyle w:val="Compact"/>
        <w:numPr>
          <w:numId w:val="1039"/>
          <w:ilvl w:val="0"/>
        </w:numPr>
      </w:pPr>
      <w:r>
        <w:t xml:space="preserve">S - South</w:t>
      </w:r>
    </w:p>
    <w:p>
      <w:r>
        <w:rPr>
          <w:b/>
        </w:rPr>
        <w:t xml:space="preserve">Note:</w:t>
      </w:r>
      <w:r>
        <w:t xml:space="preserve"> </w:t>
      </w:r>
      <w:r>
        <w:t xml:space="preserve">Cardinal direction might be given with a “+” or “-“ whereat “+” means North and “-“ means South.</w:t>
      </w:r>
    </w:p>
    <w:p>
      <w:pPr>
        <w:pStyle w:val="Heading3"/>
      </w:pPr>
      <w:bookmarkStart w:id="100" w:name="londeg-lonmin-lonsec"/>
      <w:bookmarkEnd w:id="100"/>
      <w:r>
        <w:t xml:space="preserve">LonDeg / LonMin / LonSec</w:t>
      </w:r>
    </w:p>
    <w:p>
      <w:r>
        <w:t xml:space="preserve">Records the degree (0-90), minute (0-60) and second (0-60) values of the locations of the matrix.</w:t>
      </w:r>
    </w:p>
    <w:p>
      <w:pPr>
        <w:pStyle w:val="Heading3"/>
      </w:pPr>
      <w:bookmarkStart w:id="101" w:name="lonwe"/>
      <w:bookmarkEnd w:id="101"/>
      <w:r>
        <w:t xml:space="preserve">LonWE</w:t>
      </w:r>
    </w:p>
    <w:p>
      <w:r>
        <w:t xml:space="preserve">Cardinal direction</w:t>
      </w:r>
    </w:p>
    <w:p>
      <w:pPr>
        <w:pStyle w:val="Compact"/>
        <w:numPr>
          <w:numId w:val="1040"/>
          <w:ilvl w:val="0"/>
        </w:numPr>
      </w:pPr>
      <w:r>
        <w:t xml:space="preserve">W - West</w:t>
      </w:r>
    </w:p>
    <w:p>
      <w:pPr>
        <w:pStyle w:val="Compact"/>
        <w:numPr>
          <w:numId w:val="1040"/>
          <w:ilvl w:val="0"/>
        </w:numPr>
      </w:pPr>
      <w:r>
        <w:t xml:space="preserve">E - East</w:t>
      </w:r>
    </w:p>
    <w:p>
      <w:r>
        <w:rPr>
          <w:b/>
        </w:rPr>
        <w:t xml:space="preserve">Note:</w:t>
      </w:r>
      <w:r>
        <w:t xml:space="preserve"> </w:t>
      </w:r>
      <w:r>
        <w:t xml:space="preserve">Cardinal direction might be given with a “+” or “-“ whereat “+” means East and “-“ means West.</w:t>
      </w:r>
    </w:p>
    <w:p>
      <w:pPr>
        <w:pStyle w:val="Heading3"/>
      </w:pPr>
      <w:bookmarkStart w:id="102" w:name="altitude"/>
      <w:bookmarkEnd w:id="102"/>
      <w:r>
        <w:t xml:space="preserve">Altitude</w:t>
      </w:r>
    </w:p>
    <w:p>
      <w:r>
        <w:t xml:space="preserve">Altitude of studied population in m = Height above sea level of specific population in meters e.g. 208m.</w:t>
      </w:r>
    </w:p>
    <w:p>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r>
        <w:drawing>
          <wp:inline>
            <wp:extent cx="5440680" cy="2304976"/>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3"/>
                    <a:stretch>
                      <a:fillRect/>
                    </a:stretch>
                  </pic:blipFill>
                  <pic:spPr bwMode="auto">
                    <a:xfrm>
                      <a:off x="0" y="0"/>
                      <a:ext cx="5440680" cy="2304976"/>
                    </a:xfrm>
                    <a:prstGeom prst="rect">
                      <a:avLst/>
                    </a:prstGeom>
                    <a:noFill/>
                    <a:ln w="9525">
                      <a:noFill/>
                      <a:headEnd/>
                      <a:tailEnd/>
                    </a:ln>
                  </pic:spPr>
                </pic:pic>
              </a:graphicData>
            </a:graphic>
          </wp:inline>
        </w:drawing>
      </w:r>
    </w:p>
    <w:p>
      <w:pPr>
        <w:pStyle w:val="Heading3"/>
      </w:pPr>
      <w:bookmarkStart w:id="104" w:name="country"/>
      <w:bookmarkEnd w:id="104"/>
      <w:r>
        <w:t xml:space="preserve">Country</w:t>
      </w:r>
    </w:p>
    <w:p>
      <w:r>
        <w:t xml:space="preserve">The ISO 3 Country Code(s) of where the study took place. If the study involves multiple countries, these are separated by "; ".</w:t>
      </w:r>
      <w:r>
        <w:t xml:space="preserve"> </w:t>
      </w:r>
      <w:hyperlink r:id="rId105">
        <w:r>
          <w:rPr>
            <w:rStyle w:val="Link"/>
          </w:rPr>
          <w:t xml:space="preserve">https://en.wikipedia.org/wiki/ISO_3166-1_alpha-3</w:t>
        </w:r>
      </w:hyperlink>
      <w:r>
        <w:t xml:space="preserve">.</w:t>
      </w:r>
    </w:p>
    <w:p>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06" w:name="continent"/>
      <w:bookmarkEnd w:id="106"/>
      <w:r>
        <w:t xml:space="preserve">Continent</w:t>
      </w:r>
    </w:p>
    <w:p>
      <w:r>
        <w:t xml:space="preserve">Continent where study took place</w:t>
      </w:r>
    </w:p>
    <w:p>
      <w:pPr>
        <w:pStyle w:val="Compact"/>
        <w:numPr>
          <w:numId w:val="1041"/>
          <w:ilvl w:val="0"/>
        </w:numPr>
      </w:pPr>
      <w:r>
        <w:t xml:space="preserve">Africa</w:t>
      </w:r>
    </w:p>
    <w:p>
      <w:pPr>
        <w:pStyle w:val="Compact"/>
        <w:numPr>
          <w:numId w:val="1041"/>
          <w:ilvl w:val="0"/>
        </w:numPr>
      </w:pPr>
      <w:r>
        <w:t xml:space="preserve">Asia</w:t>
      </w:r>
    </w:p>
    <w:p>
      <w:pPr>
        <w:pStyle w:val="Compact"/>
        <w:numPr>
          <w:numId w:val="1041"/>
          <w:ilvl w:val="0"/>
        </w:numPr>
      </w:pPr>
      <w:r>
        <w:t xml:space="preserve">Europe</w:t>
      </w:r>
    </w:p>
    <w:p>
      <w:pPr>
        <w:pStyle w:val="Compact"/>
        <w:numPr>
          <w:numId w:val="1041"/>
          <w:ilvl w:val="0"/>
        </w:numPr>
      </w:pPr>
      <w:r>
        <w:t xml:space="preserve">N America (includes Canada, USA and Mexico)</w:t>
      </w:r>
    </w:p>
    <w:p>
      <w:pPr>
        <w:pStyle w:val="Compact"/>
        <w:numPr>
          <w:numId w:val="1041"/>
          <w:ilvl w:val="0"/>
        </w:numPr>
      </w:pPr>
      <w:r>
        <w:t xml:space="preserve">S America (the rest of the countries in the Americas)</w:t>
      </w:r>
    </w:p>
    <w:p>
      <w:pPr>
        <w:pStyle w:val="Compact"/>
        <w:numPr>
          <w:numId w:val="1041"/>
          <w:ilvl w:val="0"/>
        </w:numPr>
      </w:pPr>
      <w:r>
        <w:t xml:space="preserve">Antarctica</w:t>
      </w:r>
    </w:p>
    <w:p>
      <w:pPr>
        <w:pStyle w:val="Compact"/>
        <w:numPr>
          <w:numId w:val="1041"/>
          <w:ilvl w:val="0"/>
        </w:numPr>
      </w:pPr>
      <w:r>
        <w:t xml:space="preserve">Oceania (various definitions for Oceania exist, but here we opted for this one:</w:t>
      </w:r>
      <w:r>
        <w:t xml:space="preserve"> </w:t>
      </w:r>
      <w:hyperlink r:id="rId107">
        <w:r>
          <w:rPr>
            <w:rStyle w:val="Link"/>
          </w:rPr>
          <w:t xml:space="preserve">https://en.wikipedia.org/wiki/List_of_Oceanian_countries_by_population</w:t>
        </w:r>
      </w:hyperlink>
      <w:r>
        <w:t xml:space="preserve">)</w:t>
      </w:r>
    </w:p>
    <w:p>
      <w:pPr>
        <w:pStyle w:val="Heading3"/>
      </w:pPr>
      <w:bookmarkStart w:id="108" w:name="general-notes-on-location-information"/>
      <w:bookmarkEnd w:id="108"/>
      <w:r>
        <w:t xml:space="preserve">General notes on location information</w:t>
      </w:r>
    </w:p>
    <w:p>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r>
        <w:t xml:space="preserve">This is how it possibly looks like (this is a 6x6 mean (the upper one) and individual (the lower one) matrix for the algae Alaria_nana)</w:t>
      </w:r>
    </w:p>
    <w:p>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09"/>
                    <a:stretch>
                      <a:fillRect/>
                    </a:stretch>
                  </pic:blipFill>
                  <pic:spPr bwMode="auto">
                    <a:xfrm>
                      <a:off x="0" y="0"/>
                      <a:ext cx="3695700" cy="23368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0" w:name="matrixsplit"/>
      <w:bookmarkEnd w:id="110"/>
      <w:r>
        <w:t xml:space="preserve">MatrixSplit</w:t>
      </w:r>
    </w:p>
    <w:p>
      <w:r>
        <w:t xml:space="preserve">Indicates the type of matrix population model, i.e. can A it be divided into U, F and C sub-matrices? If a matrix is divisible, we divide it! Then always insert all sub-matrices – even if e.g. C only has zeros!</w:t>
      </w:r>
    </w:p>
    <w:p>
      <w:pPr>
        <w:pStyle w:val="Compact"/>
        <w:numPr>
          <w:numId w:val="1042"/>
          <w:ilvl w:val="0"/>
        </w:numPr>
      </w:pPr>
      <w:r>
        <w:t xml:space="preserve">Divided - The matrix population model A has successfully been divided into the process-based sub matrices U, F and C.</w:t>
      </w:r>
    </w:p>
    <w:p>
      <w:pPr>
        <w:pStyle w:val="Compact"/>
        <w:numPr>
          <w:numId w:val="1042"/>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r>
        <w:t xml:space="preserve">This is how it possibly looks like (these are two divisible 4x4 matrices for the herb</w:t>
      </w:r>
      <w:r>
        <w:t xml:space="preserve"> </w:t>
      </w:r>
      <w:r>
        <w:rPr>
          <w:i/>
        </w:rPr>
        <w:t xml:space="preserve">Dactylorhiza lapponica</w:t>
      </w:r>
      <w:r>
        <w:t xml:space="preserve">):</w:t>
      </w:r>
    </w:p>
    <w:p>
      <w:r>
        <w:drawing>
          <wp:inline>
            <wp:extent cx="5440680" cy="1148315"/>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1"/>
                    <a:stretch>
                      <a:fillRect/>
                    </a:stretch>
                  </pic:blipFill>
                  <pic:spPr bwMode="auto">
                    <a:xfrm>
                      <a:off x="0" y="0"/>
                      <a:ext cx="5440680" cy="1148315"/>
                    </a:xfrm>
                    <a:prstGeom prst="rect">
                      <a:avLst/>
                    </a:prstGeom>
                    <a:noFill/>
                    <a:ln w="9525">
                      <a:noFill/>
                      <a:headEnd/>
                      <a:tailEnd/>
                    </a:ln>
                  </pic:spPr>
                </pic:pic>
              </a:graphicData>
            </a:graphic>
          </wp:inline>
        </w:drawing>
      </w:r>
    </w:p>
    <w:p>
      <w:r>
        <w:t xml:space="preserve">This is how it possibly looks like (this is a indivisible 5x5 matrices for the herb</w:t>
      </w:r>
      <w:r>
        <w:t xml:space="preserve"> </w:t>
      </w:r>
      <w:r>
        <w:rPr>
          <w:i/>
        </w:rPr>
        <w:t xml:space="preserve">Syngonanthus nitens</w:t>
      </w:r>
      <w:r>
        <w:t xml:space="preserve">):</w:t>
      </w:r>
    </w:p>
    <w:p>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2"/>
                    <a:stretch>
                      <a:fillRect/>
                    </a:stretch>
                  </pic:blipFill>
                  <pic:spPr bwMode="auto">
                    <a:xfrm>
                      <a:off x="0" y="0"/>
                      <a:ext cx="3733800" cy="1536700"/>
                    </a:xfrm>
                    <a:prstGeom prst="rect">
                      <a:avLst/>
                    </a:prstGeom>
                    <a:noFill/>
                    <a:ln w="9525">
                      <a:noFill/>
                      <a:headEnd/>
                      <a:tailEnd/>
                    </a:ln>
                  </pic:spPr>
                </pic:pic>
              </a:graphicData>
            </a:graphic>
          </wp:inline>
        </w:drawing>
      </w:r>
    </w:p>
    <w:p>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r>
        <w:drawing>
          <wp:inline>
            <wp:extent cx="5440680" cy="7691696"/>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3"/>
                    <a:stretch>
                      <a:fillRect/>
                    </a:stretch>
                  </pic:blipFill>
                  <pic:spPr bwMode="auto">
                    <a:xfrm>
                      <a:off x="0" y="0"/>
                      <a:ext cx="5440680" cy="7691696"/>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4" w:name="observation"/>
      <w:bookmarkEnd w:id="114"/>
      <w:r>
        <w:t xml:space="preserve">Observation</w:t>
      </w:r>
    </w:p>
    <w:p>
      <w:r>
        <w:t xml:space="preserve">Any useful additional information about the population matrix model that is not provided elsewhere but may nonetheless be important (e.g. plant canopy, burning intervals, etc.)</w:t>
      </w:r>
    </w:p>
    <w:p>
      <w:r>
        <w:t xml:space="preserve">Some standardized sentences:</w:t>
      </w:r>
    </w:p>
    <w:p>
      <w:pPr>
        <w:pStyle w:val="Compact"/>
        <w:numPr>
          <w:numId w:val="1043"/>
          <w:ilvl w:val="0"/>
        </w:numPr>
      </w:pPr>
      <w:r>
        <w:t xml:space="preserve">The GPS coordinates were approximated to the closest geographic location described in the reference. (see Geolocation)</w:t>
      </w:r>
    </w:p>
    <w:p>
      <w:pPr>
        <w:pStyle w:val="Compact"/>
        <w:numPr>
          <w:numId w:val="1043"/>
          <w:ilvl w:val="0"/>
        </w:numPr>
      </w:pPr>
      <w:r>
        <w:t xml:space="preserve">GPS co-ordinates cited exactly as reported in original paper. These do not match written study site description. (see Geolocation)</w:t>
      </w:r>
    </w:p>
    <w:p>
      <w:pPr>
        <w:pStyle w:val="Compact"/>
        <w:numPr>
          <w:numId w:val="1043"/>
          <w:ilvl w:val="0"/>
        </w:numPr>
      </w:pPr>
      <w:r>
        <w:t xml:space="preserve">Geolocation / Altitude from descriptor: (if no matrices are enters yet but a geolocation information are available)</w:t>
      </w:r>
    </w:p>
    <w:p>
      <w:pPr>
        <w:pStyle w:val="Compact"/>
        <w:numPr>
          <w:numId w:val="1043"/>
          <w:ilvl w:val="0"/>
        </w:numPr>
      </w:pPr>
      <w:r>
        <w:t xml:space="preserve">Matrix is calculated with stochastic model</w:t>
      </w:r>
    </w:p>
    <w:p>
      <w:pPr>
        <w:pStyle w:val="Compact"/>
        <w:numPr>
          <w:numId w:val="1043"/>
          <w:ilvl w:val="0"/>
        </w:numPr>
      </w:pPr>
      <w:r>
        <w:t xml:space="preserve">X years since last fire</w:t>
      </w:r>
    </w:p>
    <w:p>
      <w:pPr>
        <w:pStyle w:val="Compact"/>
        <w:numPr>
          <w:numId w:val="1043"/>
          <w:ilvl w:val="0"/>
        </w:numPr>
      </w:pPr>
      <w:r>
        <w:t xml:space="preserve">Calculated with demographic data from Author JournalName YearPublished</w:t>
      </w:r>
    </w:p>
    <w:p>
      <w:pPr>
        <w:pStyle w:val="Compact"/>
        <w:numPr>
          <w:numId w:val="1043"/>
          <w:ilvl w:val="0"/>
        </w:numPr>
      </w:pPr>
      <w:r>
        <w:t xml:space="preserve">Data is from a greenhouse experiment</w:t>
      </w:r>
    </w:p>
    <w:p>
      <w:pPr>
        <w:pStyle w:val="Compact"/>
        <w:numPr>
          <w:numId w:val="1043"/>
          <w:ilvl w:val="0"/>
        </w:numPr>
      </w:pPr>
      <w:r>
        <w:t xml:space="preserve">MatrixClassAuthor is not clarified</w:t>
      </w:r>
    </w:p>
    <w:p>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15" w:name="matrixclassorganized"/>
      <w:bookmarkEnd w:id="115"/>
      <w:r>
        <w:t xml:space="preserve">MatrixClassOrganized</w:t>
      </w:r>
    </w:p>
    <w:p>
      <w:r>
        <w:t xml:space="preserve">We standardize all stages in a given population matrix model to one of three stages (prop, active, dorm) to facilitate analyses.</w:t>
      </w:r>
    </w:p>
    <w:p>
      <w:pPr>
        <w:pStyle w:val="Compact"/>
        <w:numPr>
          <w:numId w:val="1044"/>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4"/>
          <w:ilvl w:val="0"/>
        </w:numPr>
      </w:pPr>
      <w:r>
        <w:t xml:space="preserve">active - This includes stages that can neither be placed in the “prop” nor “dorm” (see below) stages.</w:t>
      </w:r>
    </w:p>
    <w:p>
      <w:pPr>
        <w:pStyle w:val="Compact"/>
        <w:numPr>
          <w:numId w:val="1044"/>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16" w:name="matrixclassauthor"/>
      <w:bookmarkEnd w:id="116"/>
      <w:r>
        <w:t xml:space="preserve">MatrixClassAuthor</w:t>
      </w:r>
    </w:p>
    <w:p>
      <w:r>
        <w:t xml:space="preserve">The stage description as indicated in the source by the publication author of the matrix population model. When possible, we add units (e.g. cm, m, cm</w:t>
      </w:r>
      <w:r>
        <w:rPr>
          <w:vertAlign w:val="superscript"/>
        </w:rPr>
        <w:t xml:space="preserve">2</w:t>
      </w:r>
      <w:r>
        <w:t xml:space="preserve">)</w:t>
      </w:r>
    </w:p>
    <w:p>
      <w:r>
        <w:t xml:space="preserve">Some information on how to correctly write things in that column:</w:t>
      </w:r>
    </w:p>
    <w:p>
      <w:pPr>
        <w:pStyle w:val="Compact"/>
        <w:numPr>
          <w:numId w:val="1045"/>
          <w:ilvl w:val="0"/>
        </w:numPr>
      </w:pPr>
      <w:r>
        <w:t xml:space="preserve">First letter must be a capital letter (e.g. Adult: 100-150 cm DBH)</w:t>
      </w:r>
    </w:p>
    <w:p>
      <w:pPr>
        <w:pStyle w:val="Compact"/>
        <w:numPr>
          <w:numId w:val="1045"/>
          <w:ilvl w:val="0"/>
        </w:numPr>
      </w:pPr>
      <w:r>
        <w:t xml:space="preserve">If the Author uses abbreviations first write them down, followed by a “:” and the explanation of that abbreviations</w:t>
      </w:r>
    </w:p>
    <w:p>
      <w:pPr>
        <w:pStyle w:val="Compact"/>
        <w:numPr>
          <w:numId w:val="1045"/>
          <w:ilvl w:val="0"/>
        </w:numPr>
      </w:pPr>
      <w:r>
        <w:t xml:space="preserve">Use the most detailed description</w:t>
      </w:r>
    </w:p>
    <w:p>
      <w:pPr>
        <w:pStyle w:val="Compact"/>
        <w:numPr>
          <w:numId w:val="1045"/>
          <w:ilvl w:val="0"/>
        </w:numPr>
      </w:pPr>
      <w:r>
        <w:t xml:space="preserve">Always add units (when possible) (e.g. 0-9 cm DBH, not 0-9 DBH)</w:t>
      </w:r>
    </w:p>
    <w:p>
      <w:pPr>
        <w:pStyle w:val="Compact"/>
        <w:numPr>
          <w:numId w:val="1045"/>
          <w:ilvl w:val="0"/>
        </w:numPr>
      </w:pPr>
      <w:r>
        <w:t xml:space="preserve">Be clear in what is described (e.g. 0-9 cm DBH/ height, not only 0-9 cm)</w:t>
      </w:r>
    </w:p>
    <w:p>
      <w:pPr>
        <w:pStyle w:val="Compact"/>
        <w:numPr>
          <w:numId w:val="1045"/>
          <w:ilvl w:val="0"/>
        </w:numPr>
      </w:pPr>
      <w:r>
        <w:t xml:space="preserve">Make sure that you use “.” Instead of “,” when typing numbers (e.g. 1.45 cm, not 1,45 cm)</w:t>
      </w:r>
    </w:p>
    <w:p>
      <w:pPr>
        <w:pStyle w:val="Compact"/>
        <w:numPr>
          <w:numId w:val="1045"/>
          <w:ilvl w:val="0"/>
        </w:numPr>
      </w:pPr>
      <w:r>
        <w:t xml:space="preserve">Make sure that there is space between the number and the unit (e.g. 1.45 cm, not 1.45cm)</w:t>
      </w:r>
    </w:p>
    <w:p>
      <w:pPr>
        <w:pStyle w:val="Compact"/>
        <w:numPr>
          <w:numId w:val="1045"/>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5"/>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17" w:name="matrixclassnumber"/>
      <w:bookmarkEnd w:id="117"/>
      <w:r>
        <w:t xml:space="preserve">MatrixClassNumber</w:t>
      </w:r>
    </w:p>
    <w:p>
      <w:r>
        <w:t xml:space="preserve">A numerical representation of classes in the population matrix model. Numbers starting with 1 (</w:t>
      </w:r>
      <w:r>
        <w:rPr>
          <w:b/>
        </w:rPr>
        <w:t xml:space="preserve">not 0</w:t>
      </w:r>
      <w:r>
        <w:t xml:space="preserve">). e.g. 1,2,3, ...</w:t>
      </w:r>
      <w:r>
        <w:t xml:space="preserve"> </w:t>
      </w:r>
      <m:oMath>
        <m:r>
          <m:rPr>
            <m:sty m:val="p"/>
          </m:rPr>
          <m:t>n</m:t>
        </m:r>
      </m:oMath>
      <w:r>
        <w:t xml:space="preserve">, where</w:t>
      </w:r>
      <w:r>
        <w:t xml:space="preserve"> </w:t>
      </w:r>
      <m:oMath>
        <m:r>
          <m:rPr>
            <m:sty m:val="p"/>
          </m:rPr>
          <m:t>n</m:t>
        </m:r>
      </m:oMath>
      <w:r>
        <w:t xml:space="preserve"> </w:t>
      </w:r>
      <w:r>
        <w:t xml:space="preserve">is the dimension of the population matrix.</w:t>
      </w:r>
    </w:p>
    <w:p>
      <w:r>
        <w:pict>
          <v:rect style="width:0;height:1.5pt" o:hralign="center" o:hrstd="t" o:hr="t"/>
        </w:pict>
      </w:r>
    </w:p>
    <w:p>
      <w:pPr>
        <w:pStyle w:val="Heading2"/>
      </w:pPr>
      <w:bookmarkStart w:id="118" w:name="matumatfmatc"/>
      <w:bookmarkEnd w:id="118"/>
      <w:r>
        <w:t xml:space="preserve">matU/matF/matC/</w:t>
      </w:r>
    </w:p>
    <w:p>
      <w:r>
        <w:t xml:space="preserve">The population matrix models. Including the overall matrix (A) and, where possible, the sub-matrices U (survival), F (fecundity), C (clonality). A range of numeric values is possible in each element of the matrix.</w:t>
      </w:r>
    </w:p>
    <w:p>
      <w:pPr>
        <w:numPr>
          <w:numId w:val="1046"/>
          <w:ilvl w:val="0"/>
        </w:numPr>
      </w:pPr>
      <w:r>
        <w:t xml:space="preserve">The A matrix - Transition probabilities are constrained between 0 and 1. Reproductive values are always positive but have no upper bound.</w:t>
      </w:r>
    </w:p>
    <w:p>
      <w:pPr>
        <w:numPr>
          <w:numId w:val="1046"/>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6"/>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6"/>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r>
        <w:t xml:space="preserve">The values for the U, F and C matrices are only digitized for “Divided” matrices (indicated by variable</w:t>
      </w:r>
      <w:r>
        <w:t xml:space="preserve"> </w:t>
      </w:r>
      <w:r>
        <w:rPr>
          <w:b/>
        </w:rPr>
        <w:t xml:space="preserve">MatrixSplit</w:t>
      </w:r>
      <w:r>
        <w:t xml:space="preserve">)</w:t>
      </w:r>
    </w:p>
    <w:p>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19" w:name="color-coding"/>
      <w:bookmarkEnd w:id="119"/>
      <w:r>
        <w:t xml:space="preserve">Color coding</w:t>
      </w:r>
    </w:p>
    <w:p>
      <w:r>
        <w:t xml:space="preserve">Within the Excel sheets we color code all matrices in the same standardized way. The “color palette” can easily be found in (and copy pasted from) all stacked files (last tab).</w:t>
      </w:r>
    </w:p>
    <w:p>
      <w:r>
        <w:rPr>
          <w:b/>
        </w:rPr>
        <w:t xml:space="preserve">unique cells</w:t>
      </w:r>
      <w:r>
        <w:t xml:space="preserve"> </w:t>
      </w:r>
      <w:r>
        <w:t xml:space="preserve">(only one reproduction- or transition-form exists)</w:t>
      </w:r>
    </w:p>
    <w:p>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0"/>
                    <a:stretch>
                      <a:fillRect/>
                    </a:stretch>
                  </pic:blipFill>
                  <pic:spPr bwMode="auto">
                    <a:xfrm>
                      <a:off x="0" y="0"/>
                      <a:ext cx="5003800" cy="2374900"/>
                    </a:xfrm>
                    <a:prstGeom prst="rect">
                      <a:avLst/>
                    </a:prstGeom>
                    <a:noFill/>
                    <a:ln w="9525">
                      <a:noFill/>
                      <a:headEnd/>
                      <a:tailEnd/>
                    </a:ln>
                  </pic:spPr>
                </pic:pic>
              </a:graphicData>
            </a:graphic>
          </wp:inline>
        </w:drawing>
      </w:r>
    </w:p>
    <w:p>
      <w:r>
        <w:rPr>
          <w:b/>
        </w:rPr>
        <w:t xml:space="preserve">mixed cells</w:t>
      </w:r>
      <w:r>
        <w:t xml:space="preserve"> </w:t>
      </w:r>
      <w:r>
        <w:t xml:space="preserve">(more than one reproduction- or transition-form exists)</w:t>
      </w:r>
    </w:p>
    <w:p>
      <w:r>
        <w:drawing>
          <wp:inline>
            <wp:extent cx="5440680" cy="918556"/>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1"/>
                    <a:stretch>
                      <a:fillRect/>
                    </a:stretch>
                  </pic:blipFill>
                  <pic:spPr bwMode="auto">
                    <a:xfrm>
                      <a:off x="0" y="0"/>
                      <a:ext cx="5440680" cy="918556"/>
                    </a:xfrm>
                    <a:prstGeom prst="rect">
                      <a:avLst/>
                    </a:prstGeom>
                    <a:noFill/>
                    <a:ln w="9525">
                      <a:noFill/>
                      <a:headEnd/>
                      <a:tailEnd/>
                    </a:ln>
                  </pic:spPr>
                </pic:pic>
              </a:graphicData>
            </a:graphic>
          </wp:inline>
        </w:drawing>
      </w:r>
    </w:p>
    <w:p>
      <w:r>
        <w:rPr>
          <w:b/>
        </w:rPr>
        <w:t xml:space="preserve">other colored cells</w:t>
      </w:r>
    </w:p>
    <w:p>
      <w:r>
        <w:drawing>
          <wp:inline>
            <wp:extent cx="5440680" cy="1115784"/>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2"/>
                    <a:stretch>
                      <a:fillRect/>
                    </a:stretch>
                  </pic:blipFill>
                  <pic:spPr bwMode="auto">
                    <a:xfrm>
                      <a:off x="0" y="0"/>
                      <a:ext cx="5440680" cy="1115784"/>
                    </a:xfrm>
                    <a:prstGeom prst="rect">
                      <a:avLst/>
                    </a:prstGeom>
                    <a:noFill/>
                    <a:ln w="9525">
                      <a:noFill/>
                      <a:headEnd/>
                      <a:tailEnd/>
                    </a:ln>
                  </pic:spPr>
                </pic:pic>
              </a:graphicData>
            </a:graphic>
          </wp:inline>
        </w:drawing>
      </w:r>
    </w:p>
    <w:p>
      <w:r>
        <w:t xml:space="preserve">All matrices are to be digitized using color-codes for the matrix elements</w:t>
      </w:r>
      <w:r>
        <w:t xml:space="preserve"> </w:t>
      </w:r>
      <m:oMath>
        <m:sSub>
          <m:e>
            <m:r>
              <m:rPr>
                <m:sty m:val="p"/>
              </m:rPr>
              <m:t>a</m:t>
            </m:r>
          </m:e>
          <m:sub>
            <m:r>
              <m:rPr>
                <m:sty m:val="p"/>
              </m:rPr>
              <m:t>i</m:t>
            </m:r>
            <m:r>
              <m:rPr>
                <m:sty m:val="p"/>
              </m:rPr>
              <m:t>j</m:t>
            </m:r>
          </m:sub>
        </m:sSub>
        <m:r>
          <m:rPr>
            <m:sty m:val="p"/>
          </m:rPr>
          <m:t>&gt;</m:t>
        </m:r>
        <m:r>
          <m:rPr>
            <m:sty m:val="p"/>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r>
        <w:rPr>
          <w:b/>
        </w:rPr>
        <w:t xml:space="preserve">Note:</w:t>
      </w:r>
      <w:r>
        <w:t xml:space="preserve"> </w:t>
      </w:r>
      <w:r>
        <w:rPr>
          <w:i/>
        </w:rPr>
        <w:t xml:space="preserve">Use only this colors for each of the different demographic processes. Our automatized matrix splitting procedure will not recognize the process otherwise and you will have to end up doing it by hand yourself otherwise.</w:t>
      </w:r>
    </w:p>
    <w:p>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r>
        <w:drawing>
          <wp:inline>
            <wp:extent cx="5440680" cy="2189453"/>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3"/>
                    <a:stretch>
                      <a:fillRect/>
                    </a:stretch>
                  </pic:blipFill>
                  <pic:spPr bwMode="auto">
                    <a:xfrm>
                      <a:off x="0" y="0"/>
                      <a:ext cx="5440680" cy="2189453"/>
                    </a:xfrm>
                    <a:prstGeom prst="rect">
                      <a:avLst/>
                    </a:prstGeom>
                    <a:noFill/>
                    <a:ln w="9525">
                      <a:noFill/>
                      <a:headEnd/>
                      <a:tailEnd/>
                    </a:ln>
                  </pic:spPr>
                </pic:pic>
              </a:graphicData>
            </a:graphic>
          </wp:inline>
        </w:drawing>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81a9f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5fad91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d7600c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1" Target="media/rId111.png" /><Relationship Type="http://schemas.openxmlformats.org/officeDocument/2006/relationships/image" Id="rId109" Target="media/rId109.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77" Target="media/rId77.png" /><Relationship Type="http://schemas.openxmlformats.org/officeDocument/2006/relationships/image" Id="rId113" Target="media/rId113.png" /><Relationship Type="http://schemas.openxmlformats.org/officeDocument/2006/relationships/image" Id="rId85" Target="media/rId85.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112" Target="media/rId112.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hyperlink" Id="rId46" Target="http://images.webofknowledge.com/WOK46/help/WOS/A_abrvjt.html" TargetMode="External" /><Relationship Type="http://schemas.openxmlformats.org/officeDocument/2006/relationships/hyperlink" Id="rId57"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4"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05" Target="https://en.wikipedia.org/wiki/ISO_3166-1_alpha-3" TargetMode="External" /><Relationship Type="http://schemas.openxmlformats.org/officeDocument/2006/relationships/hyperlink" Id="rId107" Target="https://en.wikipedia.org/wiki/List_of_Oceanian_countries_by_population" TargetMode="External" /><Relationship Type="http://schemas.openxmlformats.org/officeDocument/2006/relationships/hyperlink" Id="rId25" Target="mailto:compadre-contact@demogr.mpg.de" TargetMode="External" /><Relationship Type="http://schemas.openxmlformats.org/officeDocument/2006/relationships/hyperlink" Id="rId23" Target="mailto:jones@biology.sdu.dk" TargetMode="External" /><Relationship Type="http://schemas.openxmlformats.org/officeDocument/2006/relationships/hyperlink" Id="rId22"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46" Target="http://images.webofknowledge.com/WOK46/help/WOS/A_abrvjt.html" TargetMode="External" /><Relationship Type="http://schemas.openxmlformats.org/officeDocument/2006/relationships/hyperlink" Id="rId57"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4"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05" Target="https://en.wikipedia.org/wiki/ISO_3166-1_alpha-3" TargetMode="External" /><Relationship Type="http://schemas.openxmlformats.org/officeDocument/2006/relationships/hyperlink" Id="rId107" Target="https://en.wikipedia.org/wiki/List_of_Oceanian_countries_by_population" TargetMode="External" /><Relationship Type="http://schemas.openxmlformats.org/officeDocument/2006/relationships/hyperlink" Id="rId25" Target="mailto:compadre-contact@demogr.mpg.de" TargetMode="External" /><Relationship Type="http://schemas.openxmlformats.org/officeDocument/2006/relationships/hyperlink" Id="rId23" Target="mailto:jones@biology.sdu.dk" TargetMode="External" /><Relationship Type="http://schemas.openxmlformats.org/officeDocument/2006/relationships/hyperlink" Id="rId22"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