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0099B" w14:textId="77777777" w:rsidR="00723641" w:rsidRDefault="00000000" w:rsidP="00895593">
      <w:pPr>
        <w:pStyle w:val="Title"/>
        <w:keepLines w:val="0"/>
        <w:jc w:val="both"/>
      </w:pPr>
      <w:r>
        <w:t>Hannah Policy Memo Outline</w:t>
      </w:r>
    </w:p>
    <w:p w14:paraId="5E7D4511" w14:textId="77777777" w:rsidR="00723641" w:rsidRDefault="00000000" w:rsidP="00895593">
      <w:pPr>
        <w:keepNext/>
        <w:spacing w:after="60"/>
        <w:jc w:val="both"/>
      </w:pPr>
      <w:r>
        <w:rPr>
          <w:b/>
        </w:rPr>
        <w:t xml:space="preserve">To: </w:t>
      </w:r>
      <w:r>
        <w:t>Minister of Foreign Affairs, Socialist Republic of Viet Nam</w:t>
      </w:r>
    </w:p>
    <w:p w14:paraId="06CF7B24" w14:textId="70C02EBE" w:rsidR="00723641" w:rsidRDefault="00000000" w:rsidP="00895593">
      <w:pPr>
        <w:keepNext/>
        <w:spacing w:after="60"/>
        <w:jc w:val="both"/>
        <w:rPr>
          <w:rFonts w:hint="eastAsia"/>
          <w:lang w:eastAsia="zh-CN"/>
        </w:rPr>
      </w:pPr>
      <w:r>
        <w:rPr>
          <w:b/>
        </w:rPr>
        <w:t xml:space="preserve">From: </w:t>
      </w:r>
      <w:r>
        <w:t>Han</w:t>
      </w:r>
      <w:r w:rsidR="00E2551B">
        <w:rPr>
          <w:rFonts w:hint="eastAsia"/>
          <w:lang w:eastAsia="zh-CN"/>
        </w:rPr>
        <w:t xml:space="preserve">nah </w:t>
      </w:r>
      <w:r>
        <w:t>Liu</w:t>
      </w:r>
      <w:r w:rsidR="00E2551B">
        <w:rPr>
          <w:rFonts w:hint="eastAsia"/>
          <w:lang w:eastAsia="zh-CN"/>
        </w:rPr>
        <w:t xml:space="preserve"> Han</w:t>
      </w:r>
    </w:p>
    <w:p w14:paraId="60B3BF03" w14:textId="77777777" w:rsidR="00723641" w:rsidRDefault="00000000" w:rsidP="00895593">
      <w:pPr>
        <w:keepNext/>
        <w:spacing w:after="60"/>
        <w:jc w:val="both"/>
      </w:pPr>
      <w:r>
        <w:rPr>
          <w:b/>
        </w:rPr>
        <w:t xml:space="preserve">Date: </w:t>
      </w:r>
      <w:r>
        <w:t>18 September 2026</w:t>
      </w:r>
    </w:p>
    <w:p w14:paraId="6AB3B300" w14:textId="77777777" w:rsidR="00723641" w:rsidRDefault="00000000" w:rsidP="00895593">
      <w:pPr>
        <w:keepNext/>
        <w:spacing w:after="60"/>
        <w:jc w:val="both"/>
      </w:pPr>
      <w:r>
        <w:rPr>
          <w:b/>
        </w:rPr>
        <w:t xml:space="preserve">Subject: </w:t>
      </w:r>
      <w:r>
        <w:t>Balancing US and Chinese Influence through Vietnam’s Semiconductor Economic Diplomacy to Manage Asymmetric Dependence and Build Domestic Capabilities from Industrial Relocation</w:t>
      </w:r>
    </w:p>
    <w:p w14:paraId="0AE6E9D5" w14:textId="74497A61" w:rsidR="00723641" w:rsidRDefault="00000000" w:rsidP="00895593">
      <w:pPr>
        <w:pStyle w:val="Heading1"/>
        <w:keepLines w:val="0"/>
        <w:jc w:val="both"/>
      </w:pPr>
      <w:r>
        <w:t>1</w:t>
      </w:r>
      <w:r w:rsidR="009173EA">
        <w:t xml:space="preserve">. </w:t>
      </w:r>
      <w:r>
        <w:t>Summary</w:t>
      </w:r>
    </w:p>
    <w:p w14:paraId="57A55A42" w14:textId="77777777" w:rsidR="00723641" w:rsidRDefault="00000000" w:rsidP="00895593">
      <w:pPr>
        <w:jc w:val="both"/>
      </w:pPr>
      <w:r>
        <w:t>Vietnam should use semiconductor economic diplomacy to manage asymmetric dependence on US technology and markets and China-connected supplies, while turning industrial relocation into domestic capabilities. Its expanding manufacturing base provides opportunities to negotiate development commitments, although external restrictions and weak domestic linkages constrain its bargaining power. Three priorities should guide policy: secure stronger commitments from both powers, negotiate predictable trade and technology access, and diversify partnerships to strengthen domestic resilience. Success should be measured by capabilities retained in Vietnamese firms, workers and institutions.</w:t>
      </w:r>
    </w:p>
    <w:p w14:paraId="7D84738F" w14:textId="25A5C935" w:rsidR="00723641" w:rsidRDefault="00000000" w:rsidP="00895593">
      <w:pPr>
        <w:pStyle w:val="Heading1"/>
        <w:keepLines w:val="0"/>
        <w:jc w:val="both"/>
      </w:pPr>
      <w:r>
        <w:t>2</w:t>
      </w:r>
      <w:r w:rsidR="009173EA">
        <w:t xml:space="preserve">. </w:t>
      </w:r>
      <w:r>
        <w:t>Background</w:t>
      </w:r>
    </w:p>
    <w:p w14:paraId="5830DA24" w14:textId="47386DD5" w:rsidR="00E15ABA" w:rsidRDefault="00895593" w:rsidP="00895593">
      <w:pPr>
        <w:jc w:val="both"/>
      </w:pPr>
      <w:r w:rsidRPr="00895593">
        <w:rPr>
          <w:lang w:eastAsia="zh-CN"/>
        </w:rPr>
        <w:t>Vietnam has developed a significant position in semiconductor assembly, testing and packaging</w:t>
      </w:r>
      <w:r w:rsidR="00E15ABA">
        <w:rPr>
          <w:lang w:eastAsia="zh-CN"/>
        </w:rPr>
        <w:t xml:space="preserve">. Its </w:t>
      </w:r>
      <w:r w:rsidR="00E15ABA">
        <w:t xml:space="preserve">semiconductor ambitions support its goals of upper-middle-income status by 2030 and developed-country status by 2045. The 2024 semiconductor strategy and 2025 Law on Digital Technology Industry connect industrial upgrading with skills and infrastructure. Vietnam’s goods surplus with the United States reached US$114 billion in the first half of 2026. Much of the expansion reflects electronics production by global companies. </w:t>
      </w:r>
    </w:p>
    <w:p w14:paraId="5B495CD2" w14:textId="4EC27669" w:rsidR="00723641" w:rsidRDefault="00E15ABA" w:rsidP="00895593">
      <w:pPr>
        <w:jc w:val="both"/>
        <w:rPr>
          <w:lang w:eastAsia="zh-CN"/>
        </w:rPr>
      </w:pPr>
      <w:r>
        <w:rPr>
          <w:lang w:eastAsia="zh-CN"/>
        </w:rPr>
        <w:t>However,</w:t>
      </w:r>
      <w:r w:rsidR="00895593" w:rsidRPr="00895593">
        <w:rPr>
          <w:lang w:eastAsia="zh-CN"/>
        </w:rPr>
        <w:t xml:space="preserve"> foreign-invested firms still dominate production and domestic value added remains limited. Talent is </w:t>
      </w:r>
      <w:r>
        <w:rPr>
          <w:lang w:eastAsia="zh-CN"/>
        </w:rPr>
        <w:t>also one of the</w:t>
      </w:r>
      <w:r w:rsidR="00895593" w:rsidRPr="00895593">
        <w:rPr>
          <w:lang w:eastAsia="zh-CN"/>
        </w:rPr>
        <w:t xml:space="preserve"> constraint</w:t>
      </w:r>
      <w:r>
        <w:rPr>
          <w:lang w:eastAsia="zh-CN"/>
        </w:rPr>
        <w:t>s</w:t>
      </w:r>
      <w:r w:rsidR="00895593" w:rsidRPr="00895593">
        <w:rPr>
          <w:lang w:eastAsia="zh-CN"/>
        </w:rPr>
        <w:t>: Vietnam had approximately 6,000 semiconductor engineers in 2023, compared with its objective of developing a workforce of more than 50,000 by 2030.</w:t>
      </w:r>
      <w:r>
        <w:rPr>
          <w:lang w:eastAsia="zh-CN"/>
        </w:rPr>
        <w:t xml:space="preserve"> </w:t>
      </w:r>
      <w:r w:rsidR="00895593" w:rsidRPr="00895593">
        <w:t xml:space="preserve">Chinese-backed factories </w:t>
      </w:r>
      <w:r w:rsidR="00895593" w:rsidRPr="00895593">
        <w:t>remai</w:t>
      </w:r>
      <w:r w:rsidR="00895593">
        <w:rPr>
          <w:lang w:eastAsia="zh-CN"/>
        </w:rPr>
        <w:t xml:space="preserve">n </w:t>
      </w:r>
      <w:r w:rsidR="00895593" w:rsidRPr="00895593">
        <w:t>dependent</w:t>
      </w:r>
      <w:r w:rsidR="00895593" w:rsidRPr="00895593">
        <w:t xml:space="preserve"> on China for equipment maintenance, worker training, and related technical support.</w:t>
      </w:r>
      <w:r w:rsidR="00895593">
        <w:rPr>
          <w:rFonts w:hint="eastAsia"/>
          <w:lang w:eastAsia="zh-CN"/>
        </w:rPr>
        <w:t xml:space="preserve"> </w:t>
      </w:r>
      <w:r w:rsidR="00000000">
        <w:t xml:space="preserve">Chinese controls on </w:t>
      </w:r>
      <w:r w:rsidR="00E2551B">
        <w:rPr>
          <w:rFonts w:hint="eastAsia"/>
          <w:lang w:eastAsia="zh-CN"/>
        </w:rPr>
        <w:t>certain</w:t>
      </w:r>
      <w:r w:rsidR="00E2551B">
        <w:rPr>
          <w:lang w:eastAsia="zh-CN"/>
        </w:rPr>
        <w:t xml:space="preserve"> critical</w:t>
      </w:r>
      <w:r w:rsidR="00000000">
        <w:t xml:space="preserve"> minerals </w:t>
      </w:r>
      <w:r w:rsidR="00E2551B">
        <w:t xml:space="preserve">also </w:t>
      </w:r>
      <w:r w:rsidR="00000000">
        <w:t xml:space="preserve">expose manufacturers to supply risks. </w:t>
      </w:r>
      <w:r w:rsidR="007C3699">
        <w:rPr>
          <w:rFonts w:hint="eastAsia"/>
          <w:lang w:eastAsia="zh-CN"/>
        </w:rPr>
        <w:t>Also</w:t>
      </w:r>
      <w:r w:rsidR="007C3699">
        <w:rPr>
          <w:lang w:eastAsia="zh-CN"/>
        </w:rPr>
        <w:t xml:space="preserve">, </w:t>
      </w:r>
      <w:r w:rsidR="007C3699">
        <w:t>p</w:t>
      </w:r>
      <w:r w:rsidR="007C3699">
        <w:t>romises of easier US technology access face implementation uncertainty, while Washington seeks stronger export controls and intellectual-property enforcement.</w:t>
      </w:r>
    </w:p>
    <w:p w14:paraId="74AB641A" w14:textId="3974BFD4" w:rsidR="00E15ABA" w:rsidRPr="009D6EB7" w:rsidRDefault="00E15ABA" w:rsidP="00E15ABA">
      <w:pPr>
        <w:spacing w:before="100" w:beforeAutospacing="1" w:after="100" w:afterAutospacing="1"/>
      </w:pPr>
      <w:r w:rsidRPr="009D6EB7">
        <w:t>The priority is therefore to ensure that current supply-chain relocation does not lock Vietnam into foreign-controlled, lower-value production. Economic diplomacy must secure continued access to markets, technology and suppliers while creating stronger domestic capabilities and more diversified external partnerships.</w:t>
      </w:r>
    </w:p>
    <w:p w14:paraId="54379DBE" w14:textId="77777777" w:rsidR="00E15ABA" w:rsidRDefault="00E15ABA" w:rsidP="00895593">
      <w:pPr>
        <w:jc w:val="both"/>
        <w:rPr>
          <w:rFonts w:hint="eastAsia"/>
          <w:lang w:eastAsia="zh-CN"/>
        </w:rPr>
      </w:pPr>
    </w:p>
    <w:p w14:paraId="287ABFC7" w14:textId="1A60F03D" w:rsidR="00723641" w:rsidRDefault="00000000" w:rsidP="00895593">
      <w:pPr>
        <w:pStyle w:val="Heading1"/>
        <w:keepLines w:val="0"/>
        <w:jc w:val="both"/>
      </w:pPr>
      <w:r>
        <w:lastRenderedPageBreak/>
        <w:t>3</w:t>
      </w:r>
      <w:r w:rsidR="009173EA">
        <w:t xml:space="preserve">. </w:t>
      </w:r>
      <w:r>
        <w:t>Analysis and Options</w:t>
      </w:r>
    </w:p>
    <w:p w14:paraId="081C06D2" w14:textId="5E837DC8" w:rsidR="00723641" w:rsidRDefault="00E15ABA" w:rsidP="00895593">
      <w:pPr>
        <w:jc w:val="both"/>
        <w:rPr>
          <w:lang w:eastAsia="zh-CN"/>
        </w:rPr>
      </w:pPr>
      <w:r w:rsidRPr="00E15ABA">
        <w:t>Vietnam has become an attractive base for diversifying global supply chains, yet its reliance on foreign technology and markets constrains its policy autonomy.</w:t>
      </w:r>
      <w:r w:rsidR="00000000">
        <w:t xml:space="preserve"> US economic-security demands can conflict with Hanoi’s non-alignment and its extensive Chinese connections. Its negotiating position improves when domestic production benefits foreign partners and Vietnamese firms acquire the skills to sustain it. Commercial incentives and implementation capacity must underpin agreements, because great-power competition provides an uncertain basis for lasting support.</w:t>
      </w:r>
    </w:p>
    <w:p w14:paraId="7D8AD658" w14:textId="7366EC3A" w:rsidR="008D6272" w:rsidRDefault="008D6272" w:rsidP="00895593">
      <w:pPr>
        <w:jc w:val="both"/>
        <w:rPr>
          <w:rFonts w:hint="eastAsia"/>
          <w:lang w:eastAsia="zh-CN"/>
        </w:rPr>
      </w:pPr>
      <w:r w:rsidRPr="008D6272">
        <w:rPr>
          <w:i/>
          <w:iCs/>
          <w:lang w:eastAsia="zh-CN"/>
        </w:rPr>
        <w:t xml:space="preserve">Option 1: </w:t>
      </w:r>
      <w:r w:rsidR="00667469">
        <w:rPr>
          <w:i/>
          <w:iCs/>
          <w:lang w:eastAsia="zh-CN"/>
        </w:rPr>
        <w:t>C</w:t>
      </w:r>
      <w:r w:rsidRPr="008D6272">
        <w:rPr>
          <w:i/>
          <w:iCs/>
          <w:lang w:eastAsia="zh-CN"/>
        </w:rPr>
        <w:t xml:space="preserve">ontinue flexible case-by-case engagement. </w:t>
      </w:r>
      <w:r w:rsidRPr="008D6272">
        <w:rPr>
          <w:lang w:eastAsia="zh-CN"/>
        </w:rPr>
        <w:t xml:space="preserve">This preserves diplomatic room and costs little to administer, but each proposal is assessed against no alternative, which is the condition under which leverage disappears. </w:t>
      </w:r>
      <w:r w:rsidR="00667469">
        <w:rPr>
          <w:rFonts w:hint="eastAsia"/>
          <w:lang w:eastAsia="zh-CN"/>
        </w:rPr>
        <w:t xml:space="preserve">This </w:t>
      </w:r>
      <w:r w:rsidR="00667469">
        <w:rPr>
          <w:lang w:eastAsia="zh-CN"/>
        </w:rPr>
        <w:t xml:space="preserve">would also </w:t>
      </w:r>
      <w:r w:rsidR="00667469" w:rsidRPr="00667469">
        <w:rPr>
          <w:lang w:eastAsia="zh-CN"/>
        </w:rPr>
        <w:t>provide limited certainty to investors and does not address underlying dependence on foreign technology, personnel and suppliers.</w:t>
      </w:r>
    </w:p>
    <w:p w14:paraId="106498C8" w14:textId="57AF751F" w:rsidR="00667469" w:rsidRDefault="00667469" w:rsidP="00667469">
      <w:pPr>
        <w:jc w:val="both"/>
        <w:rPr>
          <w:rFonts w:hint="eastAsia"/>
          <w:lang w:eastAsia="zh-CN"/>
        </w:rPr>
      </w:pPr>
      <w:r w:rsidRPr="00667469">
        <w:rPr>
          <w:i/>
          <w:iCs/>
          <w:lang w:eastAsia="zh-CN"/>
        </w:rPr>
        <w:t>Option 2: Consolidate around a US-led trusted semiconductor network</w:t>
      </w:r>
      <w:r w:rsidRPr="00667469">
        <w:rPr>
          <w:i/>
          <w:iCs/>
          <w:lang w:eastAsia="zh-CN"/>
        </w:rPr>
        <w:t>.</w:t>
      </w:r>
      <w:r>
        <w:rPr>
          <w:lang w:eastAsia="zh-CN"/>
        </w:rPr>
        <w:t xml:space="preserve"> </w:t>
      </w:r>
      <w:r>
        <w:rPr>
          <w:lang w:eastAsia="zh-CN"/>
        </w:rPr>
        <w:t xml:space="preserve">Vietnam could </w:t>
      </w:r>
      <w:proofErr w:type="spellStart"/>
      <w:r>
        <w:rPr>
          <w:lang w:eastAsia="zh-CN"/>
        </w:rPr>
        <w:t>prioritise</w:t>
      </w:r>
      <w:proofErr w:type="spellEnd"/>
      <w:r>
        <w:rPr>
          <w:lang w:eastAsia="zh-CN"/>
        </w:rPr>
        <w:t xml:space="preserve"> investment and technology partnerships with the United States while aligning more closely with US export controls, intellectual-property standards and rules-of-origin requirements. This could improve access to advanced technologies, strengthen market credibility and attract firms seeking alternatives to China. It would also narrow Vietnam’s bargaining room, increase dependence on US-controlled technologies and expose the country to Chinese retaliation in inputs, technical services and trade. </w:t>
      </w:r>
    </w:p>
    <w:p w14:paraId="3A6BBF94" w14:textId="2EF169CA" w:rsidR="00667469" w:rsidRDefault="00667469" w:rsidP="00667469">
      <w:pPr>
        <w:jc w:val="both"/>
        <w:rPr>
          <w:rFonts w:hint="eastAsia"/>
          <w:lang w:eastAsia="zh-CN"/>
        </w:rPr>
      </w:pPr>
      <w:r w:rsidRPr="00667469">
        <w:rPr>
          <w:i/>
          <w:iCs/>
          <w:lang w:eastAsia="zh-CN"/>
        </w:rPr>
        <w:t>Option 3: Convert competitive and regulatory pressure into negotiated capability transfer</w:t>
      </w:r>
      <w:r w:rsidRPr="00667469">
        <w:rPr>
          <w:i/>
          <w:iCs/>
          <w:lang w:eastAsia="zh-CN"/>
        </w:rPr>
        <w:t xml:space="preserve">. </w:t>
      </w:r>
      <w:r>
        <w:rPr>
          <w:lang w:eastAsia="zh-CN"/>
        </w:rPr>
        <w:t>Vietnam could diversify foreign partnerships while converting competitive and regulatory pressure into negotiated capability transfer. Additional partners would increase alternatives and reduce concentration, strengthening Vietnam’s bargaining position with both the United States and China. Maintaining these alternatives would also keep bilateral bargains credible when either power resists Vietnamese demands. Vietnam should therefore tie investment facilitation to measurable commitments on workforce training, local supplier development, maintenance capacity and R&amp;D. Supplier qualification takes time, and multiple partners may rely on the same controlled technologies, so these conditions must remain commercially realistic and focus on sectors where Vietnamese firms can acquire transferable capabilities.</w:t>
      </w:r>
    </w:p>
    <w:p w14:paraId="0019C39D" w14:textId="77777777" w:rsidR="009173EA" w:rsidRDefault="009173EA" w:rsidP="00895593">
      <w:pPr>
        <w:pStyle w:val="Heading1"/>
        <w:keepLines w:val="0"/>
        <w:jc w:val="both"/>
        <w:rPr>
          <w:lang w:eastAsia="zh-CN"/>
        </w:rPr>
      </w:pPr>
    </w:p>
    <w:p w14:paraId="241CEEBC" w14:textId="29E34319" w:rsidR="00723641" w:rsidRDefault="00000000" w:rsidP="00895593">
      <w:pPr>
        <w:pStyle w:val="Heading1"/>
        <w:keepLines w:val="0"/>
        <w:jc w:val="both"/>
      </w:pPr>
      <w:r>
        <w:t>4</w:t>
      </w:r>
      <w:r w:rsidR="009173EA">
        <w:t xml:space="preserve">. </w:t>
      </w:r>
      <w:r>
        <w:t>Recommendations</w:t>
      </w:r>
    </w:p>
    <w:p w14:paraId="02A96E98" w14:textId="09395FCD" w:rsidR="007C3699" w:rsidRPr="009173EA" w:rsidRDefault="00667469" w:rsidP="007C3699">
      <w:pPr>
        <w:jc w:val="both"/>
        <w:rPr>
          <w:rFonts w:eastAsia="Heiti TC"/>
          <w:lang w:eastAsia="zh-CN"/>
        </w:rPr>
      </w:pPr>
      <w:r w:rsidRPr="007C3699">
        <w:t>Vietnam can a</w:t>
      </w:r>
      <w:r w:rsidR="00000000" w:rsidRPr="007C3699">
        <w:t>dopt Option 3 through three complementary measures</w:t>
      </w:r>
      <w:r w:rsidR="007C3699" w:rsidRPr="007C3699">
        <w:rPr>
          <w:rFonts w:eastAsia="Heiti TC"/>
          <w:lang w:eastAsia="zh-CN"/>
        </w:rPr>
        <w:t>:</w:t>
      </w:r>
    </w:p>
    <w:p w14:paraId="79D9B658" w14:textId="77777777" w:rsidR="007C3699" w:rsidRPr="007C3699" w:rsidRDefault="007C3699" w:rsidP="007C3699">
      <w:pPr>
        <w:jc w:val="both"/>
        <w:rPr>
          <w:i/>
          <w:iCs/>
          <w:lang w:eastAsia="zh-CN"/>
        </w:rPr>
      </w:pPr>
      <w:r w:rsidRPr="007C3699">
        <w:rPr>
          <w:i/>
          <w:iCs/>
          <w:lang w:eastAsia="zh-CN"/>
        </w:rPr>
        <w:t>Recommendation 1: Convert competitive courtship into development-oriented bargains.</w:t>
      </w:r>
    </w:p>
    <w:p w14:paraId="30355644" w14:textId="791CF2FE" w:rsidR="007C3699" w:rsidRDefault="007C3699" w:rsidP="007C3699">
      <w:pPr>
        <w:jc w:val="both"/>
        <w:rPr>
          <w:rFonts w:hint="eastAsia"/>
          <w:lang w:eastAsia="zh-CN"/>
        </w:rPr>
      </w:pPr>
      <w:r w:rsidRPr="007C3699">
        <w:rPr>
          <w:lang w:eastAsia="zh-CN"/>
        </w:rPr>
        <w:t xml:space="preserve">Vietnam should treat its strategic optionality as a source of bargaining leverage. For major semiconductor investments, supply-chain partnerships and technology initiatives, it should conduct parallel negotiations, compare competing offers and grant cooperation incrementally rather than accept each proposal in isolation. Both the United States and China seek to expand their influence in Vietnam while preventing the other from gaining a dominant position. Vietnam should use this competition to link project access, investment facilitation and deeper industrial cooperation to concrete commitments, including additional investment, the expansion </w:t>
      </w:r>
      <w:r w:rsidRPr="007C3699">
        <w:rPr>
          <w:lang w:eastAsia="zh-CN"/>
        </w:rPr>
        <w:lastRenderedPageBreak/>
        <w:t xml:space="preserve">and upgrading of local production, technical assistance, workforce training, domestic supplier development and R&amp;D partnerships. </w:t>
      </w:r>
    </w:p>
    <w:p w14:paraId="318AB8BE" w14:textId="77777777" w:rsidR="007C3699" w:rsidRPr="007C3699" w:rsidRDefault="007C3699" w:rsidP="007C3699">
      <w:pPr>
        <w:jc w:val="both"/>
        <w:rPr>
          <w:lang w:eastAsia="zh-CN"/>
        </w:rPr>
      </w:pPr>
    </w:p>
    <w:p w14:paraId="093B31C5" w14:textId="77777777" w:rsidR="007C3699" w:rsidRPr="007C3699" w:rsidRDefault="007C3699" w:rsidP="007C3699">
      <w:pPr>
        <w:jc w:val="both"/>
        <w:rPr>
          <w:i/>
          <w:iCs/>
          <w:lang w:eastAsia="zh-CN"/>
        </w:rPr>
      </w:pPr>
      <w:r w:rsidRPr="007C3699">
        <w:rPr>
          <w:i/>
          <w:iCs/>
          <w:lang w:eastAsia="zh-CN"/>
        </w:rPr>
        <w:t>Recommendation 2: Turn rules-of-origin compliance into a technology-</w:t>
      </w:r>
      <w:proofErr w:type="spellStart"/>
      <w:r w:rsidRPr="007C3699">
        <w:rPr>
          <w:i/>
          <w:iCs/>
          <w:lang w:eastAsia="zh-CN"/>
        </w:rPr>
        <w:t>localisation</w:t>
      </w:r>
      <w:proofErr w:type="spellEnd"/>
      <w:r w:rsidRPr="007C3699">
        <w:rPr>
          <w:i/>
          <w:iCs/>
          <w:lang w:eastAsia="zh-CN"/>
        </w:rPr>
        <w:t xml:space="preserve"> bargain.</w:t>
      </w:r>
    </w:p>
    <w:p w14:paraId="3184BD3D" w14:textId="77777777" w:rsidR="009173EA" w:rsidRDefault="007C3699" w:rsidP="007C3699">
      <w:pPr>
        <w:jc w:val="both"/>
        <w:rPr>
          <w:lang w:eastAsia="zh-CN"/>
        </w:rPr>
      </w:pPr>
      <w:r w:rsidRPr="007C3699">
        <w:rPr>
          <w:lang w:eastAsia="zh-CN"/>
        </w:rPr>
        <w:t xml:space="preserve">Vietnam should use stricter US origin requirements as leverage to deepen the </w:t>
      </w:r>
      <w:proofErr w:type="spellStart"/>
      <w:r w:rsidRPr="007C3699">
        <w:rPr>
          <w:lang w:eastAsia="zh-CN"/>
        </w:rPr>
        <w:t>localisation</w:t>
      </w:r>
      <w:proofErr w:type="spellEnd"/>
      <w:r w:rsidRPr="007C3699">
        <w:rPr>
          <w:lang w:eastAsia="zh-CN"/>
        </w:rPr>
        <w:t xml:space="preserve"> of Chinese investment. Chinese firms seeking Vietnamese-origin status and more predictable tariff treatment in the US market should receive investment incentives and government facilitation only when they relocate to Vietnam the production stages that confer origin under the rules applicable to the specific product, rather than merely conducting final assembly, </w:t>
      </w:r>
      <w:proofErr w:type="spellStart"/>
      <w:r w:rsidRPr="007C3699">
        <w:rPr>
          <w:lang w:eastAsia="zh-CN"/>
        </w:rPr>
        <w:t>relabelling</w:t>
      </w:r>
      <w:proofErr w:type="spellEnd"/>
      <w:r w:rsidRPr="007C3699">
        <w:rPr>
          <w:lang w:eastAsia="zh-CN"/>
        </w:rPr>
        <w:t xml:space="preserve"> or transshipment. </w:t>
      </w:r>
    </w:p>
    <w:p w14:paraId="4DE933F8" w14:textId="4718E23C" w:rsidR="007C3699" w:rsidRPr="007C3699" w:rsidRDefault="007C3699" w:rsidP="007C3699">
      <w:pPr>
        <w:jc w:val="both"/>
        <w:rPr>
          <w:lang w:eastAsia="zh-CN"/>
        </w:rPr>
      </w:pPr>
      <w:r w:rsidRPr="007C3699">
        <w:rPr>
          <w:lang w:eastAsia="zh-CN"/>
        </w:rPr>
        <w:t xml:space="preserve">Vietnam should simultaneously establish an origin-verification dialogue with the United States, maintain end-to-end supply-chain traceability and encourage investors to obtain advance US customs rulings. This arrangement would allow compliant Chinese firms to secure legitimate market-access advantages while converting their incentive to </w:t>
      </w:r>
      <w:proofErr w:type="spellStart"/>
      <w:r w:rsidRPr="007C3699">
        <w:rPr>
          <w:lang w:eastAsia="zh-CN"/>
        </w:rPr>
        <w:t>localise</w:t>
      </w:r>
      <w:proofErr w:type="spellEnd"/>
      <w:r w:rsidRPr="007C3699">
        <w:rPr>
          <w:lang w:eastAsia="zh-CN"/>
        </w:rPr>
        <w:t xml:space="preserve"> into lasting Vietnamese technological capabilities.</w:t>
      </w:r>
    </w:p>
    <w:p w14:paraId="4E766E83" w14:textId="77777777" w:rsidR="007C3699" w:rsidRDefault="007C3699" w:rsidP="007C3699">
      <w:pPr>
        <w:jc w:val="both"/>
        <w:rPr>
          <w:i/>
          <w:iCs/>
          <w:lang w:eastAsia="zh-CN"/>
        </w:rPr>
      </w:pPr>
    </w:p>
    <w:p w14:paraId="6A72EC76" w14:textId="55E6647A" w:rsidR="007C3699" w:rsidRDefault="007C3699" w:rsidP="007C3699">
      <w:pPr>
        <w:jc w:val="both"/>
        <w:rPr>
          <w:lang w:eastAsia="zh-CN"/>
        </w:rPr>
      </w:pPr>
      <w:r w:rsidRPr="007C3699">
        <w:rPr>
          <w:i/>
          <w:iCs/>
          <w:lang w:eastAsia="zh-CN"/>
        </w:rPr>
        <w:t>Recommendation 3: Diversify partnerships to build domestic industrial capabilities</w:t>
      </w:r>
      <w:r w:rsidRPr="007C3699">
        <w:rPr>
          <w:i/>
          <w:iCs/>
          <w:lang w:eastAsia="zh-CN"/>
        </w:rPr>
        <w:t>.</w:t>
      </w:r>
      <w:r>
        <w:rPr>
          <w:lang w:eastAsia="zh-CN"/>
        </w:rPr>
        <w:t xml:space="preserve"> </w:t>
      </w:r>
    </w:p>
    <w:p w14:paraId="3930DBBF" w14:textId="3BD4B6BB" w:rsidR="007C3699" w:rsidRDefault="007C3699" w:rsidP="007C3699">
      <w:pPr>
        <w:jc w:val="both"/>
        <w:rPr>
          <w:lang w:eastAsia="zh-CN"/>
        </w:rPr>
      </w:pPr>
      <w:r>
        <w:rPr>
          <w:lang w:eastAsia="zh-CN"/>
        </w:rPr>
        <w:t xml:space="preserve">Vietnam should expand partnerships with the EU, Japan, South Korea, Singapore and Taiwan-based firms to secure alternative sources of technology, investment and expertise. Cooperation should </w:t>
      </w:r>
      <w:proofErr w:type="spellStart"/>
      <w:r>
        <w:rPr>
          <w:lang w:eastAsia="zh-CN"/>
        </w:rPr>
        <w:t>prioritise</w:t>
      </w:r>
      <w:proofErr w:type="spellEnd"/>
      <w:r>
        <w:rPr>
          <w:lang w:eastAsia="zh-CN"/>
        </w:rPr>
        <w:t xml:space="preserve"> joint training, supplier qualification, local maintenance and applied research, including proposed ASML training and research activities. Linking these partnerships to Vietnamese firms and universities would strengthen domestic capacity to absorb and adapt foreign technology. </w:t>
      </w:r>
    </w:p>
    <w:p w14:paraId="0759DB41" w14:textId="001ED07C" w:rsidR="007C3699" w:rsidRDefault="007C3699" w:rsidP="007C3699">
      <w:pPr>
        <w:jc w:val="both"/>
        <w:rPr>
          <w:rFonts w:hint="eastAsia"/>
          <w:lang w:eastAsia="zh-CN"/>
        </w:rPr>
      </w:pPr>
      <w:r>
        <w:rPr>
          <w:lang w:eastAsia="zh-CN"/>
        </w:rPr>
        <w:t>Support should concentrate on viable industrial clusters and attainable capabilities in advanced packaging, chip design and technical services. Progress should be assessed through Vietnamese engineers trained and retained, domestic suppliers qualified and technical functions performed locally. These partnerships would strengthen domestic resilience and provide credible alternatives when negotiations with either the United States or China yield limited benefits.</w:t>
      </w:r>
    </w:p>
    <w:sectPr w:rsidR="007C3699" w:rsidSect="00034616">
      <w:headerReference w:type="default" r:id="rId8"/>
      <w:footerReference w:type="default" r:id="rId9"/>
      <w:pgSz w:w="11905" w:h="16838"/>
      <w:pgMar w:top="1224" w:right="1296" w:bottom="1224" w:left="1296" w:header="36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C7AB5" w14:textId="77777777" w:rsidR="005A371C" w:rsidRDefault="005A371C">
      <w:pPr>
        <w:spacing w:after="0" w:line="240" w:lineRule="auto"/>
      </w:pPr>
      <w:r>
        <w:separator/>
      </w:r>
    </w:p>
  </w:endnote>
  <w:endnote w:type="continuationSeparator" w:id="0">
    <w:p w14:paraId="26DE46E1" w14:textId="77777777" w:rsidR="005A371C" w:rsidRDefault="005A3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iti TC">
    <w:panose1 w:val="02000000000000000000"/>
    <w:charset w:val="80"/>
    <w:family w:val="auto"/>
    <w:pitch w:val="variable"/>
    <w:sig w:usb0="8000002F" w:usb1="0807004A" w:usb2="00000010" w:usb3="00000000" w:csb0="003E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BDAF" w14:textId="77777777" w:rsidR="00723641" w:rsidRDefault="00000000">
    <w:pPr>
      <w:pStyle w:val="Footer"/>
      <w:jc w:val="right"/>
    </w:pPr>
    <w:r>
      <w:fldChar w:fldCharType="begin"/>
    </w:r>
    <w:r>
      <w:instrText>PAGE</w:instrText>
    </w:r>
    <w:r>
      <w:fldChar w:fldCharType="separate"/>
    </w:r>
    <w:r w:rsidR="00E255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0B5D1" w14:textId="77777777" w:rsidR="005A371C" w:rsidRDefault="005A371C">
      <w:pPr>
        <w:spacing w:after="0" w:line="240" w:lineRule="auto"/>
      </w:pPr>
      <w:r>
        <w:separator/>
      </w:r>
    </w:p>
  </w:footnote>
  <w:footnote w:type="continuationSeparator" w:id="0">
    <w:p w14:paraId="291ADA4F" w14:textId="77777777" w:rsidR="005A371C" w:rsidRDefault="005A37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D9F2" w14:textId="77777777" w:rsidR="00723641" w:rsidRDefault="00723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CF2471"/>
    <w:multiLevelType w:val="multilevel"/>
    <w:tmpl w:val="77CE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355290">
    <w:abstractNumId w:val="8"/>
  </w:num>
  <w:num w:numId="2" w16cid:durableId="1595550876">
    <w:abstractNumId w:val="6"/>
  </w:num>
  <w:num w:numId="3" w16cid:durableId="1062679131">
    <w:abstractNumId w:val="5"/>
  </w:num>
  <w:num w:numId="4" w16cid:durableId="1476296046">
    <w:abstractNumId w:val="4"/>
  </w:num>
  <w:num w:numId="5" w16cid:durableId="272252779">
    <w:abstractNumId w:val="7"/>
  </w:num>
  <w:num w:numId="6" w16cid:durableId="1182235135">
    <w:abstractNumId w:val="3"/>
  </w:num>
  <w:num w:numId="7" w16cid:durableId="441463977">
    <w:abstractNumId w:val="2"/>
  </w:num>
  <w:num w:numId="8" w16cid:durableId="467094131">
    <w:abstractNumId w:val="1"/>
  </w:num>
  <w:num w:numId="9" w16cid:durableId="1357392281">
    <w:abstractNumId w:val="0"/>
  </w:num>
  <w:num w:numId="10" w16cid:durableId="1226603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ADC"/>
    <w:rsid w:val="0015074B"/>
    <w:rsid w:val="0029639D"/>
    <w:rsid w:val="00326F90"/>
    <w:rsid w:val="00361C14"/>
    <w:rsid w:val="005A371C"/>
    <w:rsid w:val="00667469"/>
    <w:rsid w:val="007137A0"/>
    <w:rsid w:val="00723641"/>
    <w:rsid w:val="007C3699"/>
    <w:rsid w:val="00895593"/>
    <w:rsid w:val="008D6272"/>
    <w:rsid w:val="009173EA"/>
    <w:rsid w:val="00AA1D8D"/>
    <w:rsid w:val="00AF0BEF"/>
    <w:rsid w:val="00B47730"/>
    <w:rsid w:val="00CB0664"/>
    <w:rsid w:val="00D4429C"/>
    <w:rsid w:val="00E15ABA"/>
    <w:rsid w:val="00E255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52F13"/>
  <w14:defaultImageDpi w14:val="300"/>
  <w15:docId w15:val="{4B0D4BC1-84AA-8142-A646-CB6BCE2C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keepLines/>
      <w:spacing w:after="200"/>
      <w:contextualSpacing/>
    </w:pPr>
    <w:rPr>
      <w:b/>
      <w:spacing w:val="5"/>
      <w:kern w:val="28"/>
      <w:sz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r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rPr>
    </w:tblStylePr>
    <w:tblStylePr w:type="firstCol">
      <w:rPr>
        <w:color w:val="000000"/>
      </w:rPr>
    </w:tblStylePr>
    <w:tblStylePr w:type="lastCol">
      <w:rPr>
        <w:color w:val="000000"/>
      </w:rPr>
    </w:tblStylePr>
  </w:style>
  <w:style w:type="paragraph" w:styleId="NormalWeb">
    <w:name w:val="Normal (Web)"/>
    <w:basedOn w:val="Normal"/>
    <w:uiPriority w:val="99"/>
    <w:semiHidden/>
    <w:unhideWhenUsed/>
    <w:rsid w:val="000D4ADC"/>
    <w:pPr>
      <w:spacing w:before="100" w:beforeAutospacing="1" w:after="100" w:afterAutospacing="1" w:line="240" w:lineRule="auto"/>
    </w:pPr>
    <w:rPr>
      <w:color w:val="auto"/>
      <w:szCs w:val="24"/>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Balancing US and Chinese Influence through Vietnam’s Semiconductor Economic Diplomacy to Manage Asymmetric Dependence and Build Domestic Capabilities from Industrial Relocation</vt:lpstr>
    </vt:vector>
  </TitlesOfParts>
  <Manager/>
  <Company/>
  <LinksUpToDate>false</LinksUpToDate>
  <CharactersWithSpaces>7948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Balancing US and Chinese Influence through Vietnam’s Semiconductor Economic Diplomacy to Manage Asymmetric Dependence and Build Domestic Capabilities from Industrial Relocation</dc:title>
  <dc:subject>Semiconductor economic diplomacy and domestic capability development</dc:subject>
  <dc:creator>Han (Hannah) Liu</dc:creator>
  <cp:keywords>Vietnam, economic diplomacy, semiconductors, asymmetric dependence, domestic resilience</cp:keywords>
  <dc:description/>
  <cp:lastModifiedBy>Han LIU</cp:lastModifiedBy>
  <cp:revision>2</cp:revision>
  <dcterms:created xsi:type="dcterms:W3CDTF">2026-09-18T08:58:00Z</dcterms:created>
  <dcterms:modified xsi:type="dcterms:W3CDTF">2026-09-18T08:58:00Z</dcterms:modified>
  <cp:category/>
</cp:coreProperties>
</file>