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FB090" w14:textId="77777777" w:rsidR="003D6A94" w:rsidRPr="00C0190A" w:rsidRDefault="00000000">
      <w:pPr>
        <w:spacing w:after="60"/>
        <w:rPr>
          <w:rFonts w:ascii="Helvetica" w:hAnsi="Helvetica"/>
        </w:rPr>
      </w:pPr>
      <w:r w:rsidRPr="00C0190A">
        <w:rPr>
          <w:rFonts w:ascii="Helvetica" w:hAnsi="Helvetica"/>
          <w:b/>
          <w:bCs/>
        </w:rPr>
        <w:t xml:space="preserve">To: </w:t>
      </w:r>
      <w:r w:rsidRPr="00C0190A">
        <w:rPr>
          <w:rFonts w:ascii="Helvetica" w:hAnsi="Helvetica"/>
        </w:rPr>
        <w:t>Government of Thailand</w:t>
      </w:r>
    </w:p>
    <w:p w14:paraId="66354918" w14:textId="77777777" w:rsidR="003D6A94" w:rsidRPr="00C0190A" w:rsidRDefault="00000000">
      <w:pPr>
        <w:spacing w:after="60"/>
        <w:rPr>
          <w:rFonts w:ascii="Helvetica" w:hAnsi="Helvetica"/>
        </w:rPr>
      </w:pPr>
      <w:r w:rsidRPr="00C0190A">
        <w:rPr>
          <w:rFonts w:ascii="Helvetica" w:hAnsi="Helvetica"/>
          <w:b/>
          <w:bCs/>
        </w:rPr>
        <w:t xml:space="preserve">From: </w:t>
      </w:r>
      <w:r w:rsidRPr="00C0190A">
        <w:rPr>
          <w:rFonts w:ascii="Helvetica" w:hAnsi="Helvetica"/>
        </w:rPr>
        <w:t>Nuha Aamina</w:t>
      </w:r>
    </w:p>
    <w:p w14:paraId="2542142F" w14:textId="69777ADF" w:rsidR="003D6A94" w:rsidRPr="00C0190A" w:rsidRDefault="00000000">
      <w:pPr>
        <w:spacing w:after="60"/>
        <w:rPr>
          <w:rFonts w:ascii="Helvetica" w:hAnsi="Helvetica"/>
        </w:rPr>
      </w:pPr>
      <w:r w:rsidRPr="00C0190A">
        <w:rPr>
          <w:rFonts w:ascii="Helvetica" w:hAnsi="Helvetica"/>
          <w:b/>
          <w:bCs/>
        </w:rPr>
        <w:t xml:space="preserve">Date: </w:t>
      </w:r>
      <w:r w:rsidR="00C0190A" w:rsidRPr="00C0190A">
        <w:rPr>
          <w:rFonts w:ascii="Helvetica" w:hAnsi="Helvetica"/>
        </w:rPr>
        <w:t>8 September 2026</w:t>
      </w:r>
    </w:p>
    <w:p w14:paraId="730D0937" w14:textId="77777777" w:rsidR="003D6A94" w:rsidRPr="00C0190A" w:rsidRDefault="00000000">
      <w:pPr>
        <w:pBdr>
          <w:bottom w:val="single" w:sz="6" w:space="8" w:color="000000"/>
        </w:pBdr>
        <w:spacing w:after="200"/>
        <w:rPr>
          <w:rFonts w:ascii="Helvetica" w:hAnsi="Helvetica"/>
        </w:rPr>
      </w:pPr>
      <w:r w:rsidRPr="00C0190A">
        <w:rPr>
          <w:rFonts w:ascii="Helvetica" w:hAnsi="Helvetica"/>
          <w:b/>
          <w:bCs/>
        </w:rPr>
        <w:t xml:space="preserve">Subject: </w:t>
      </w:r>
      <w:r w:rsidRPr="00C0190A">
        <w:rPr>
          <w:rFonts w:ascii="Helvetica" w:hAnsi="Helvetica"/>
        </w:rPr>
        <w:t>Re-evaluating Thailand's Oil Import Strategy Amid Strait of Hormuz Closure</w:t>
      </w:r>
    </w:p>
    <w:p w14:paraId="679346A1" w14:textId="77777777" w:rsidR="00C0190A" w:rsidRDefault="00C0190A">
      <w:pPr>
        <w:spacing w:after="200"/>
        <w:rPr>
          <w:rFonts w:ascii="Helvetica" w:hAnsi="Helvetica"/>
          <w:b/>
          <w:bCs/>
        </w:rPr>
      </w:pPr>
      <w:r w:rsidRPr="00C0190A">
        <w:rPr>
          <w:rFonts w:ascii="Helvetica" w:hAnsi="Helvetica"/>
          <w:b/>
          <w:bCs/>
        </w:rPr>
        <w:t>Summary</w:t>
      </w:r>
      <w:r>
        <w:rPr>
          <w:rFonts w:ascii="Helvetica" w:hAnsi="Helvetica"/>
          <w:b/>
          <w:bCs/>
        </w:rPr>
        <w:br/>
      </w:r>
      <w:r w:rsidR="00000000" w:rsidRPr="00C0190A">
        <w:rPr>
          <w:rFonts w:ascii="Helvetica" w:hAnsi="Helvetica"/>
        </w:rPr>
        <w:t>Thailand's heavy reliance on Middle East energy imports has left it exposed to price shocks from the US-Israel-Iran conflict, with domestic oil prices up 34% and inflation rising sharply in 2025. Thailand should pursue a phased diversification of import sources alongside accelerated regional renewable investment, backed by active diplomatic engagement to secure supply continuity through future disruptions.</w:t>
      </w:r>
    </w:p>
    <w:p w14:paraId="564B688B" w14:textId="3413B734" w:rsidR="003D6A94" w:rsidRPr="00C0190A" w:rsidRDefault="00C0190A">
      <w:pPr>
        <w:spacing w:after="200"/>
        <w:rPr>
          <w:rFonts w:ascii="Helvetica" w:hAnsi="Helvetica"/>
          <w:b/>
          <w:bCs/>
        </w:rPr>
      </w:pPr>
      <w:r>
        <w:rPr>
          <w:rFonts w:ascii="Helvetica" w:hAnsi="Helvetica"/>
          <w:b/>
          <w:bCs/>
        </w:rPr>
        <w:t>Background</w:t>
      </w:r>
      <w:r>
        <w:rPr>
          <w:rFonts w:ascii="Helvetica" w:hAnsi="Helvetica"/>
          <w:b/>
          <w:bCs/>
        </w:rPr>
        <w:br/>
      </w:r>
      <w:r w:rsidR="00000000" w:rsidRPr="00C0190A">
        <w:rPr>
          <w:rFonts w:ascii="Helvetica" w:hAnsi="Helvetica"/>
        </w:rPr>
        <w:t>The Strait of Hormuz carries roughly 25% of the world's seaborne trade, including 20 million barrels of crude oil and oil products shipped in 2025, with few viable alternative routes. Thailand is particularly exposed: energy imports account for 7.5% of its GDP, and a significant share of its oil and gas comes from the Middle East. Between January and May 2025, domestic oil prices rose 34% on average, while consumer and producer inflation reached 2.4% and 7.2% year-on-year by Q2. Thailand's energy strategy has assumed global markets will reliably deliver supply, even at fluctuating prices — an assumption undermined by the current crisis. Against a backdrop of rising geopolitical tension, weakening multilateral coordination, and more frequent conflict, energy is increasingly used as a strategic tool rather than traded as a neutral commodity. Thailand's import needs continue to grow even as the reliability of that supply weakens, making this a first-order economic security risk requiring immediate policy response.</w:t>
      </w:r>
    </w:p>
    <w:p w14:paraId="2F8ADE8F" w14:textId="3AC36323" w:rsidR="00C0190A" w:rsidRDefault="00C0190A">
      <w:pPr>
        <w:spacing w:after="60"/>
        <w:rPr>
          <w:rFonts w:ascii="Helvetica" w:hAnsi="Helvetica"/>
        </w:rPr>
      </w:pPr>
      <w:r>
        <w:rPr>
          <w:rFonts w:ascii="Helvetica" w:hAnsi="Helvetica"/>
          <w:b/>
          <w:bCs/>
        </w:rPr>
        <w:t>Analysis/Options</w:t>
      </w:r>
    </w:p>
    <w:p w14:paraId="7A437D21" w14:textId="7C71A9C5" w:rsidR="003D6A94" w:rsidRPr="00C0190A" w:rsidRDefault="00000000">
      <w:pPr>
        <w:spacing w:after="60"/>
        <w:rPr>
          <w:rFonts w:ascii="Helvetica" w:hAnsi="Helvetica"/>
        </w:rPr>
      </w:pPr>
      <w:r w:rsidRPr="00C0190A">
        <w:rPr>
          <w:rFonts w:ascii="Helvetica" w:hAnsi="Helvetica"/>
          <w:i/>
          <w:iCs/>
          <w:u w:val="single"/>
        </w:rPr>
        <w:t>1. Redirect energy supply domestically</w:t>
      </w:r>
      <w:r w:rsidRPr="00C0190A">
        <w:rPr>
          <w:rFonts w:ascii="Helvetica" w:hAnsi="Helvetica"/>
          <w:i/>
          <w:iCs/>
        </w:rPr>
        <w:t>.</w:t>
      </w:r>
    </w:p>
    <w:p w14:paraId="0A24470A" w14:textId="77777777" w:rsidR="003D6A94" w:rsidRPr="00C0190A" w:rsidRDefault="00000000">
      <w:pPr>
        <w:spacing w:after="60"/>
        <w:rPr>
          <w:rFonts w:ascii="Helvetica" w:hAnsi="Helvetica"/>
        </w:rPr>
      </w:pPr>
      <w:r w:rsidRPr="00C0190A">
        <w:rPr>
          <w:rFonts w:ascii="Helvetica" w:hAnsi="Helvetica"/>
        </w:rPr>
        <w:t>Thailand has banned crude and refined petroleum exports, exempting Laos and Myanmar because it depends on their hydroelectricity and gas.</w:t>
      </w:r>
    </w:p>
    <w:p w14:paraId="2CC5FB43" w14:textId="77777777" w:rsidR="003D6A94" w:rsidRPr="00C0190A" w:rsidRDefault="00000000">
      <w:pPr>
        <w:spacing w:after="40"/>
        <w:rPr>
          <w:rFonts w:ascii="Helvetica" w:hAnsi="Helvetica"/>
        </w:rPr>
      </w:pPr>
      <w:r w:rsidRPr="00C0190A">
        <w:rPr>
          <w:rFonts w:ascii="Helvetica" w:hAnsi="Helvetica"/>
          <w:b/>
          <w:bCs/>
        </w:rPr>
        <w:t xml:space="preserve">Pros: </w:t>
      </w:r>
      <w:r w:rsidRPr="00C0190A">
        <w:rPr>
          <w:rFonts w:ascii="Helvetica" w:hAnsi="Helvetica"/>
        </w:rPr>
        <w:t xml:space="preserve">Prioritizes domestic reserves and preserves goodwill with two energy-dependent </w:t>
      </w:r>
      <w:proofErr w:type="spellStart"/>
      <w:r w:rsidRPr="00C0190A">
        <w:rPr>
          <w:rFonts w:ascii="Helvetica" w:hAnsi="Helvetica"/>
        </w:rPr>
        <w:t>neighbors</w:t>
      </w:r>
      <w:proofErr w:type="spellEnd"/>
      <w:r w:rsidRPr="00C0190A">
        <w:rPr>
          <w:rFonts w:ascii="Helvetica" w:hAnsi="Helvetica"/>
        </w:rPr>
        <w:t>.</w:t>
      </w:r>
    </w:p>
    <w:p w14:paraId="42450EC2" w14:textId="77777777" w:rsidR="003D6A94" w:rsidRPr="00C0190A" w:rsidRDefault="00000000">
      <w:pPr>
        <w:spacing w:after="160"/>
        <w:rPr>
          <w:rFonts w:ascii="Helvetica" w:hAnsi="Helvetica"/>
        </w:rPr>
      </w:pPr>
      <w:r w:rsidRPr="00C0190A">
        <w:rPr>
          <w:rFonts w:ascii="Helvetica" w:hAnsi="Helvetica"/>
          <w:b/>
          <w:bCs/>
        </w:rPr>
        <w:t xml:space="preserve">Cons: </w:t>
      </w:r>
      <w:r w:rsidRPr="00C0190A">
        <w:rPr>
          <w:rFonts w:ascii="Helvetica" w:hAnsi="Helvetica"/>
        </w:rPr>
        <w:t>Reads as a unilateral, self-interested export restriction rather than regional cooperation, risking diplomatic credibility.</w:t>
      </w:r>
    </w:p>
    <w:p w14:paraId="6E540503" w14:textId="77777777" w:rsidR="003D6A94" w:rsidRPr="00C0190A" w:rsidRDefault="00000000">
      <w:pPr>
        <w:spacing w:after="60"/>
        <w:rPr>
          <w:rFonts w:ascii="Helvetica" w:hAnsi="Helvetica"/>
        </w:rPr>
      </w:pPr>
      <w:r w:rsidRPr="00C0190A">
        <w:rPr>
          <w:rFonts w:ascii="Helvetica" w:hAnsi="Helvetica"/>
          <w:i/>
          <w:iCs/>
          <w:u w:val="single"/>
        </w:rPr>
        <w:t>2. Diversify energy imports</w:t>
      </w:r>
      <w:r w:rsidRPr="00C0190A">
        <w:rPr>
          <w:rFonts w:ascii="Helvetica" w:hAnsi="Helvetica"/>
        </w:rPr>
        <w:t>.</w:t>
      </w:r>
    </w:p>
    <w:p w14:paraId="28512A72" w14:textId="77777777" w:rsidR="003D6A94" w:rsidRPr="00C0190A" w:rsidRDefault="00000000">
      <w:pPr>
        <w:spacing w:after="60"/>
        <w:rPr>
          <w:rFonts w:ascii="Helvetica" w:hAnsi="Helvetica"/>
        </w:rPr>
      </w:pPr>
      <w:r w:rsidRPr="00C0190A">
        <w:rPr>
          <w:rFonts w:ascii="Helvetica" w:hAnsi="Helvetica"/>
        </w:rPr>
        <w:t>Increase sourcing from the US, South Africa, Malaysia, and Russia.</w:t>
      </w:r>
    </w:p>
    <w:p w14:paraId="4CD60F89" w14:textId="77777777" w:rsidR="003D6A94" w:rsidRPr="00C0190A" w:rsidRDefault="00000000">
      <w:pPr>
        <w:spacing w:after="40"/>
        <w:rPr>
          <w:rFonts w:ascii="Helvetica" w:hAnsi="Helvetica"/>
        </w:rPr>
      </w:pPr>
      <w:r w:rsidRPr="00C0190A">
        <w:rPr>
          <w:rFonts w:ascii="Helvetica" w:hAnsi="Helvetica"/>
          <w:b/>
          <w:bCs/>
        </w:rPr>
        <w:t xml:space="preserve">Pros: </w:t>
      </w:r>
      <w:r w:rsidRPr="00C0190A">
        <w:rPr>
          <w:rFonts w:ascii="Helvetica" w:hAnsi="Helvetica"/>
        </w:rPr>
        <w:t>Expands diplomatic ties and reduces single-region dependency.</w:t>
      </w:r>
    </w:p>
    <w:p w14:paraId="4B1ED67B" w14:textId="77777777" w:rsidR="003D6A94" w:rsidRPr="00C0190A" w:rsidRDefault="00000000">
      <w:pPr>
        <w:spacing w:after="160"/>
        <w:rPr>
          <w:rFonts w:ascii="Helvetica" w:hAnsi="Helvetica"/>
        </w:rPr>
      </w:pPr>
      <w:r w:rsidRPr="00C0190A">
        <w:rPr>
          <w:rFonts w:ascii="Helvetica" w:hAnsi="Helvetica"/>
          <w:b/>
          <w:bCs/>
        </w:rPr>
        <w:t xml:space="preserve">Cons: </w:t>
      </w:r>
      <w:r w:rsidRPr="00C0190A">
        <w:rPr>
          <w:rFonts w:ascii="Helvetica" w:hAnsi="Helvetica"/>
        </w:rPr>
        <w:t>Deeper ties with one geopolitical bloc could strain relations with another, especially amid active US-Iran tensions.</w:t>
      </w:r>
    </w:p>
    <w:p w14:paraId="7917131B" w14:textId="77777777" w:rsidR="003D6A94" w:rsidRPr="00C0190A" w:rsidRDefault="00000000">
      <w:pPr>
        <w:spacing w:after="60"/>
        <w:rPr>
          <w:rFonts w:ascii="Helvetica" w:hAnsi="Helvetica"/>
        </w:rPr>
      </w:pPr>
      <w:r w:rsidRPr="00C0190A">
        <w:rPr>
          <w:rFonts w:ascii="Helvetica" w:hAnsi="Helvetica"/>
          <w:i/>
          <w:iCs/>
          <w:u w:val="single"/>
        </w:rPr>
        <w:t>3. Accelerate the shift to renewables</w:t>
      </w:r>
      <w:r w:rsidRPr="00C0190A">
        <w:rPr>
          <w:rFonts w:ascii="Helvetica" w:hAnsi="Helvetica"/>
        </w:rPr>
        <w:t>.</w:t>
      </w:r>
    </w:p>
    <w:p w14:paraId="0544FEA1" w14:textId="77777777" w:rsidR="003D6A94" w:rsidRPr="00C0190A" w:rsidRDefault="00000000">
      <w:pPr>
        <w:spacing w:after="60"/>
        <w:rPr>
          <w:rFonts w:ascii="Helvetica" w:hAnsi="Helvetica"/>
        </w:rPr>
      </w:pPr>
      <w:r w:rsidRPr="00C0190A">
        <w:rPr>
          <w:rFonts w:ascii="Helvetica" w:hAnsi="Helvetica"/>
        </w:rPr>
        <w:t>Thailand has made early progress in solar and is the largest foreign investor in Lao hydropower, with 200 million baht earmarked for renewable transition.</w:t>
      </w:r>
    </w:p>
    <w:p w14:paraId="42E917B7" w14:textId="77777777" w:rsidR="003D6A94" w:rsidRPr="00C0190A" w:rsidRDefault="00000000">
      <w:pPr>
        <w:spacing w:after="40"/>
        <w:rPr>
          <w:rFonts w:ascii="Helvetica" w:hAnsi="Helvetica"/>
        </w:rPr>
      </w:pPr>
      <w:r w:rsidRPr="00C0190A">
        <w:rPr>
          <w:rFonts w:ascii="Helvetica" w:hAnsi="Helvetica"/>
          <w:b/>
          <w:bCs/>
        </w:rPr>
        <w:t xml:space="preserve">Pros: </w:t>
      </w:r>
      <w:r w:rsidRPr="00C0190A">
        <w:rPr>
          <w:rFonts w:ascii="Helvetica" w:hAnsi="Helvetica"/>
        </w:rPr>
        <w:t>Aligns with Thailand's 2050 net-zero target, insulates the economy from future commodity shocks, and helps multinationals operating in Thailand meet ESG reporting requirements.</w:t>
      </w:r>
    </w:p>
    <w:p w14:paraId="033FAE49" w14:textId="77777777" w:rsidR="003D6A94" w:rsidRPr="00C0190A" w:rsidRDefault="00000000">
      <w:pPr>
        <w:spacing w:after="160"/>
        <w:rPr>
          <w:rFonts w:ascii="Helvetica" w:hAnsi="Helvetica"/>
        </w:rPr>
      </w:pPr>
      <w:r w:rsidRPr="00C0190A">
        <w:rPr>
          <w:rFonts w:ascii="Helvetica" w:hAnsi="Helvetica"/>
          <w:b/>
          <w:bCs/>
        </w:rPr>
        <w:t xml:space="preserve">Cons: </w:t>
      </w:r>
      <w:r w:rsidRPr="00C0190A">
        <w:rPr>
          <w:rFonts w:ascii="Helvetica" w:hAnsi="Helvetica"/>
        </w:rPr>
        <w:t>Requires a rapid infrastructure build-out at a time when Thai power demand is rising sharply.</w:t>
      </w:r>
    </w:p>
    <w:p w14:paraId="3D0DE217" w14:textId="77777777" w:rsidR="003D6A94" w:rsidRPr="00C0190A" w:rsidRDefault="00000000">
      <w:pPr>
        <w:spacing w:after="60"/>
        <w:rPr>
          <w:rFonts w:ascii="Helvetica" w:hAnsi="Helvetica"/>
        </w:rPr>
      </w:pPr>
      <w:r w:rsidRPr="00C0190A">
        <w:rPr>
          <w:rFonts w:ascii="Helvetica" w:hAnsi="Helvetica"/>
          <w:i/>
          <w:iCs/>
          <w:u w:val="single"/>
        </w:rPr>
        <w:t>4. Deploy shock-absorption tools</w:t>
      </w:r>
      <w:r w:rsidRPr="00C0190A">
        <w:rPr>
          <w:rFonts w:ascii="Helvetica" w:hAnsi="Helvetica"/>
        </w:rPr>
        <w:t>.</w:t>
      </w:r>
    </w:p>
    <w:p w14:paraId="58A74F58" w14:textId="77777777" w:rsidR="003D6A94" w:rsidRPr="00C0190A" w:rsidRDefault="00000000">
      <w:pPr>
        <w:spacing w:after="60"/>
        <w:rPr>
          <w:rFonts w:ascii="Helvetica" w:hAnsi="Helvetica"/>
        </w:rPr>
      </w:pPr>
      <w:r w:rsidRPr="00C0190A">
        <w:rPr>
          <w:rFonts w:ascii="Helvetica" w:hAnsi="Helvetica"/>
        </w:rPr>
        <w:t>The Oil Fund can cushion short-term price spikes; if crude breaches $120–130/barrel, excise duty cuts would follow the precedent set during the Russia-Ukraine crisis (a 1–5 baht/litre diesel excise cut, costing 100 billion baht). At $150–170/barrel, both tools would be deployed simultaneously.</w:t>
      </w:r>
    </w:p>
    <w:p w14:paraId="259BBC49" w14:textId="77777777" w:rsidR="003D6A94" w:rsidRPr="00C0190A" w:rsidRDefault="00000000">
      <w:pPr>
        <w:spacing w:after="40"/>
        <w:rPr>
          <w:rFonts w:ascii="Helvetica" w:hAnsi="Helvetica"/>
        </w:rPr>
      </w:pPr>
      <w:r w:rsidRPr="00C0190A">
        <w:rPr>
          <w:rFonts w:ascii="Helvetica" w:hAnsi="Helvetica"/>
          <w:b/>
          <w:bCs/>
        </w:rPr>
        <w:t xml:space="preserve">Pros: </w:t>
      </w:r>
      <w:r w:rsidRPr="00C0190A">
        <w:rPr>
          <w:rFonts w:ascii="Helvetica" w:hAnsi="Helvetica"/>
        </w:rPr>
        <w:t>Provides immediate relief and limits pass-through to consumers.</w:t>
      </w:r>
    </w:p>
    <w:p w14:paraId="629303C6" w14:textId="77777777" w:rsidR="003D6A94" w:rsidRPr="00C0190A" w:rsidRDefault="00000000">
      <w:pPr>
        <w:spacing w:after="200"/>
        <w:rPr>
          <w:rFonts w:ascii="Helvetica" w:hAnsi="Helvetica"/>
        </w:rPr>
      </w:pPr>
      <w:r w:rsidRPr="00C0190A">
        <w:rPr>
          <w:rFonts w:ascii="Helvetica" w:hAnsi="Helvetica"/>
          <w:b/>
          <w:bCs/>
        </w:rPr>
        <w:t xml:space="preserve">Cons: </w:t>
      </w:r>
      <w:r w:rsidRPr="00C0190A">
        <w:rPr>
          <w:rFonts w:ascii="Helvetica" w:hAnsi="Helvetica"/>
        </w:rPr>
        <w:t>Sustained use erodes fiscal space needed for other development priorities.</w:t>
      </w:r>
    </w:p>
    <w:p w14:paraId="79407238" w14:textId="32BC1A9B" w:rsidR="003D6A94" w:rsidRPr="00C0190A" w:rsidRDefault="00C0190A">
      <w:pPr>
        <w:spacing w:after="160"/>
        <w:rPr>
          <w:rFonts w:ascii="Helvetica" w:hAnsi="Helvetica"/>
        </w:rPr>
      </w:pPr>
      <w:r w:rsidRPr="00C0190A">
        <w:rPr>
          <w:rFonts w:ascii="Helvetica" w:hAnsi="Helvetica"/>
          <w:b/>
          <w:bCs/>
        </w:rPr>
        <w:lastRenderedPageBreak/>
        <w:t>Recommendation</w:t>
      </w:r>
      <w:r>
        <w:rPr>
          <w:rFonts w:ascii="Helvetica" w:hAnsi="Helvetica"/>
        </w:rPr>
        <w:br/>
      </w:r>
      <w:r w:rsidR="00000000" w:rsidRPr="00C0190A">
        <w:rPr>
          <w:rFonts w:ascii="Helvetica" w:hAnsi="Helvetica"/>
        </w:rPr>
        <w:t>Given the urgency of the current shock and the structural nature of the underlying risk, Thailand should pursue the following action points in parallel, prioritized by how quickly they can be implemented:</w:t>
      </w:r>
    </w:p>
    <w:p w14:paraId="386AD91D" w14:textId="77777777" w:rsidR="003D6A94" w:rsidRPr="00C0190A" w:rsidRDefault="00000000">
      <w:pPr>
        <w:spacing w:after="160"/>
        <w:rPr>
          <w:rFonts w:ascii="Helvetica" w:hAnsi="Helvetica"/>
        </w:rPr>
      </w:pPr>
      <w:r w:rsidRPr="00C0190A">
        <w:rPr>
          <w:rFonts w:ascii="Helvetica" w:hAnsi="Helvetica"/>
          <w:b/>
          <w:bCs/>
        </w:rPr>
        <w:t xml:space="preserve">1. Formalize diplomatic supply guarantees (immediate). </w:t>
      </w:r>
      <w:r w:rsidRPr="00C0190A">
        <w:rPr>
          <w:rFonts w:ascii="Helvetica" w:hAnsi="Helvetica"/>
        </w:rPr>
        <w:t>Building on the precedent of 26 March 2026, when Thailand secured safe passage for its oil tankers through the Strait of Hormuz by coordinating directly with Iran and Oman, the government should establish a standing energy-security diplomatic channel — rather than an ad hoc response — to negotiate similar guarantees proactively with both Gulf states and the US before the next disruption occurs.</w:t>
      </w:r>
    </w:p>
    <w:p w14:paraId="7617F04B" w14:textId="77777777" w:rsidR="003D6A94" w:rsidRPr="00C0190A" w:rsidRDefault="00000000">
      <w:pPr>
        <w:spacing w:after="160"/>
        <w:rPr>
          <w:rFonts w:ascii="Helvetica" w:hAnsi="Helvetica"/>
        </w:rPr>
      </w:pPr>
      <w:r w:rsidRPr="00C0190A">
        <w:rPr>
          <w:rFonts w:ascii="Helvetica" w:hAnsi="Helvetica"/>
          <w:b/>
          <w:bCs/>
        </w:rPr>
        <w:t xml:space="preserve">2. Diversify imports in a phased, risk-weighted manner (near-term). </w:t>
      </w:r>
      <w:r w:rsidRPr="00C0190A">
        <w:rPr>
          <w:rFonts w:ascii="Helvetica" w:hAnsi="Helvetica"/>
        </w:rPr>
        <w:t>Rather than a broad pivot away from the Middle East, Thailand should set explicit targets to increase crude and LNG sourcing from Malaysia and other ASEAN partners, which also reduces shipping distance and cost. Ties with the US and Russia should be treated as strategic hedges rather than primary sources, given the geoeconomic sensitivities of picking a side in an active conflict.</w:t>
      </w:r>
    </w:p>
    <w:p w14:paraId="06B7E207" w14:textId="340B5B58" w:rsidR="003D6A94" w:rsidRPr="00C0190A" w:rsidRDefault="00000000" w:rsidP="00C0190A">
      <w:pPr>
        <w:spacing w:after="160"/>
        <w:rPr>
          <w:rFonts w:ascii="Helvetica" w:hAnsi="Helvetica"/>
        </w:rPr>
      </w:pPr>
      <w:r w:rsidRPr="00C0190A">
        <w:rPr>
          <w:rFonts w:ascii="Helvetica" w:hAnsi="Helvetica"/>
          <w:b/>
          <w:bCs/>
        </w:rPr>
        <w:t xml:space="preserve">3. Front-load renewable and hydropower investment (medium-term). </w:t>
      </w:r>
      <w:r w:rsidRPr="00C0190A">
        <w:rPr>
          <w:rFonts w:ascii="Helvetica" w:hAnsi="Helvetica"/>
        </w:rPr>
        <w:t>Thailand should fast-track its existing EGAT-Laos hydropower purchase agreements and prioritize the 200-million-baht renewable allocation toward projects that can come online within 3–5 years — solar and hydropower — rather than longer-horizon technologies, since the immediate goal is import substitution, not decarbonization alone.</w:t>
      </w:r>
    </w:p>
    <w:sectPr w:rsidR="003D6A94" w:rsidRPr="00C019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392EAB"/>
    <w:multiLevelType w:val="hybridMultilevel"/>
    <w:tmpl w:val="4AA64CBC"/>
    <w:lvl w:ilvl="0" w:tplc="4774BF5E">
      <w:start w:val="1"/>
      <w:numFmt w:val="bullet"/>
      <w:lvlText w:val="●"/>
      <w:lvlJc w:val="left"/>
      <w:pPr>
        <w:ind w:left="720" w:hanging="360"/>
      </w:pPr>
    </w:lvl>
    <w:lvl w:ilvl="1" w:tplc="22F44322">
      <w:start w:val="1"/>
      <w:numFmt w:val="bullet"/>
      <w:lvlText w:val="○"/>
      <w:lvlJc w:val="left"/>
      <w:pPr>
        <w:ind w:left="1440" w:hanging="360"/>
      </w:pPr>
    </w:lvl>
    <w:lvl w:ilvl="2" w:tplc="C0308BA6">
      <w:start w:val="1"/>
      <w:numFmt w:val="bullet"/>
      <w:lvlText w:val="■"/>
      <w:lvlJc w:val="left"/>
      <w:pPr>
        <w:ind w:left="2160" w:hanging="360"/>
      </w:pPr>
    </w:lvl>
    <w:lvl w:ilvl="3" w:tplc="F5AA1DAE">
      <w:start w:val="1"/>
      <w:numFmt w:val="bullet"/>
      <w:lvlText w:val="●"/>
      <w:lvlJc w:val="left"/>
      <w:pPr>
        <w:ind w:left="2880" w:hanging="360"/>
      </w:pPr>
    </w:lvl>
    <w:lvl w:ilvl="4" w:tplc="DFDA5AC8">
      <w:start w:val="1"/>
      <w:numFmt w:val="bullet"/>
      <w:lvlText w:val="○"/>
      <w:lvlJc w:val="left"/>
      <w:pPr>
        <w:ind w:left="3600" w:hanging="360"/>
      </w:pPr>
    </w:lvl>
    <w:lvl w:ilvl="5" w:tplc="0AC4652C">
      <w:start w:val="1"/>
      <w:numFmt w:val="bullet"/>
      <w:lvlText w:val="■"/>
      <w:lvlJc w:val="left"/>
      <w:pPr>
        <w:ind w:left="4320" w:hanging="360"/>
      </w:pPr>
    </w:lvl>
    <w:lvl w:ilvl="6" w:tplc="9E186C30">
      <w:start w:val="1"/>
      <w:numFmt w:val="bullet"/>
      <w:lvlText w:val="●"/>
      <w:lvlJc w:val="left"/>
      <w:pPr>
        <w:ind w:left="5040" w:hanging="360"/>
      </w:pPr>
    </w:lvl>
    <w:lvl w:ilvl="7" w:tplc="FB22E7F8">
      <w:start w:val="1"/>
      <w:numFmt w:val="bullet"/>
      <w:lvlText w:val="●"/>
      <w:lvlJc w:val="left"/>
      <w:pPr>
        <w:ind w:left="5760" w:hanging="360"/>
      </w:pPr>
    </w:lvl>
    <w:lvl w:ilvl="8" w:tplc="B34E6DFC">
      <w:start w:val="1"/>
      <w:numFmt w:val="bullet"/>
      <w:lvlText w:val="●"/>
      <w:lvlJc w:val="left"/>
      <w:pPr>
        <w:ind w:left="6480" w:hanging="360"/>
      </w:pPr>
    </w:lvl>
  </w:abstractNum>
  <w:num w:numId="1" w16cid:durableId="7513927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A94"/>
    <w:rsid w:val="003D6A94"/>
    <w:rsid w:val="00C0190A"/>
    <w:rsid w:val="00C10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F38692"/>
  <w15:docId w15:val="{6FC48FDC-043F-9B44-9A16-6FE7400C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Nuha Aamina</cp:lastModifiedBy>
  <cp:revision>2</cp:revision>
  <dcterms:created xsi:type="dcterms:W3CDTF">2026-09-18T11:30:00Z</dcterms:created>
  <dcterms:modified xsi:type="dcterms:W3CDTF">2026-09-18T11:30:00Z</dcterms:modified>
</cp:coreProperties>
</file>