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21D540" w14:textId="77777777" w:rsidR="00B018FF" w:rsidRPr="00E7443F" w:rsidRDefault="00000000" w:rsidP="00763DF2">
      <w:pPr>
        <w:spacing w:after="100" w:line="360" w:lineRule="auto"/>
        <w:ind w:right="-7"/>
        <w:jc w:val="center"/>
        <w:rPr>
          <w:rFonts w:ascii="Garamond" w:hAnsi="Garamond"/>
          <w:sz w:val="24"/>
          <w:szCs w:val="24"/>
        </w:rPr>
      </w:pPr>
      <w:r w:rsidRPr="00E7443F">
        <w:rPr>
          <w:rFonts w:ascii="Garamond" w:hAnsi="Garamond"/>
          <w:b/>
          <w:sz w:val="24"/>
          <w:szCs w:val="24"/>
        </w:rPr>
        <w:t>MEMORANDUM</w:t>
      </w:r>
    </w:p>
    <w:p w14:paraId="32FEDB9B"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b/>
          <w:sz w:val="24"/>
          <w:szCs w:val="24"/>
        </w:rPr>
        <w:t xml:space="preserve">To: </w:t>
      </w:r>
      <w:r w:rsidRPr="00E7443F">
        <w:rPr>
          <w:rFonts w:ascii="Garamond" w:hAnsi="Garamond"/>
          <w:sz w:val="24"/>
          <w:szCs w:val="24"/>
        </w:rPr>
        <w:t>Governor, Gelephu Mindfulness City Authority</w:t>
      </w:r>
    </w:p>
    <w:p w14:paraId="763B9D9A"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b/>
          <w:sz w:val="24"/>
          <w:szCs w:val="24"/>
        </w:rPr>
        <w:t xml:space="preserve">From: </w:t>
      </w:r>
      <w:r w:rsidRPr="00E7443F">
        <w:rPr>
          <w:rFonts w:ascii="Garamond" w:hAnsi="Garamond"/>
          <w:sz w:val="24"/>
          <w:szCs w:val="24"/>
        </w:rPr>
        <w:t>Policy Analyst</w:t>
      </w:r>
    </w:p>
    <w:p w14:paraId="681A040B"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b/>
          <w:sz w:val="24"/>
          <w:szCs w:val="24"/>
        </w:rPr>
        <w:t xml:space="preserve">Date: </w:t>
      </w:r>
      <w:r w:rsidRPr="00E7443F">
        <w:rPr>
          <w:rFonts w:ascii="Garamond" w:hAnsi="Garamond"/>
          <w:sz w:val="24"/>
          <w:szCs w:val="24"/>
        </w:rPr>
        <w:t>18 September 2026</w:t>
      </w:r>
    </w:p>
    <w:p w14:paraId="491A17CD"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b/>
          <w:sz w:val="24"/>
          <w:szCs w:val="24"/>
        </w:rPr>
        <w:t xml:space="preserve">Subject: </w:t>
      </w:r>
      <w:r w:rsidRPr="00E7443F">
        <w:rPr>
          <w:rFonts w:ascii="Garamond" w:hAnsi="Garamond"/>
          <w:sz w:val="24"/>
          <w:szCs w:val="24"/>
        </w:rPr>
        <w:t>Using Singapore to Secure GMC's First Anchor Investors Without Creating Strategic Dependence</w:t>
      </w:r>
    </w:p>
    <w:p w14:paraId="090FEC57" w14:textId="77777777" w:rsidR="00B018FF" w:rsidRPr="00E7443F" w:rsidRDefault="00000000" w:rsidP="00763DF2">
      <w:pPr>
        <w:spacing w:before="180" w:after="80" w:line="360" w:lineRule="auto"/>
        <w:ind w:right="-7"/>
        <w:rPr>
          <w:rFonts w:ascii="Garamond" w:hAnsi="Garamond"/>
          <w:sz w:val="24"/>
          <w:szCs w:val="24"/>
        </w:rPr>
      </w:pPr>
      <w:r w:rsidRPr="00E7443F">
        <w:rPr>
          <w:rFonts w:ascii="Garamond" w:hAnsi="Garamond"/>
          <w:b/>
          <w:sz w:val="24"/>
          <w:szCs w:val="24"/>
        </w:rPr>
        <w:t>Summary</w:t>
      </w:r>
    </w:p>
    <w:p w14:paraId="42EA896A"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t>Gelephu Mindfulness City (GMC) has done much of the institutional work needed to receive investors. Its courts apply Singapore common law alongside GMC legislation. Financial regulation began with Abu Dhabi Global Market rules and is being replaced by GMC's own financial-services laws. GMC also has core commercial legislation, a corporate registry, an independent financial regulator and a one-stop investor-support service (GMC Authority, 2024; GMC Authority, 2026a; GFSO, 2026).</w:t>
      </w:r>
    </w:p>
    <w:p w14:paraId="3AA6901C"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t>But institutions do not bring investors by themselves. I recommend a two-year Singapore Anchor Investment Partnership focused on digital, financial and related professional services. Singapore is the sensible place to start because the legal setting is familiar to its firms and advisers. The channel should not become exclusive. Incentives should be tied to investment made, skilled jobs created and Bhutanese workers trained, while GMC builds parallel links with India and Japan.</w:t>
      </w:r>
    </w:p>
    <w:p w14:paraId="22F34B87" w14:textId="2390BA2A" w:rsidR="00B018FF" w:rsidRPr="00E7443F" w:rsidRDefault="00000000" w:rsidP="00763DF2">
      <w:pPr>
        <w:spacing w:before="180" w:after="80" w:line="360" w:lineRule="auto"/>
        <w:ind w:right="-7"/>
        <w:rPr>
          <w:rFonts w:ascii="Garamond" w:hAnsi="Garamond"/>
          <w:sz w:val="24"/>
          <w:szCs w:val="24"/>
        </w:rPr>
      </w:pPr>
      <w:r w:rsidRPr="00E7443F">
        <w:rPr>
          <w:rFonts w:ascii="Garamond" w:hAnsi="Garamond"/>
          <w:b/>
          <w:sz w:val="24"/>
          <w:szCs w:val="24"/>
        </w:rPr>
        <w:t>Why this problem requires action now</w:t>
      </w:r>
    </w:p>
    <w:p w14:paraId="6AA54D36"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t>GMC's investment service already assists with land, incorporation, regulatory clearances, government coordination and aftercare (GMC Authority, 2026b). The machinery is in place, but it does not guarantee entry. An investor still needs a commercial reason to put a real operation in Gelephu rather than Singapore, Dubai or an established Indian centre.</w:t>
      </w:r>
    </w:p>
    <w:p w14:paraId="62900248"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t>The harder problem is timing. Companies wait for suppliers, finance, professional services and skilled workers; supporting businesses wait for companies to arrive. GMC cannot wait for this circle to break on its own. Focused economic diplomacy can help bring in the first credible firms.</w:t>
      </w:r>
    </w:p>
    <w:p w14:paraId="49B4730D"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t>Singapore is the obvious first partner because GMC law is familiar to Singaporean firms and advisers. The danger comes with success. If Singapore becomes the main channel, GMC's exposure concentrates in one external market. Quah's work on strategic interdependence shows how concentrated exposure can become leverage; diversification therefore matters even when it carries some short-run cost (Quah, 2026a; Quah, 2026b; Quah, 2026c).</w:t>
      </w:r>
    </w:p>
    <w:p w14:paraId="2AAE8CF8"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lastRenderedPageBreak/>
        <w:t xml:space="preserve">For a small jurisdiction, that risk deserves weight. Acharya's 'multiplex' order and Herz and Ho's account of smaller-group cooperation both point toward working through several relationships rather than one dominant partner (Acharya, 2026; Herz &amp; Ho, 2026). GMC should use Singapore where it offers a clear </w:t>
      </w:r>
      <w:proofErr w:type="gramStart"/>
      <w:r w:rsidRPr="00E7443F">
        <w:rPr>
          <w:rFonts w:ascii="Garamond" w:hAnsi="Garamond"/>
          <w:sz w:val="24"/>
          <w:szCs w:val="24"/>
        </w:rPr>
        <w:t>advantage, but</w:t>
      </w:r>
      <w:proofErr w:type="gramEnd"/>
      <w:r w:rsidRPr="00E7443F">
        <w:rPr>
          <w:rFonts w:ascii="Garamond" w:hAnsi="Garamond"/>
          <w:sz w:val="24"/>
          <w:szCs w:val="24"/>
        </w:rPr>
        <w:t xml:space="preserve"> keep other channels open.</w:t>
      </w:r>
    </w:p>
    <w:p w14:paraId="0562D85E" w14:textId="77777777" w:rsidR="00B018FF" w:rsidRPr="00E7443F" w:rsidRDefault="00000000" w:rsidP="00763DF2">
      <w:pPr>
        <w:spacing w:before="180" w:after="80" w:line="360" w:lineRule="auto"/>
        <w:ind w:right="-7"/>
        <w:rPr>
          <w:rFonts w:ascii="Garamond" w:hAnsi="Garamond"/>
          <w:sz w:val="24"/>
          <w:szCs w:val="24"/>
        </w:rPr>
      </w:pPr>
      <w:r w:rsidRPr="00E7443F">
        <w:rPr>
          <w:rFonts w:ascii="Garamond" w:hAnsi="Garamond"/>
          <w:b/>
          <w:sz w:val="24"/>
          <w:szCs w:val="24"/>
        </w:rPr>
        <w:t>Policy options</w:t>
      </w:r>
    </w:p>
    <w:p w14:paraId="3C13528F"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t>There are three practical choices.</w:t>
      </w:r>
    </w:p>
    <w:p w14:paraId="4C530B92"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t>The first is to let the framework do the work: keep improving laws, infrastructure and investor services and leave entry to market demand. This preserves neutrality and avoids preferential deals. Its weakness is speed. Investors may still wait until they see a functioning business ecosystem.</w:t>
      </w:r>
    </w:p>
    <w:p w14:paraId="28EFAECA"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t>The second is a privileged Singapore-GMC corridor that directly recruits Singapore-based financial, digital and professional-services firms. Early entrants could reassure others that GMC is commercially workable. But concentration creates vulnerability when alternatives are limited, especially in finance or technology (Clayton, Maggiori &amp; Schreger, 2026). It could solve the first-investor problem while creating a new dependence.</w:t>
      </w:r>
    </w:p>
    <w:p w14:paraId="0E11518E" w14:textId="693C1130"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t xml:space="preserve">The third approach, which I recommend, uses Singapore as the first partner in a diversified strategy. A small Singapore-facing team should identify five to ten anchor firms in financial, digital and related professional services. </w:t>
      </w:r>
      <w:r w:rsidR="00E7443F" w:rsidRPr="00E7443F">
        <w:rPr>
          <w:rFonts w:ascii="Garamond" w:hAnsi="Garamond"/>
          <w:sz w:val="24"/>
          <w:szCs w:val="24"/>
        </w:rPr>
        <w:t>The pitch should be specific and holding true to the purpose. GMC cannot compete with Singapore on market size or an established business ecosystem. It can offer a familiar legal framework, a new regulated jurisdiction and direct access to decision-makers. The taskforce should test which of these advantage</w:t>
      </w:r>
      <w:r w:rsidR="00E7443F">
        <w:rPr>
          <w:rFonts w:ascii="Garamond" w:hAnsi="Garamond"/>
          <w:sz w:val="24"/>
          <w:szCs w:val="24"/>
        </w:rPr>
        <w:t xml:space="preserve">ous </w:t>
      </w:r>
      <w:r w:rsidR="00E7443F" w:rsidRPr="00E7443F">
        <w:rPr>
          <w:rFonts w:ascii="Garamond" w:hAnsi="Garamond"/>
          <w:sz w:val="24"/>
          <w:szCs w:val="24"/>
        </w:rPr>
        <w:t xml:space="preserve">investors value rather than assume they are sufficient. </w:t>
      </w:r>
      <w:r w:rsidRPr="00E7443F">
        <w:rPr>
          <w:rFonts w:ascii="Garamond" w:hAnsi="Garamond"/>
          <w:sz w:val="24"/>
          <w:szCs w:val="24"/>
        </w:rPr>
        <w:t>These firms would do more than bring capital: their experience with licensing, banking, recruitment and approvals would test whether GMC's new institutions work outside the statute book. GMC could fix practical gaps before approaching a wider investor pool.</w:t>
      </w:r>
    </w:p>
    <w:p w14:paraId="497263B7"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t>Support should be negotiated case by case. Tax concessions, land arrangements and other incentives need end dates and measurable conditions: capital invested, skilled jobs created, Bhutanese workers trained and a real operating presence. IMF research finds mixed and often temporary gains from industrial policy, while Irwin warns smaller economies against copying costly subsidy programmes of richer states (Jakubik et al., 2026; Evenett et al., 2025; Irwin, 2023). GMC should compete first on regulatory certainty and institutional quality. Subsidies should be the exception.</w:t>
      </w:r>
    </w:p>
    <w:p w14:paraId="446846FC" w14:textId="77777777" w:rsidR="00B018FF" w:rsidRPr="00E7443F" w:rsidRDefault="00000000" w:rsidP="00763DF2">
      <w:pPr>
        <w:spacing w:before="180" w:after="80" w:line="360" w:lineRule="auto"/>
        <w:ind w:right="-7"/>
        <w:rPr>
          <w:rFonts w:ascii="Garamond" w:hAnsi="Garamond"/>
          <w:sz w:val="24"/>
          <w:szCs w:val="24"/>
        </w:rPr>
      </w:pPr>
      <w:r w:rsidRPr="00E7443F">
        <w:rPr>
          <w:rFonts w:ascii="Garamond" w:hAnsi="Garamond"/>
          <w:b/>
          <w:sz w:val="24"/>
          <w:szCs w:val="24"/>
        </w:rPr>
        <w:t>Recommendation</w:t>
      </w:r>
    </w:p>
    <w:p w14:paraId="6F7813C6" w14:textId="7E534A5E"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t xml:space="preserve">The </w:t>
      </w:r>
      <w:r w:rsidR="007020B9">
        <w:rPr>
          <w:rFonts w:ascii="Garamond" w:hAnsi="Garamond"/>
          <w:sz w:val="24"/>
          <w:szCs w:val="24"/>
        </w:rPr>
        <w:t xml:space="preserve">GMC Authority </w:t>
      </w:r>
      <w:r w:rsidRPr="00E7443F">
        <w:rPr>
          <w:rFonts w:ascii="Garamond" w:hAnsi="Garamond"/>
          <w:sz w:val="24"/>
          <w:szCs w:val="24"/>
        </w:rPr>
        <w:t xml:space="preserve">should </w:t>
      </w:r>
      <w:r w:rsidR="007020B9" w:rsidRPr="00E7443F">
        <w:rPr>
          <w:rFonts w:ascii="Garamond" w:hAnsi="Garamond"/>
          <w:sz w:val="24"/>
          <w:szCs w:val="24"/>
        </w:rPr>
        <w:t>authorize</w:t>
      </w:r>
      <w:r w:rsidRPr="00E7443F">
        <w:rPr>
          <w:rFonts w:ascii="Garamond" w:hAnsi="Garamond"/>
          <w:sz w:val="24"/>
          <w:szCs w:val="24"/>
        </w:rPr>
        <w:t xml:space="preserve"> a two-year Singapore Anchor Investment Partnership. </w:t>
      </w:r>
      <w:r w:rsidR="00E7443F" w:rsidRPr="00E7443F">
        <w:rPr>
          <w:rFonts w:ascii="Garamond" w:hAnsi="Garamond"/>
          <w:sz w:val="24"/>
          <w:szCs w:val="24"/>
        </w:rPr>
        <w:t xml:space="preserve">Delivery should sit with one small investment team reporting directly to the </w:t>
      </w:r>
      <w:r w:rsidR="007020B9">
        <w:rPr>
          <w:rFonts w:ascii="Garamond" w:hAnsi="Garamond"/>
          <w:sz w:val="24"/>
          <w:szCs w:val="24"/>
        </w:rPr>
        <w:t>Authority</w:t>
      </w:r>
      <w:r w:rsidR="00E7443F" w:rsidRPr="00E7443F">
        <w:rPr>
          <w:rFonts w:ascii="Garamond" w:hAnsi="Garamond"/>
          <w:sz w:val="24"/>
          <w:szCs w:val="24"/>
        </w:rPr>
        <w:t xml:space="preserve">’s office, rather than being </w:t>
      </w:r>
      <w:r w:rsidR="00E7443F" w:rsidRPr="00E7443F">
        <w:rPr>
          <w:rFonts w:ascii="Garamond" w:hAnsi="Garamond"/>
          <w:sz w:val="24"/>
          <w:szCs w:val="24"/>
        </w:rPr>
        <w:lastRenderedPageBreak/>
        <w:t>spread across several agencies. It should handle investor outreach, coordinate regulatory approvals and track commitments af</w:t>
      </w:r>
      <w:r w:rsidR="007020B9">
        <w:rPr>
          <w:rFonts w:ascii="Garamond" w:hAnsi="Garamond"/>
          <w:sz w:val="24"/>
          <w:szCs w:val="24"/>
        </w:rPr>
        <w:t>t</w:t>
      </w:r>
      <w:r w:rsidR="00E7443F" w:rsidRPr="00E7443F">
        <w:rPr>
          <w:rFonts w:ascii="Garamond" w:hAnsi="Garamond"/>
          <w:sz w:val="24"/>
          <w:szCs w:val="24"/>
        </w:rPr>
        <w:t xml:space="preserve">er entry. This matters because an investor should not have to navigate GMC’s institutions separately. </w:t>
      </w:r>
      <w:r w:rsidRPr="00E7443F">
        <w:rPr>
          <w:rFonts w:ascii="Garamond" w:hAnsi="Garamond"/>
          <w:sz w:val="24"/>
          <w:szCs w:val="24"/>
        </w:rPr>
        <w:t>Preferential support should carry investment, employment and training targets, with review dates and sunset provisions (Rockwell, 2023). Progress should be reviewed every six months: firms in serious negotiations, investment committed, operations established, skilled jobs created and Bhutanese workers trained. Meetings and signed agreements should not count as success. If firms repeatedly stop at discussion, GMC should change the offer rather than simply intensify promotion.</w:t>
      </w:r>
    </w:p>
    <w:p w14:paraId="6C9B9826"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t>Diversification should be a formal requirement. Within twelve months, GMC should open investor-development channels with at least two other economies. India is the natural first candidate because of geography and connectivity; Japan could bring technology, firms and patient capital. These channels give GMC alternatives if the Singapore relationship underperforms or becomes too dominant.</w:t>
      </w:r>
    </w:p>
    <w:p w14:paraId="2828E85C"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t>This sequencing also fits a world in which smaller groups increasingly cooperate through flexible arrangements when universal multilateralism stalls (Quah, 2025; Quah, 2026b; Menon, 2026). For GMC, the order should be practical: make one channel work, build a track record, then widen the network.</w:t>
      </w:r>
    </w:p>
    <w:p w14:paraId="4466E352" w14:textId="77777777" w:rsidR="00B018FF" w:rsidRPr="00E7443F" w:rsidRDefault="00000000" w:rsidP="00763DF2">
      <w:pPr>
        <w:spacing w:after="100" w:line="360" w:lineRule="auto"/>
        <w:ind w:right="-7"/>
        <w:rPr>
          <w:rFonts w:ascii="Garamond" w:hAnsi="Garamond"/>
          <w:sz w:val="24"/>
          <w:szCs w:val="24"/>
        </w:rPr>
      </w:pPr>
      <w:r w:rsidRPr="00E7443F">
        <w:rPr>
          <w:rFonts w:ascii="Garamond" w:hAnsi="Garamond"/>
          <w:sz w:val="24"/>
          <w:szCs w:val="24"/>
        </w:rPr>
        <w:t>The test is not meetings, visits or agreements signed. It is whether anchor firms operate in GMC, skilled jobs are created, Bhutanese workers are trained and investors begin to consider Gelephu on its own merits. If the partnership works, its best result will be that the next investor does not need a Singapore connection to take GMC seriously.</w:t>
      </w:r>
    </w:p>
    <w:p w14:paraId="3A2B88B9" w14:textId="77777777" w:rsidR="00B018FF" w:rsidRPr="00E7443F" w:rsidRDefault="00000000" w:rsidP="00763DF2">
      <w:pPr>
        <w:spacing w:before="180" w:after="80" w:line="360" w:lineRule="auto"/>
        <w:ind w:right="-7"/>
        <w:rPr>
          <w:rFonts w:ascii="Garamond" w:hAnsi="Garamond"/>
          <w:sz w:val="24"/>
          <w:szCs w:val="24"/>
        </w:rPr>
      </w:pPr>
      <w:r w:rsidRPr="00E7443F">
        <w:rPr>
          <w:rFonts w:ascii="Garamond" w:hAnsi="Garamond"/>
          <w:b/>
          <w:sz w:val="24"/>
          <w:szCs w:val="24"/>
        </w:rPr>
        <w:t>References</w:t>
      </w:r>
    </w:p>
    <w:p w14:paraId="3328E312" w14:textId="77777777" w:rsidR="00705A2E" w:rsidRPr="00E7443F" w:rsidRDefault="00705A2E">
      <w:pPr>
        <w:spacing w:after="40"/>
        <w:rPr>
          <w:rFonts w:ascii="Garamond" w:hAnsi="Garamond"/>
          <w:sz w:val="24"/>
          <w:szCs w:val="24"/>
        </w:rPr>
      </w:pPr>
      <w:hyperlink r:id="rId8">
        <w:r w:rsidRPr="00E7443F">
          <w:rPr>
            <w:rFonts w:ascii="Garamond" w:hAnsi="Garamond"/>
            <w:color w:val="0563C1"/>
            <w:sz w:val="24"/>
            <w:szCs w:val="24"/>
            <w:u w:val="single"/>
          </w:rPr>
          <w:t>Acharya, A. (2026). Thinking beyond a polarized world: Why multiplexity matters. International Affairs, 102(2), 503-511.</w:t>
        </w:r>
      </w:hyperlink>
    </w:p>
    <w:p w14:paraId="429BF66A" w14:textId="77777777" w:rsidR="00705A2E" w:rsidRPr="00E7443F" w:rsidRDefault="00705A2E">
      <w:pPr>
        <w:spacing w:after="40"/>
        <w:rPr>
          <w:rFonts w:ascii="Garamond" w:hAnsi="Garamond"/>
          <w:sz w:val="24"/>
          <w:szCs w:val="24"/>
        </w:rPr>
      </w:pPr>
      <w:hyperlink r:id="rId9">
        <w:r w:rsidRPr="00E7443F">
          <w:rPr>
            <w:rFonts w:ascii="Garamond" w:hAnsi="Garamond"/>
            <w:color w:val="0563C1"/>
            <w:sz w:val="24"/>
            <w:szCs w:val="24"/>
            <w:u w:val="single"/>
          </w:rPr>
          <w:t>Clayton, C., Maggiori, M., &amp; Schreger, J. (2026). Two insights from geoeconomics research. The Commons Dispatch.</w:t>
        </w:r>
      </w:hyperlink>
    </w:p>
    <w:p w14:paraId="74492848" w14:textId="77777777" w:rsidR="00705A2E" w:rsidRPr="00E7443F" w:rsidRDefault="00705A2E">
      <w:pPr>
        <w:spacing w:after="40"/>
        <w:rPr>
          <w:rFonts w:ascii="Garamond" w:hAnsi="Garamond"/>
          <w:sz w:val="24"/>
          <w:szCs w:val="24"/>
        </w:rPr>
      </w:pPr>
      <w:hyperlink r:id="rId10">
        <w:r w:rsidRPr="00E7443F">
          <w:rPr>
            <w:rFonts w:ascii="Garamond" w:hAnsi="Garamond"/>
            <w:color w:val="0563C1"/>
            <w:sz w:val="24"/>
            <w:szCs w:val="24"/>
            <w:u w:val="single"/>
          </w:rPr>
          <w:t>Evenett, S., et al. (2025). Industrial policy since the Great Financial Crisis. IMF Working Paper WP/25/222.</w:t>
        </w:r>
      </w:hyperlink>
    </w:p>
    <w:p w14:paraId="359B41F3" w14:textId="77777777" w:rsidR="00705A2E" w:rsidRPr="00E7443F" w:rsidRDefault="00705A2E">
      <w:pPr>
        <w:spacing w:after="40"/>
        <w:rPr>
          <w:rFonts w:ascii="Garamond" w:hAnsi="Garamond"/>
          <w:sz w:val="24"/>
          <w:szCs w:val="24"/>
        </w:rPr>
      </w:pPr>
      <w:hyperlink r:id="rId11">
        <w:r w:rsidRPr="00E7443F">
          <w:rPr>
            <w:rFonts w:ascii="Garamond" w:hAnsi="Garamond"/>
            <w:color w:val="0563C1"/>
            <w:sz w:val="24"/>
            <w:szCs w:val="24"/>
            <w:u w:val="single"/>
          </w:rPr>
          <w:t>Gelephu Financial Services Office. (2026). About GFSO and regulatory framework.</w:t>
        </w:r>
      </w:hyperlink>
    </w:p>
    <w:p w14:paraId="203DE16B" w14:textId="77777777" w:rsidR="00705A2E" w:rsidRPr="00E7443F" w:rsidRDefault="00705A2E">
      <w:pPr>
        <w:spacing w:after="40"/>
        <w:rPr>
          <w:rFonts w:ascii="Garamond" w:hAnsi="Garamond"/>
          <w:sz w:val="24"/>
          <w:szCs w:val="24"/>
        </w:rPr>
      </w:pPr>
      <w:hyperlink r:id="rId12">
        <w:r w:rsidRPr="00E7443F">
          <w:rPr>
            <w:rFonts w:ascii="Garamond" w:hAnsi="Garamond"/>
            <w:color w:val="0563C1"/>
            <w:sz w:val="24"/>
            <w:szCs w:val="24"/>
            <w:u w:val="single"/>
          </w:rPr>
          <w:t>Gelephu Mindfulness City Authority. (2024). Application of Laws Act 2024.</w:t>
        </w:r>
      </w:hyperlink>
    </w:p>
    <w:p w14:paraId="00FD8D0F" w14:textId="77777777" w:rsidR="00705A2E" w:rsidRPr="00E7443F" w:rsidRDefault="00705A2E">
      <w:pPr>
        <w:spacing w:after="40"/>
        <w:rPr>
          <w:rFonts w:ascii="Garamond" w:hAnsi="Garamond"/>
          <w:sz w:val="24"/>
          <w:szCs w:val="24"/>
        </w:rPr>
      </w:pPr>
      <w:hyperlink r:id="rId13">
        <w:r w:rsidRPr="00E7443F">
          <w:rPr>
            <w:rFonts w:ascii="Garamond" w:hAnsi="Garamond"/>
            <w:color w:val="0563C1"/>
            <w:sz w:val="24"/>
            <w:szCs w:val="24"/>
            <w:u w:val="single"/>
          </w:rPr>
          <w:t>Gelephu Mindfulness City Authority. (2026a). Legislation.</w:t>
        </w:r>
      </w:hyperlink>
    </w:p>
    <w:p w14:paraId="1A191AFE" w14:textId="77777777" w:rsidR="00705A2E" w:rsidRPr="00E7443F" w:rsidRDefault="00705A2E">
      <w:pPr>
        <w:spacing w:after="40"/>
        <w:rPr>
          <w:rFonts w:ascii="Garamond" w:hAnsi="Garamond"/>
          <w:sz w:val="24"/>
          <w:szCs w:val="24"/>
        </w:rPr>
      </w:pPr>
      <w:hyperlink r:id="rId14">
        <w:r w:rsidRPr="00E7443F">
          <w:rPr>
            <w:rFonts w:ascii="Garamond" w:hAnsi="Garamond"/>
            <w:color w:val="0563C1"/>
            <w:sz w:val="24"/>
            <w:szCs w:val="24"/>
            <w:u w:val="single"/>
          </w:rPr>
          <w:t>Gelephu Mindfulness City Authority. (2026b). Invest in GMC.</w:t>
        </w:r>
      </w:hyperlink>
    </w:p>
    <w:p w14:paraId="502D51FF" w14:textId="77777777" w:rsidR="00705A2E" w:rsidRPr="00E7443F" w:rsidRDefault="00705A2E">
      <w:pPr>
        <w:spacing w:after="40"/>
        <w:rPr>
          <w:rFonts w:ascii="Garamond" w:hAnsi="Garamond"/>
          <w:sz w:val="24"/>
          <w:szCs w:val="24"/>
        </w:rPr>
      </w:pPr>
      <w:hyperlink r:id="rId15">
        <w:r w:rsidRPr="00E7443F">
          <w:rPr>
            <w:rFonts w:ascii="Garamond" w:hAnsi="Garamond"/>
            <w:color w:val="0563C1"/>
            <w:sz w:val="24"/>
            <w:szCs w:val="24"/>
            <w:u w:val="single"/>
          </w:rPr>
          <w:t>Herz, M., &amp; Ho, S. (2026). How multilateralism can survive. Foreign Affairs.</w:t>
        </w:r>
      </w:hyperlink>
    </w:p>
    <w:p w14:paraId="75AF932A" w14:textId="77777777" w:rsidR="00705A2E" w:rsidRPr="00E7443F" w:rsidRDefault="00705A2E">
      <w:pPr>
        <w:spacing w:after="40"/>
        <w:rPr>
          <w:rFonts w:ascii="Garamond" w:hAnsi="Garamond"/>
          <w:sz w:val="24"/>
          <w:szCs w:val="24"/>
        </w:rPr>
      </w:pPr>
      <w:hyperlink r:id="rId16">
        <w:r w:rsidRPr="00E7443F">
          <w:rPr>
            <w:rFonts w:ascii="Garamond" w:hAnsi="Garamond"/>
            <w:color w:val="0563C1"/>
            <w:sz w:val="24"/>
            <w:szCs w:val="24"/>
            <w:u w:val="single"/>
          </w:rPr>
          <w:t>Irwin, D. A. (2023). The return of industrial policy. Finance &amp; Development.</w:t>
        </w:r>
      </w:hyperlink>
    </w:p>
    <w:p w14:paraId="6BADAD96" w14:textId="77777777" w:rsidR="00705A2E" w:rsidRPr="00E7443F" w:rsidRDefault="00705A2E">
      <w:pPr>
        <w:spacing w:after="40"/>
        <w:rPr>
          <w:rFonts w:ascii="Garamond" w:hAnsi="Garamond"/>
          <w:sz w:val="24"/>
          <w:szCs w:val="24"/>
        </w:rPr>
      </w:pPr>
      <w:hyperlink r:id="rId17">
        <w:r w:rsidRPr="00E7443F">
          <w:rPr>
            <w:rFonts w:ascii="Garamond" w:hAnsi="Garamond"/>
            <w:color w:val="0563C1"/>
            <w:sz w:val="24"/>
            <w:szCs w:val="24"/>
            <w:u w:val="single"/>
          </w:rPr>
          <w:t xml:space="preserve">Jakubik, A., Jaumotte, F., Pienknagura, S., &amp; Ruta, M. (2026). Industrial policy is adapting to </w:t>
        </w:r>
        <w:proofErr w:type="gramStart"/>
        <w:r w:rsidRPr="00E7443F">
          <w:rPr>
            <w:rFonts w:ascii="Garamond" w:hAnsi="Garamond"/>
            <w:color w:val="0563C1"/>
            <w:sz w:val="24"/>
            <w:szCs w:val="24"/>
            <w:u w:val="single"/>
          </w:rPr>
          <w:t>crises, but</w:t>
        </w:r>
        <w:proofErr w:type="gramEnd"/>
        <w:r w:rsidRPr="00E7443F">
          <w:rPr>
            <w:rFonts w:ascii="Garamond" w:hAnsi="Garamond"/>
            <w:color w:val="0563C1"/>
            <w:sz w:val="24"/>
            <w:szCs w:val="24"/>
            <w:u w:val="single"/>
          </w:rPr>
          <w:t xml:space="preserve"> remains hard to implement effectively. IMF Blog.</w:t>
        </w:r>
      </w:hyperlink>
    </w:p>
    <w:p w14:paraId="00E952F3" w14:textId="77777777" w:rsidR="00705A2E" w:rsidRPr="00E7443F" w:rsidRDefault="00705A2E">
      <w:pPr>
        <w:spacing w:after="40"/>
        <w:rPr>
          <w:rFonts w:ascii="Garamond" w:hAnsi="Garamond"/>
          <w:sz w:val="24"/>
          <w:szCs w:val="24"/>
        </w:rPr>
      </w:pPr>
      <w:hyperlink r:id="rId18">
        <w:r w:rsidRPr="00E7443F">
          <w:rPr>
            <w:rFonts w:ascii="Garamond" w:hAnsi="Garamond"/>
            <w:color w:val="0563C1"/>
            <w:sz w:val="24"/>
            <w:szCs w:val="24"/>
            <w:u w:val="single"/>
          </w:rPr>
          <w:t>Menon, R. (2026). The new geoeconomics in a quantum world. Hinrich Foundation.</w:t>
        </w:r>
      </w:hyperlink>
    </w:p>
    <w:p w14:paraId="121FE6B5" w14:textId="77777777" w:rsidR="00705A2E" w:rsidRPr="00E7443F" w:rsidRDefault="00705A2E">
      <w:pPr>
        <w:spacing w:after="40"/>
        <w:rPr>
          <w:rFonts w:ascii="Garamond" w:hAnsi="Garamond"/>
          <w:sz w:val="24"/>
          <w:szCs w:val="24"/>
        </w:rPr>
      </w:pPr>
      <w:hyperlink r:id="rId19">
        <w:r w:rsidRPr="00E7443F">
          <w:rPr>
            <w:rFonts w:ascii="Garamond" w:hAnsi="Garamond"/>
            <w:color w:val="0563C1"/>
            <w:sz w:val="24"/>
            <w:szCs w:val="24"/>
            <w:u w:val="single"/>
          </w:rPr>
          <w:t>Quah, D. (2025). Multilateralism can survive the loss of consensus. Finance &amp; Development.</w:t>
        </w:r>
      </w:hyperlink>
    </w:p>
    <w:p w14:paraId="6CE26A98" w14:textId="77777777" w:rsidR="00705A2E" w:rsidRPr="00E7443F" w:rsidRDefault="00705A2E">
      <w:pPr>
        <w:spacing w:after="40"/>
        <w:rPr>
          <w:rFonts w:ascii="Garamond" w:hAnsi="Garamond"/>
          <w:sz w:val="24"/>
          <w:szCs w:val="24"/>
        </w:rPr>
      </w:pPr>
      <w:hyperlink r:id="rId20">
        <w:r w:rsidRPr="00E7443F">
          <w:rPr>
            <w:rFonts w:ascii="Garamond" w:hAnsi="Garamond"/>
            <w:color w:val="0563C1"/>
            <w:sz w:val="24"/>
            <w:szCs w:val="24"/>
            <w:u w:val="single"/>
          </w:rPr>
          <w:t>Quah, D. (2026a). Correlated trade and geopolitics driving a fractured world order. Routledge.</w:t>
        </w:r>
      </w:hyperlink>
    </w:p>
    <w:p w14:paraId="45204171" w14:textId="77777777" w:rsidR="00705A2E" w:rsidRPr="00E7443F" w:rsidRDefault="00705A2E">
      <w:pPr>
        <w:spacing w:after="40"/>
        <w:rPr>
          <w:rFonts w:ascii="Garamond" w:hAnsi="Garamond"/>
          <w:sz w:val="24"/>
          <w:szCs w:val="24"/>
        </w:rPr>
      </w:pPr>
      <w:hyperlink r:id="rId21">
        <w:r w:rsidRPr="00E7443F">
          <w:rPr>
            <w:rFonts w:ascii="Garamond" w:hAnsi="Garamond"/>
            <w:color w:val="0563C1"/>
            <w:sz w:val="24"/>
            <w:szCs w:val="24"/>
            <w:u w:val="single"/>
          </w:rPr>
          <w:t>Quah, D. (2026b). The evolving development landscape of Asia and Pacific. International Monetary Fund.</w:t>
        </w:r>
      </w:hyperlink>
    </w:p>
    <w:p w14:paraId="017B63A5" w14:textId="77777777" w:rsidR="00705A2E" w:rsidRPr="00E7443F" w:rsidRDefault="00000000">
      <w:pPr>
        <w:spacing w:after="40"/>
        <w:rPr>
          <w:rFonts w:ascii="Garamond" w:hAnsi="Garamond"/>
          <w:sz w:val="24"/>
          <w:szCs w:val="24"/>
        </w:rPr>
      </w:pPr>
      <w:r w:rsidRPr="00E7443F">
        <w:rPr>
          <w:rFonts w:ascii="Garamond" w:hAnsi="Garamond"/>
          <w:sz w:val="24"/>
          <w:szCs w:val="24"/>
        </w:rPr>
        <w:t>Quah, D. (2026c). PP5182 Economic Security [Lecture slides]. NUS.</w:t>
      </w:r>
    </w:p>
    <w:p w14:paraId="75AA7160" w14:textId="77777777" w:rsidR="00705A2E" w:rsidRPr="00E7443F" w:rsidRDefault="00705A2E">
      <w:pPr>
        <w:spacing w:after="40"/>
        <w:rPr>
          <w:rFonts w:ascii="Garamond" w:hAnsi="Garamond"/>
          <w:sz w:val="24"/>
          <w:szCs w:val="24"/>
        </w:rPr>
      </w:pPr>
      <w:hyperlink r:id="rId22">
        <w:r w:rsidRPr="00E7443F">
          <w:rPr>
            <w:rFonts w:ascii="Garamond" w:hAnsi="Garamond"/>
            <w:color w:val="0563C1"/>
            <w:sz w:val="24"/>
            <w:szCs w:val="24"/>
            <w:u w:val="single"/>
          </w:rPr>
          <w:t>Rockwell, K. M. (2023). Say hello to industrial policy, but never goodbye. Hinrich Foundation.</w:t>
        </w:r>
      </w:hyperlink>
    </w:p>
    <w:p w14:paraId="26CC782C" w14:textId="77777777" w:rsidR="00705A2E" w:rsidRPr="00E7443F" w:rsidRDefault="00000000">
      <w:pPr>
        <w:spacing w:before="100"/>
        <w:rPr>
          <w:rFonts w:ascii="Garamond" w:hAnsi="Garamond"/>
          <w:sz w:val="24"/>
          <w:szCs w:val="24"/>
        </w:rPr>
      </w:pPr>
      <w:r w:rsidRPr="00E7443F">
        <w:rPr>
          <w:rFonts w:ascii="Garamond" w:hAnsi="Garamond"/>
          <w:sz w:val="24"/>
          <w:szCs w:val="24"/>
        </w:rPr>
        <w:t>ChatGPT (OpenAI) was used to assist with structuring and editing. I take responsibility for the sources, analysis and final policy judgment.</w:t>
      </w:r>
    </w:p>
    <w:sectPr w:rsidR="00705A2E" w:rsidRPr="00E7443F" w:rsidSect="00034616">
      <w:footerReference w:type="even" r:id="rId23"/>
      <w:footerReference w:type="default" r:id="rId24"/>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CF4DA2" w14:textId="77777777" w:rsidR="0033556E" w:rsidRDefault="0033556E" w:rsidP="00F627C9">
      <w:pPr>
        <w:spacing w:after="0" w:line="240" w:lineRule="auto"/>
      </w:pPr>
      <w:r>
        <w:separator/>
      </w:r>
    </w:p>
  </w:endnote>
  <w:endnote w:type="continuationSeparator" w:id="0">
    <w:p w14:paraId="02819BA6" w14:textId="77777777" w:rsidR="0033556E" w:rsidRDefault="0033556E" w:rsidP="00F62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icrosoft Himalaya">
    <w:panose1 w:val="01010100010101010101"/>
    <w:charset w:val="00"/>
    <w:family w:val="auto"/>
    <w:pitch w:val="variable"/>
    <w:sig w:usb0="80000003" w:usb1="00010000" w:usb2="0000004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38640091"/>
      <w:docPartObj>
        <w:docPartGallery w:val="Page Numbers (Bottom of Page)"/>
        <w:docPartUnique/>
      </w:docPartObj>
    </w:sdtPr>
    <w:sdtContent>
      <w:p w14:paraId="130D6A56" w14:textId="77777777" w:rsidR="00F627C9" w:rsidRDefault="00F627C9" w:rsidP="003B07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4B512A7" w14:textId="77777777" w:rsidR="00F627C9" w:rsidRDefault="00F627C9" w:rsidP="00F627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28772007"/>
      <w:docPartObj>
        <w:docPartGallery w:val="Page Numbers (Bottom of Page)"/>
        <w:docPartUnique/>
      </w:docPartObj>
    </w:sdtPr>
    <w:sdtContent>
      <w:p w14:paraId="60454C32" w14:textId="77777777" w:rsidR="00F627C9" w:rsidRDefault="00F627C9" w:rsidP="003B07E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D8916C5" w14:textId="77777777" w:rsidR="00F627C9" w:rsidRDefault="00F627C9" w:rsidP="00F627C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22FBD5" w14:textId="77777777" w:rsidR="0033556E" w:rsidRDefault="0033556E" w:rsidP="00F627C9">
      <w:pPr>
        <w:spacing w:after="0" w:line="240" w:lineRule="auto"/>
      </w:pPr>
      <w:r>
        <w:separator/>
      </w:r>
    </w:p>
  </w:footnote>
  <w:footnote w:type="continuationSeparator" w:id="0">
    <w:p w14:paraId="394EA62C" w14:textId="77777777" w:rsidR="0033556E" w:rsidRDefault="0033556E" w:rsidP="00F627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9339562">
    <w:abstractNumId w:val="8"/>
  </w:num>
  <w:num w:numId="2" w16cid:durableId="406000508">
    <w:abstractNumId w:val="6"/>
  </w:num>
  <w:num w:numId="3" w16cid:durableId="1967931348">
    <w:abstractNumId w:val="5"/>
  </w:num>
  <w:num w:numId="4" w16cid:durableId="1577665769">
    <w:abstractNumId w:val="4"/>
  </w:num>
  <w:num w:numId="5" w16cid:durableId="2138601732">
    <w:abstractNumId w:val="7"/>
  </w:num>
  <w:num w:numId="6" w16cid:durableId="406804486">
    <w:abstractNumId w:val="3"/>
  </w:num>
  <w:num w:numId="7" w16cid:durableId="384262847">
    <w:abstractNumId w:val="2"/>
  </w:num>
  <w:num w:numId="8" w16cid:durableId="783767062">
    <w:abstractNumId w:val="1"/>
  </w:num>
  <w:num w:numId="9" w16cid:durableId="4748808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0E4"/>
    <w:rsid w:val="000F6A1B"/>
    <w:rsid w:val="0015074B"/>
    <w:rsid w:val="001A5819"/>
    <w:rsid w:val="002201F4"/>
    <w:rsid w:val="00224EDE"/>
    <w:rsid w:val="002331B4"/>
    <w:rsid w:val="0029639D"/>
    <w:rsid w:val="00326F90"/>
    <w:rsid w:val="0033556E"/>
    <w:rsid w:val="0038602D"/>
    <w:rsid w:val="00394F91"/>
    <w:rsid w:val="003E2874"/>
    <w:rsid w:val="00553B98"/>
    <w:rsid w:val="006D6D44"/>
    <w:rsid w:val="007020B9"/>
    <w:rsid w:val="00705A2E"/>
    <w:rsid w:val="00717FA2"/>
    <w:rsid w:val="00763DF2"/>
    <w:rsid w:val="007E65EB"/>
    <w:rsid w:val="00AA1D8D"/>
    <w:rsid w:val="00AD2685"/>
    <w:rsid w:val="00B018FF"/>
    <w:rsid w:val="00B47730"/>
    <w:rsid w:val="00B936BC"/>
    <w:rsid w:val="00C07A70"/>
    <w:rsid w:val="00CB0664"/>
    <w:rsid w:val="00E7443F"/>
    <w:rsid w:val="00E96488"/>
    <w:rsid w:val="00F626E3"/>
    <w:rsid w:val="00F627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dz-BT"/>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14437"/>
  <w14:defaultImageDpi w14:val="300"/>
  <w15:docId w15:val="{125F17E1-8D72-1C44-870E-ACA5EA4AD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F627C9"/>
  </w:style>
  <w:style w:type="character" w:styleId="Hyperlink">
    <w:name w:val="Hyperlink"/>
    <w:basedOn w:val="DefaultParagraphFont"/>
    <w:uiPriority w:val="99"/>
    <w:unhideWhenUsed/>
    <w:rsid w:val="001A5819"/>
    <w:rPr>
      <w:color w:val="0000FF" w:themeColor="hyperlink"/>
      <w:u w:val="single"/>
    </w:rPr>
  </w:style>
  <w:style w:type="character" w:styleId="UnresolvedMention">
    <w:name w:val="Unresolved Mention"/>
    <w:basedOn w:val="DefaultParagraphFont"/>
    <w:uiPriority w:val="99"/>
    <w:semiHidden/>
    <w:unhideWhenUsed/>
    <w:rsid w:val="001A5819"/>
    <w:rPr>
      <w:color w:val="605E5C"/>
      <w:shd w:val="clear" w:color="auto" w:fill="E1DFDD"/>
    </w:rPr>
  </w:style>
  <w:style w:type="character" w:styleId="FollowedHyperlink">
    <w:name w:val="FollowedHyperlink"/>
    <w:basedOn w:val="DefaultParagraphFont"/>
    <w:uiPriority w:val="99"/>
    <w:semiHidden/>
    <w:unhideWhenUsed/>
    <w:rsid w:val="001A581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ia/iiag025" TargetMode="External"/><Relationship Id="rId13" Type="http://schemas.openxmlformats.org/officeDocument/2006/relationships/hyperlink" Target="https://gmc.bt/legislation" TargetMode="External"/><Relationship Id="rId18" Type="http://schemas.openxmlformats.org/officeDocument/2006/relationships/hyperlink" Target="https://www.hinrichfoundation.com/research/wp/trade-geopolitics/geoeconomics-in-a-quantum-world"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dannyquah.com/Storage/2026-Danny.Quah-Asia-Pacific-IESI-IMF.pdf" TargetMode="External"/><Relationship Id="rId7" Type="http://schemas.openxmlformats.org/officeDocument/2006/relationships/endnotes" Target="endnotes.xml"/><Relationship Id="rId12" Type="http://schemas.openxmlformats.org/officeDocument/2006/relationships/hyperlink" Target="https://gmc.bt/legislation" TargetMode="External"/><Relationship Id="rId17" Type="http://schemas.openxmlformats.org/officeDocument/2006/relationships/hyperlink" Target="https://www.imf.org/en/blogs/articles/2026/05/28/industrial-policy-is-adapting-to-crises-but-remains-hard-to-implement-effectively"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imf.org/en/publications/fandd/issues/2023/06/the-return-of-industrial-policy-douglas-irwin" TargetMode="External"/><Relationship Id="rId20" Type="http://schemas.openxmlformats.org/officeDocument/2006/relationships/hyperlink" Target="https://www.dannyquah.com/Storage/2026-Danny.Quah-Correlated-Trade-Geopolitics-Fractured-Order-GNEO-Routledg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mc.bt/GFSO"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foreignaffairs.com/south-america/how-multilateralism-can-survive" TargetMode="External"/><Relationship Id="rId23" Type="http://schemas.openxmlformats.org/officeDocument/2006/relationships/footer" Target="footer1.xml"/><Relationship Id="rId10" Type="http://schemas.openxmlformats.org/officeDocument/2006/relationships/hyperlink" Target="https://www.imf.org/-/media/files/publications/wp/2025/english/wpiea2025222-source-pdf.pdf" TargetMode="External"/><Relationship Id="rId19" Type="http://schemas.openxmlformats.org/officeDocument/2006/relationships/hyperlink" Target="https://www.imf.org/en/publications/fandd/issues/2025/09/point-of-view-multilateralism-can-survive-the-loss-of-consensus-danny-quah" TargetMode="External"/><Relationship Id="rId4" Type="http://schemas.openxmlformats.org/officeDocument/2006/relationships/settings" Target="settings.xml"/><Relationship Id="rId9" Type="http://schemas.openxmlformats.org/officeDocument/2006/relationships/hyperlink" Target="https://www.econometricsociety.org/publications/econometrica/2026/01/01/A-Framework-for-Geoeconomics" TargetMode="External"/><Relationship Id="rId14" Type="http://schemas.openxmlformats.org/officeDocument/2006/relationships/hyperlink" Target="https://gmc.bt/invest-in-gmc" TargetMode="External"/><Relationship Id="rId22" Type="http://schemas.openxmlformats.org/officeDocument/2006/relationships/hyperlink" Target="https://www.hinrichfoundation.com/research/wp/economic-development/hello-to-industrial-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4</Pages>
  <Words>1468</Words>
  <Characters>8370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Tshoejab Mepham  Delen</cp:lastModifiedBy>
  <cp:revision>10</cp:revision>
  <dcterms:created xsi:type="dcterms:W3CDTF">2013-12-23T23:15:00Z</dcterms:created>
  <dcterms:modified xsi:type="dcterms:W3CDTF">2026-09-18T06:40:00Z</dcterms:modified>
  <cp:category/>
</cp:coreProperties>
</file>