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DF5FB0"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SMALL-STATE WINDOW</w:t>
      </w:r>
      <w:r w:rsidRPr="008A1C89">
        <w:rPr>
          <w:rFonts w:ascii="Gentium Plus" w:eastAsia="Times New Roman" w:hAnsi="Gentium Plus" w:cs="Gentium Plus"/>
          <w:kern w:val="0"/>
          <w:lang w:eastAsia="en-GB"/>
          <w14:ligatures w14:val="none"/>
        </w:rPr>
        <w:br/>
        <w:t>How Artificial Intelligence Is Rewriting the Rules of Size in World Politics</w:t>
      </w:r>
      <w:r w:rsidRPr="008A1C89">
        <w:rPr>
          <w:rFonts w:ascii="Gentium Plus" w:eastAsia="Times New Roman" w:hAnsi="Gentium Plus" w:cs="Gentium Plus"/>
          <w:kern w:val="0"/>
          <w:lang w:eastAsia="en-GB"/>
          <w14:ligatures w14:val="none"/>
        </w:rPr>
        <w:br/>
        <w:t>Kai-Fu Lee and Danny Quah</w:t>
      </w:r>
      <w:r w:rsidRPr="008A1C89">
        <w:rPr>
          <w:rFonts w:ascii="Gentium Plus" w:eastAsia="Times New Roman" w:hAnsi="Gentium Plus" w:cs="Gentium Plus"/>
          <w:kern w:val="0"/>
          <w:lang w:eastAsia="en-GB"/>
          <w14:ligatures w14:val="none"/>
        </w:rPr>
        <w:br/>
        <w:t>Aug 2026</w:t>
      </w:r>
    </w:p>
    <w:p w14:paraId="2466CB8A" w14:textId="77777777" w:rsidR="008A1C89" w:rsidRPr="008A1C89" w:rsidRDefault="00C67D9F" w:rsidP="008A1C89">
      <w:pPr>
        <w:spacing w:after="0" w:line="240" w:lineRule="auto"/>
        <w:rPr>
          <w:rFonts w:ascii="Gentium Plus" w:eastAsia="Times New Roman" w:hAnsi="Gentium Plus" w:cs="Gentium Plus"/>
          <w:kern w:val="0"/>
          <w:lang w:eastAsia="en-GB"/>
          <w14:ligatures w14:val="none"/>
        </w:rPr>
      </w:pPr>
      <w:r>
        <w:rPr>
          <w:noProof/>
        </w:rPr>
      </w:r>
      <w:r>
        <w:pict w14:anchorId="6950A1E6">
          <v:rect id="Horizontal Lin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9B367E" w14:textId="330372FD"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In 1990 Estonia</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per capita GDP was 40% of Western Europe</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average. Estonia had zero percent Internet penetration. Within a decade, however, Estonia was running paperless cabinet meetings, reducing average meeting times from five hours to 30 minutes. Government services today are fast and error-free because of Estonia</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approach of once-only filing information digitally. In 2026, the 1.3mn-people nation is building an AI-powered state: AI agents boost the efficiency of its ageing workforce; they provide to high-school students personalized digital tutoring that advance higher-order thinking. </w:t>
      </w:r>
    </w:p>
    <w:p w14:paraId="5B862C94" w14:textId="4369CAD1"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Even as all this is taking place in Estonia, Great Power rivalry remains the most prominent framing of the world in fierce technological competition. The world</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superpowers are locked in a race for AI frontier model breakthroughs. With the retreat from eight decades of rules-based multilateralism, observers speculate the world will return to its natural steady state of power-asymmetric unilateralism. Small states are flotsam. </w:t>
      </w:r>
    </w:p>
    <w:p w14:paraId="45691B6F" w14:textId="46594EEB"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We think this view half right. But the half it gets wrong is the half that matters. That</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where Estonia steps forward. But there are others. </w:t>
      </w:r>
    </w:p>
    <w:p w14:paraId="6C4E39DA"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Our claim, stated plainly: AI advantages small states as autonomous actors. </w:t>
      </w:r>
    </w:p>
    <w:p w14:paraId="100E59CF"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small-state advantage we flag is not meant to suggest the arithmetic near-impossibility of small-state total GDP or nuclear-power aircraft carriers dominating the landscape. Our analysis, instead, is that in per capita incomes, esteem, and a range of other geopolitical indicators, a solid clutch of small states will be among the few nations leading the pack.</w:t>
      </w:r>
    </w:p>
    <w:p w14:paraId="1198062F"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Underlying this headline, however, the critical driver is not big versus small. It is retrofit versus construct. Size was never the crucial factor. Size proxied for ability to deliver to a sufficiently large market. AI upends the historical correlation between supply bandwidth and demand servicing. Outside of one or the other Great Power, what matters for nations is not building frontier models but absorption capacity. That is what puts technology to use and transforms economic and geopolitical relations.</w:t>
      </w:r>
    </w:p>
    <w:p w14:paraId="10320475"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Small states like Estonia and Singapore are not competing to become the next Anthropic or DeepSeek. They compete to out-absorb frontier AI compared to the likes of France, Japan, and the UK. </w:t>
      </w:r>
    </w:p>
    <w:p w14:paraId="69E1A5A3" w14:textId="6C7FD20D"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lastRenderedPageBreak/>
        <w:t>This is not just the economic fact of higher per-capita GDP. For one, Singapore</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nominal per capita GDP had already overtaken the US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by the early 2020s. Since 2013 of the nine richest nations on the planet by per capita GDP, only the US has a large population: In 2024 the eight richest countries, outside the US, had average population just 4.2mn. </w:t>
      </w:r>
    </w:p>
    <w:p w14:paraId="109C53B5"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Out-absorbing France will continue to make Singapore richer per capita. But by itself it does not give Singapore leverage over France. Ours is, therefore, a claim that goes beyond incomes to include other measures such as esteem, agenda-setting, pioneering norms and standards, and indispensability. It is these that small states can convert into geopolitical standing.</w:t>
      </w:r>
    </w:p>
    <w:p w14:paraId="5843F309" w14:textId="6038AC93"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This will not be the first time in history that small states have raced ahead in a time of technological disruption to achieve all this. In the 15th-16th centuries, Venice and Genoa, tiny cities in comparison to, say, the gigantic land-based nations of France and Spain, used the technology of shipyards and banking to control major European trade routes and to amass immense power and wealth. They were held in high esteem. The Dutch Republic and the Hanseatic League used commercial laws and networks of trading posts to build wealth through international commerce, not through traditional control of vast territories. They set the international agenda and they pioneered norms and standards. These are all cases of a small state winning when a general-purpose technology resets returns to scale. Small-state success has happened before, and this is what the pattern predicts: a narrow class of small states will not simply survive this period of disruption. They are positioned to take their place alongside the world</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leading geopolitical states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not through military heft or diplomatic favor, but because artificial intelligence has inverted the technological relationship between size and national advantage. </w:t>
      </w:r>
    </w:p>
    <w:p w14:paraId="41CF8785"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The small states that succeed will do so from two openings the world now provides: first, space to act opened up by the current rupture in world order; and second, ability to move fast, developed through historical investment and deliberate action. </w:t>
      </w:r>
    </w:p>
    <w:p w14:paraId="518EDEB2"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b/>
          <w:bCs/>
          <w:kern w:val="0"/>
          <w:lang w:eastAsia="en-GB"/>
          <w14:ligatures w14:val="none"/>
        </w:rPr>
        <w:t>Rupture from shocks</w:t>
      </w:r>
    </w:p>
    <w:p w14:paraId="71022349"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The dominant account of world order rupture blames great power rivalry: China and the US locked in geostrategic competition, dragging the rest of the international system into the contest. This account is not wrong. It is incomplete. </w:t>
      </w:r>
    </w:p>
    <w:p w14:paraId="7A109270"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Global order is fracturing, not just from US-China rivalry, but from a confluence of distinct shocks, each with its own distinct impulse and propagation mechanism. Even when the combined damage has been obvious, separating out which shock did what is harder. In our </w:t>
      </w:r>
      <w:r w:rsidRPr="008A1C89">
        <w:rPr>
          <w:rFonts w:ascii="Gentium Plus" w:eastAsia="Times New Roman" w:hAnsi="Gentium Plus" w:cs="Gentium Plus"/>
          <w:kern w:val="0"/>
          <w:lang w:eastAsia="en-GB"/>
          <w14:ligatures w14:val="none"/>
        </w:rPr>
        <w:lastRenderedPageBreak/>
        <w:t xml:space="preserve">reckoning, the principal shocks are three: a China Shock, a US Shock, and a Multilateralism Shock. </w:t>
      </w:r>
    </w:p>
    <w:p w14:paraId="68CEDAAE"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The China Shock is a supply shock: Industrial policy and subsidized capacity drove the production of more, better, and lower-priced manufactures. These flowed into importing economies where aggregate gains distributed unevenly. The result: particular industries and communities hollowed out even as imports enriched consumers and producers downstream. </w:t>
      </w:r>
    </w:p>
    <w:p w14:paraId="62A83920"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The US Shock is a demand shock: tariffs, sanctions, and investment controls applied across the trading system and disrupted free trade. All trading partners, whether allies or adversaries, felt the effects in the market for their exports. This is the demand shock of current US economic statecraft. </w:t>
      </w:r>
    </w:p>
    <w:p w14:paraId="6AA45A63" w14:textId="20D626EB"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And on top of both sits a Multilateralism Shock: the realization, in Washington DC notably but also elsewhere in advanced economies, that underwriting a rules-based multilateral world order is a costly public good whose benefit-cost ratio is no longer favorable to the underwriter. The US share of world GDP, nominal and at market exchange rates, has fallen from roughly 40 percent in 1960 to about a quarter today</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even as it continues to fluctuate around the low 20s. That makes for a different cost-benefit calculation than the one that built the postwar order. The statement is not that the US has grown smaller; it is that the ratio has changed between what the US pays relative to what it gets. As Adam Posen puts it in "The New Economic Geography" (2025) in these pages, the US has shifted from "global insurer to extractor of profit". Benevolence was never a constant. It was always a calculation and it does not come for free. Nations recalibrate accordingly. </w:t>
      </w:r>
    </w:p>
    <w:p w14:paraId="3E2C7908" w14:textId="22DE3696"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Multilateralism Shock is general. Undermining trust in the system have been ongoing disputes about China</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export controls and extraterritorial licensing rules on rare earth processing and advanced semiconductor manufacturing. The criticality of these minerals and technologies for the world</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energy and AI infrastructure means that disruption is profoundly felt. </w:t>
      </w:r>
    </w:p>
    <w:p w14:paraId="4B2C056B" w14:textId="0E1C740D"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All three shocks would remain even if China-US rivalry vanished overnight. They are not accidents of geopolitical friction. Increasingly they are viewed as the deliberate exploitation of chokepoints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what international relations scholars Henry Farrell and Abraham Newman called weaponized interdependence. States with jurisdiction over the central nodes of global networks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whether financial messaging, semiconductor fabrication, or rare-earth processing</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can, when cost-benefit ratios invert, convert the plumbing of interdependence into instruments of coercion. According to IMF, new trade-restricting measures worldwide tripled over 2019-2023. The WTO IMF Trade Policy Activity Index in </w:t>
      </w:r>
      <w:r w:rsidRPr="008A1C89">
        <w:rPr>
          <w:rFonts w:ascii="Gentium Plus" w:eastAsia="Times New Roman" w:hAnsi="Gentium Plus" w:cs="Gentium Plus"/>
          <w:kern w:val="0"/>
          <w:lang w:eastAsia="en-GB"/>
          <w14:ligatures w14:val="none"/>
        </w:rPr>
        <w:lastRenderedPageBreak/>
        <w:t>July 2026 is running at nearly double its 2024 level, reflecting an increase in restrictive measures, not facilitating ones. Around the world merchandise trade on most-favoured-nation terms fell from 80% in January 2025 to 72% in the eight months through September. The infrastructures of gainful interdependence and of weaponized coercion turn out to be identical.</w:t>
      </w:r>
    </w:p>
    <w:p w14:paraId="72D8A7B8" w14:textId="6D55FD34"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For small states, this rupture of the international system is not an inconvenience; it is close to existential. A small state cannot self-insure the way a great power can</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it cannot afford to patrol its own sea lanes, anchor its own reserve currency, or build parallel technology ecosystems. A small state</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prosperity depends on continued access to markets and predictable rules it did not write and cannot unilaterally enforce. </w:t>
      </w:r>
    </w:p>
    <w:p w14:paraId="7CA7337A" w14:textId="4BD5F6CD"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But even as the threats are powerful, their broader nature</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beyond just a binary great power rivalry</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opens up space for small states to maneuver. If the game turns out to be not zero-sum, small states can step off the straight line of alignment, hedging, bandwagoning, and balancing that connects the great powers. But if it is, then it will be some generalized version of alignment that is called for. Small states need to make the correct identification. Because these shocks come with intentionality, small states need to look to unconventional strategies from game theory to navigate this multi-shock disruption to world order: in particular, a mixed strategy</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randomizing across possible actions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can be optimal in a game situation when your opponent is trying to read your intentions, but is never the right action when shocks are exogenous or when the decision is being taken outside a game-theoretic situation. </w:t>
      </w:r>
    </w:p>
    <w:p w14:paraId="356ED644"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b/>
          <w:bCs/>
          <w:kern w:val="0"/>
          <w:lang w:eastAsia="en-GB"/>
          <w14:ligatures w14:val="none"/>
        </w:rPr>
        <w:t>The unconventional response</w:t>
      </w:r>
    </w:p>
    <w:p w14:paraId="781ECDC9" w14:textId="6C18CF83"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If world order is hit by three 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(the China Shock, the US Shock, the Multilateralism Shock), small states are responding with strategies organized around three A</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(If the world is truly zero-sum, then there is no room to maneuver, everything degenerates down to some version of alignment. Outside of that, however, the three A</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come into their own.) </w:t>
      </w:r>
    </w:p>
    <w:p w14:paraId="50C9851D"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Small states are learning to blend acquiescence, adaptation, and aggregation simultaneously. Acquiescence is symbolic yielding on the axis of contention, while quietly building institutions elsewhere. Adaptation is domestic restructuring for increased resilience. And aggregation is coalition-building where great power presence is optional.</w:t>
      </w:r>
    </w:p>
    <w:p w14:paraId="5E04955B" w14:textId="6F6A1F38"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Historical precedents exist that have been guided by related but different principles. Four decades ago, Peter Katzenstein studied how small European economies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too exposed to global markets to protect themselves, too small to reshape global markets unilaterally</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survived repeated bouts of economic turbulence. Obviously these economies were not </w:t>
      </w:r>
      <w:r w:rsidRPr="008A1C89">
        <w:rPr>
          <w:rFonts w:ascii="Gentium Plus" w:eastAsia="Times New Roman" w:hAnsi="Gentium Plus" w:cs="Gentium Plus"/>
          <w:kern w:val="0"/>
          <w:lang w:eastAsia="en-GB"/>
          <w14:ligatures w14:val="none"/>
        </w:rPr>
        <w:lastRenderedPageBreak/>
        <w:t xml:space="preserve">doing this through scale. Instead they coped through what Katzenstein called </w:t>
      </w:r>
      <w:r w:rsidRPr="008A1C89">
        <w:rPr>
          <w:rFonts w:ascii="Gentium Plus" w:eastAsia="Times New Roman" w:hAnsi="Gentium Plus" w:cs="Gentium Plus"/>
          <w:b/>
          <w:bCs/>
          <w:kern w:val="0"/>
          <w:lang w:eastAsia="en-GB"/>
          <w14:ligatures w14:val="none"/>
        </w:rPr>
        <w:t>democratic corporatism</w:t>
      </w:r>
      <w:r w:rsidRPr="008A1C89">
        <w:rPr>
          <w:rFonts w:ascii="Gentium Plus" w:eastAsia="Times New Roman" w:hAnsi="Gentium Plus" w:cs="Gentium Plus"/>
          <w:kern w:val="0"/>
          <w:lang w:eastAsia="en-GB"/>
          <w14:ligatures w14:val="none"/>
        </w:rPr>
        <w:t>: rapid, consensus-based adjustment, embodied in a national capacity to change course quickly because business, labor, and the state had earlier agreed on how disagreements would get resolved. Katzenstein</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cases are Western European democracies: Austria, Denmark, Norway, the Netherlands, and Switzerland. In the 1980s Singapore surfaced a similar social structure called </w:t>
      </w:r>
      <w:r w:rsidRPr="008A1C89">
        <w:rPr>
          <w:rFonts w:ascii="Gentium Plus" w:eastAsia="Times New Roman" w:hAnsi="Gentium Plus" w:cs="Gentium Plus"/>
          <w:b/>
          <w:bCs/>
          <w:kern w:val="0"/>
          <w:lang w:eastAsia="en-GB"/>
          <w14:ligatures w14:val="none"/>
        </w:rPr>
        <w:t>tripartism</w:t>
      </w:r>
      <w:r w:rsidRPr="008A1C89">
        <w:rPr>
          <w:rFonts w:ascii="Gentium Plus" w:eastAsia="Times New Roman" w:hAnsi="Gentium Plus" w:cs="Gentium Plus"/>
          <w:kern w:val="0"/>
          <w:lang w:eastAsia="en-GB"/>
          <w14:ligatures w14:val="none"/>
        </w:rPr>
        <w:t xml:space="preserve">. </w:t>
      </w:r>
    </w:p>
    <w:p w14:paraId="70E2AC82"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For all cases, adjustment advantage came about not because the system baked in an absence of disagreement. Instead, what worked was that there was an agreed procedure for resolving disagreement. These small states adapted successfully to exogenous shocks. </w:t>
      </w:r>
    </w:p>
    <w:p w14:paraId="4300D902"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Today small states must adjust to, not just exogenous shocks, but also intentional ones. From game theory we know that the class of best-response strategies will include complicated possibilities that call for both rapid responses and potentially mixed strategies. Predictable processes makes for domestic understanding, but can reveal valuable information that adversaries might exploit. More important than ever will be the processes that need to be set up for disagreement resolution given the particular circumstances in which a society finds itself. </w:t>
      </w:r>
    </w:p>
    <w:p w14:paraId="1291FD38" w14:textId="0E234F04"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At the cross-national level, this logic has a different name: pathfinder multilateralism. We think of this as different from clever hedging, derivative power, or yet other power-based ideas that have been used to describe small-state agency. Since 1967 ASEAN has operated on the principle that the region determines its own outcomes rather than deferring to outside powers. This principle has served as scaffolding for the Regional Comprehensive Economic Partnership (which ASEAN leads) and the Comprehensive and Progressive Agreement for Trans-Pacific Partnership (in which ASEAN member states participate keenly), the latter reconstructed and expanded after its predecessor, the Trans-Pacific Partnership, was abandoned. The World Trade Organization</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Multi-Party Interim Appeal Arbitration Arrangement, an improvised fix for a dispute-settlement system left inquorate, grew from a membership of 47 WTO members at launch in April 2020 to now sixty. </w:t>
      </w:r>
    </w:p>
    <w:p w14:paraId="05ABF882" w14:textId="0263D561"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None of these arrangements required great-power sponsorship, permission, or alignment. All of them ask only that enough willing states find it individually rational to keep participating</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incentive compatibility standing in for grand institutional redesign nobody currently has the political capital to attempt. Small states are consumers of order, not producers. Consumption hinges on incentive compatibility, not underwriting. </w:t>
      </w:r>
    </w:p>
    <w:p w14:paraId="31693851"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These theoretical insights point out space where small states can maneuver. But small states now need to move fast. </w:t>
      </w:r>
    </w:p>
    <w:p w14:paraId="2CA251E5"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b/>
          <w:bCs/>
          <w:kern w:val="0"/>
          <w:lang w:eastAsia="en-GB"/>
          <w14:ligatures w14:val="none"/>
        </w:rPr>
        <w:lastRenderedPageBreak/>
        <w:t>An old rule inverts</w:t>
      </w:r>
    </w:p>
    <w:p w14:paraId="6A2C8931" w14:textId="04C37A5A"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Size is destiny when returns to scale matter. Military outcomes are the outstanding example: From size the destructive force to instantaneously degrade an adversary</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physical structures is not negotiable (although asymmetric warfare has begun to chip away at that). More generally, however, other instances manifest. Big pools of labour and capital; large markets filled with consumers; scale to allow economic specialization and thus raise productivity; great powers determined outcomes, while small states survived on niches, neutrality, and compliance. </w:t>
      </w:r>
    </w:p>
    <w:p w14:paraId="4998162F" w14:textId="6B5AA29F"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change artificial intelligence brings is profound: it has moved enough value and power into digital logic to make national power</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scarcest, most decisive input</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cognition itself</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nonrival, abundant, and nearly free. But even as the price of intelligence per token collapses towards zero, frontier-scale compute remains at each instant in time bounded. The opportunity for small states rests on the first, but global risk generally lives in the second. </w:t>
      </w:r>
    </w:p>
    <w:p w14:paraId="6A97ECCD" w14:textId="7BA5A82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What is scarce in the AI era is what a small, cohesive state can concentrate and a large one cannot: judgment, capital, electricity, and trust. None of these requires one</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own frontier AI lab. All of them reward speed and cohesion, the very endowments a small state already has and a middle power structurally lacks. Speed comes with a challenge. Often, it is concentrated authority that speeds adoption. But that same mechanism that elevates speed also raises the cost of adopting the wrong approach because no obvious process forces a reversal. Small states need to take special care here. </w:t>
      </w:r>
    </w:p>
    <w:p w14:paraId="61646B9B"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Which small states will be able to integrate their AI-era concentrated tools and the geopolitical space afforded them in the current world order? </w:t>
      </w:r>
    </w:p>
    <w:p w14:paraId="6481122B"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Singapore is the test case, not because it is unique but because it is instructive: an economy the size of, say, the Boston metropolitan area, competing for AI-era advantage not against its neighbors but against the clock.</w:t>
      </w:r>
    </w:p>
    <w:p w14:paraId="46A2D4EF"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b/>
          <w:bCs/>
          <w:kern w:val="0"/>
          <w:lang w:eastAsia="en-GB"/>
          <w14:ligatures w14:val="none"/>
        </w:rPr>
        <w:t>What "AI-agile" actually means</w:t>
      </w:r>
    </w:p>
    <w:p w14:paraId="6FCFC271"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We propose eight tests for what makes a small state agile enough to seize this opportunity, the first five measuring what a state has, the last three measuring whether it can act on what it has.</w:t>
      </w:r>
    </w:p>
    <w:p w14:paraId="10635F4A" w14:textId="779248E1"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first is a transformable citizenry — a population small and cohesive enough to re-skill the bulk of its workforce within five years. Estonia had done this previously in the 1990s with Internet penetration in schools ramped up from zero to 97% by 1997, creating a tech-</w:t>
      </w:r>
      <w:r w:rsidRPr="008A1C89">
        <w:rPr>
          <w:rFonts w:ascii="Gentium Plus" w:eastAsia="Times New Roman" w:hAnsi="Gentium Plus" w:cs="Gentium Plus"/>
          <w:kern w:val="0"/>
          <w:lang w:eastAsia="en-GB"/>
          <w14:ligatures w14:val="none"/>
        </w:rPr>
        <w:lastRenderedPageBreak/>
        <w:t>savvy generation. Estonia</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planned national retraining initiative targets nearly 4 percent of its working-age population; the equivalent ratio applied to the United States would mean retraining nearly nine million people inside two years. </w:t>
      </w:r>
    </w:p>
    <w:p w14:paraId="4F4B657C" w14:textId="00542820"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second is hyper-concentrated capital: sovereign wealth deployable at a scale that funds the transition without years of taxation and legislative fights — Norway</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fund holds roughly $370,000 per citizen, Qatar</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approaches $1.5 million. (We have done the sovereign wealth calculation here per citizen rather than per resident since sovereign wealth, by definition, accrues to citizens.)</w:t>
      </w:r>
    </w:p>
    <w:p w14:paraId="1A812A74" w14:textId="41EA6443"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third is cognitive density: global talent is of course mobile, but in 2022 Singapore</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students posted 41 percent top performance on PISA mathematics against an OECD average of 9 percent. </w:t>
      </w:r>
    </w:p>
    <w:p w14:paraId="684666E6"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The fourth is power abundance: electricity, grid capacity, and the speed to host compute at scale. </w:t>
      </w:r>
    </w:p>
    <w:p w14:paraId="6FE67FAF"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fifth is AI-native commitment, measured not by strategy documents but by rebuilt procurement and government services. This is about organic attainment, not public promises. Our assessment is that here, almost every candidate state falls short still. Estonia continues to brandish its commitment but the others will need to catch up.</w:t>
      </w:r>
    </w:p>
    <w:p w14:paraId="78BD5F9F"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The remaining three tests are about sovereign action rather than sovereign assets. </w:t>
      </w:r>
      <w:r w:rsidRPr="008A1C89">
        <w:rPr>
          <w:rFonts w:ascii="Gentium Plus" w:eastAsia="Times New Roman" w:hAnsi="Gentium Plus" w:cs="Gentium Plus"/>
          <w:b/>
          <w:bCs/>
          <w:kern w:val="0"/>
          <w:lang w:eastAsia="en-GB"/>
          <w14:ligatures w14:val="none"/>
        </w:rPr>
        <w:t>Sovereign resolve</w:t>
      </w:r>
      <w:r w:rsidRPr="008A1C89">
        <w:rPr>
          <w:rFonts w:ascii="Gentium Plus" w:eastAsia="Times New Roman" w:hAnsi="Gentium Plus" w:cs="Gentium Plus"/>
          <w:kern w:val="0"/>
          <w:lang w:eastAsia="en-GB"/>
          <w14:ligatures w14:val="none"/>
        </w:rPr>
        <w:t xml:space="preserve"> asks whether a center of authority can drive execution across agencies inside one political cycle rather than several. </w:t>
      </w:r>
      <w:r w:rsidRPr="008A1C89">
        <w:rPr>
          <w:rFonts w:ascii="Gentium Plus" w:eastAsia="Times New Roman" w:hAnsi="Gentium Plus" w:cs="Gentium Plus"/>
          <w:b/>
          <w:bCs/>
          <w:kern w:val="0"/>
          <w:lang w:eastAsia="en-GB"/>
          <w14:ligatures w14:val="none"/>
        </w:rPr>
        <w:t>Sovereign trust</w:t>
      </w:r>
      <w:r w:rsidRPr="008A1C89">
        <w:rPr>
          <w:rFonts w:ascii="Gentium Plus" w:eastAsia="Times New Roman" w:hAnsi="Gentium Plus" w:cs="Gentium Plus"/>
          <w:kern w:val="0"/>
          <w:lang w:eastAsia="en-GB"/>
          <w14:ligatures w14:val="none"/>
        </w:rPr>
        <w:t xml:space="preserve"> asks whether citizens believe their state can lead disruption legitimately, as opposed to merely enduring it quietly. And </w:t>
      </w:r>
      <w:r w:rsidRPr="008A1C89">
        <w:rPr>
          <w:rFonts w:ascii="Gentium Plus" w:eastAsia="Times New Roman" w:hAnsi="Gentium Plus" w:cs="Gentium Plus"/>
          <w:b/>
          <w:bCs/>
          <w:kern w:val="0"/>
          <w:lang w:eastAsia="en-GB"/>
          <w14:ligatures w14:val="none"/>
        </w:rPr>
        <w:t>protected sovereignty</w:t>
      </w:r>
      <w:r w:rsidRPr="008A1C89">
        <w:rPr>
          <w:rFonts w:ascii="Gentium Plus" w:eastAsia="Times New Roman" w:hAnsi="Gentium Plus" w:cs="Gentium Plus"/>
          <w:kern w:val="0"/>
          <w:lang w:eastAsia="en-GB"/>
          <w14:ligatures w14:val="none"/>
        </w:rPr>
        <w:t xml:space="preserve"> asks whether security is provided sufficiently — by geography, alliance, or a credible external security guarantee — that the fruits of a successful transformation cannot simply be annexed, coerced, or overridden. A state that becomes indispensable without becoming defensible has only painted cross-hairs on its back.</w:t>
      </w:r>
    </w:p>
    <w:p w14:paraId="140A4B21" w14:textId="4410C7B5"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This last test has become newly concrete in 2026, as "sovereign AI" has turned from a slogan into an actual policy architecture. Estonia</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data-embassy model — critical state functions and data held under Estonian law but physically hosted abroad, so the state can keep operating even if its home territory cannot — has already been extended into what a recent World Economic Forum framework calls digital embassies. Both Estonia and Monaco now have data embassies in Luxembourg. But the same conversation has an edge to it when "sovereign AI"</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built on a nation</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infrastructure</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is presented to partner nations. Every offer of sovereign AI is also an offer of dependency, whichever capital it comes from.</w:t>
      </w:r>
    </w:p>
    <w:p w14:paraId="69F0E7E9"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lastRenderedPageBreak/>
        <w:t>We evaluate twelve candidate states against these eight tests: Singapore, the United Arab Emirates, Qatar, Norway, Luxembourg, Estonia, Israel, Iceland, Brunei, Oman, Kazakhstan, and Bahrain. The finding is not a triumphalist one. Singapore scores strongest across the board — and even Singapore fails the strict test of AI-native commitment, with a superb strategy and well-funded programs but a government not yet rebuilt around AI workers rather than merely adopting them. This candor matters more than any single ranking. A framework that only ever finds winners is not a framework; it is marketing.</w:t>
      </w:r>
    </w:p>
    <w:p w14:paraId="59FDB4F4"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b/>
          <w:bCs/>
          <w:kern w:val="0"/>
          <w:lang w:eastAsia="en-GB"/>
          <w14:ligatures w14:val="none"/>
        </w:rPr>
        <w:t>Retrofit versus Construct</w:t>
      </w:r>
      <w:r w:rsidRPr="008A1C89">
        <w:rPr>
          <w:rFonts w:ascii="Gentium Plus" w:eastAsia="Times New Roman" w:hAnsi="Gentium Plus" w:cs="Gentium Plus"/>
          <w:kern w:val="0"/>
          <w:lang w:eastAsia="en-GB"/>
          <w14:ligatures w14:val="none"/>
        </w:rPr>
        <w:t xml:space="preserve"> </w:t>
      </w:r>
    </w:p>
    <w:p w14:paraId="7513D046" w14:textId="3064A7B4"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conventional answer to great-power withdrawal has been middle-power substitution: if Washington will not lead, surely Canada, the European Union, Japan, and Australia can share the burden. (While the EU is not a middle power in the sense as the other three, on the specific dimension that we care about here, namely the speed of collective decision, the EU behaves much like a very large middle power.) We have argued elsewhere that this repeats, at a reduced scale, the same flaw behind the Multilateralism Shock in the current rupture — middle powers face the same rising cost-benefit ratio that made great powers withdraw in the first place, only with thinner margins before they have to call it quits. Call it the Middle-Power Fallacy: asking a poor man</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hegemon to replace a rich man</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hegemon that had already decided the job wasn</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t worth doing.</w:t>
      </w:r>
    </w:p>
    <w:p w14:paraId="142A1341" w14:textId="49904AD6"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The AI era deepens this fallacy by adding a structural challenge into an incentive problem. Middle powers carry the world</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thickest strata of entrenched middle management and the largest legacy industrial bases — automotive, banking, insurance, chemicals — which are precisely the organizational forms that AI-native competition degrades. These economies must retrofit an inheritance. A large economy is an inheritance and inheritances have to be maintained. Small states, having built no such inheritance to defend, can simply build. Retrofitting a continental economy is the hardest transformation project in business, attempted by governments with the least in-house AI expertise to do it well.</w:t>
      </w:r>
    </w:p>
    <w:p w14:paraId="2D3167D3"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b/>
          <w:bCs/>
          <w:kern w:val="0"/>
          <w:lang w:eastAsia="en-GB"/>
          <w14:ligatures w14:val="none"/>
        </w:rPr>
        <w:t>Answering the skeptics</w:t>
      </w:r>
    </w:p>
    <w:p w14:paraId="5B68E0DE" w14:textId="26CF2172"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We are mindful of the counter-argument. Ian Bremmer and Mustafa Suleyman have argued, in these pages, that AI redistributes power toward whoever controls frontier models — a small number of firms and the handful of states that host them. All else equal, this widens the gap between large and small states. No small state is going to out-build the handful of labs training the world</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most capable AI models.</w:t>
      </w:r>
    </w:p>
    <w:p w14:paraId="61878EF8" w14:textId="6726C589"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We think Bremmer and Suleyman are right about the supply side of AI power. But they are largely silent on the demand side. Their argument concerns who builds the frontier. Ours </w:t>
      </w:r>
      <w:r w:rsidRPr="008A1C89">
        <w:rPr>
          <w:rFonts w:ascii="Gentium Plus" w:eastAsia="Times New Roman" w:hAnsi="Gentium Plus" w:cs="Gentium Plus"/>
          <w:kern w:val="0"/>
          <w:lang w:eastAsia="en-GB"/>
          <w14:ligatures w14:val="none"/>
        </w:rPr>
        <w:lastRenderedPageBreak/>
        <w:t>concerns who most thoroughly incorporates it — who can retrain a citizenry, rebuild a government</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 xml:space="preserve">s own operations, and redeploy sovereign capital fastest, once the frontier technology already exists and its price is collapsing toward zero. Absorption capacity is itself bargaining power. A state that can deploy frontier models across its entire government and workforce within a year is a customer worth keeping and a reference case worth having, which is leverage over access terms that a slow, larger customer does not have. </w:t>
      </w:r>
    </w:p>
    <w:p w14:paraId="2884B6A2"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France, Japan, and the UK possess more capital and talent in aggregate but, compared to Singapore, far less of either per citizen. They have far more legacy to protect while incorporating the frontier. Supply-side concentration and demand-side small-state advantage are not competing claims. They are two different halves of the same technology working through two different parts of the world economy.</w:t>
      </w:r>
    </w:p>
    <w:p w14:paraId="065F25F8"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b/>
          <w:bCs/>
          <w:kern w:val="0"/>
          <w:lang w:eastAsia="en-GB"/>
          <w14:ligatures w14:val="none"/>
        </w:rPr>
        <w:t>What could still go wrong</w:t>
      </w:r>
    </w:p>
    <w:p w14:paraId="0B4048A7"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 xml:space="preserve">None of this is a guarantee, and small-state leaders would be right to be wary of anyone who tells them otherwise. The window is narrow by construction: hydrocarbon rents that fund Gulf transitions erode as the AI era itself reduces the energy-intensity of value creation; diaspora talent settles wherever the best offer currently is; first movers lock in the partnerships, the compute contracts, and the reputation space that late movers seek for themselves. A large state university in the US (or Singapore) has a community of about 50,000. That, together with a backup, is likely the minimum viable labor pool for a diversified AI-era economy. Thus, below a floor of roughly a hundred thousand citizens, smallness stops being an asset and becomes a disqualifier — there is simply no critical mass of workers to retrain. And capital and cognition correlate negatively across a lot of our own candidate list: the Gulf states hold the deepest sovereign funds and among the thinnest indigenous PISA scores; Singapore built its capital from productive surpluses rather than resource rents, and remains a singular exceptional case. On our reading, perhaps a small minority of our twelve candidates will fully execute this transformation. We say this not to hedge the argument into meaninglessness, but because honesty is the argument. </w:t>
      </w:r>
    </w:p>
    <w:p w14:paraId="3C2FF2EE" w14:textId="0720E795"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If by 2035, we don</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t have at least two states in our list having rebuilt a majority of citizen services around AI systems and moved the needle on its productivity growth, then we concede our reasoning will have been misdirected. Ours is not a general doctrine about small states. Instead it is an assessment of a narrow and generally already wealthy class, and obviously what we describe might widen, not narrow, the inequality already extant among small states.</w:t>
      </w:r>
    </w:p>
    <w:p w14:paraId="16875A26" w14:textId="77777777"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b/>
          <w:bCs/>
          <w:kern w:val="0"/>
          <w:lang w:eastAsia="en-GB"/>
          <w14:ligatures w14:val="none"/>
        </w:rPr>
        <w:t>A different verdict on an old dictum</w:t>
      </w:r>
    </w:p>
    <w:p w14:paraId="619A146E" w14:textId="41CDC141"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lastRenderedPageBreak/>
        <w:t>Today</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juxtaposition of world order and AI technology opens space for a narrow class of small states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agile, cohesive, moving now rather than waiting for permission</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to start setting the agenda, even if hanging over them is Thucydides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account of what great powers do.</w:t>
      </w:r>
    </w:p>
    <w:p w14:paraId="6F0EBBBD" w14:textId="1C474CD1" w:rsidR="008A1C89" w:rsidRPr="008A1C89" w:rsidRDefault="008A1C89" w:rsidP="008A1C89">
      <w:pPr>
        <w:spacing w:before="100" w:beforeAutospacing="1" w:after="100" w:afterAutospacing="1" w:line="240" w:lineRule="auto"/>
        <w:rPr>
          <w:rFonts w:ascii="Gentium Plus" w:eastAsia="Times New Roman" w:hAnsi="Gentium Plus" w:cs="Gentium Plus"/>
          <w:kern w:val="0"/>
          <w:lang w:eastAsia="en-GB"/>
          <w14:ligatures w14:val="none"/>
        </w:rPr>
      </w:pPr>
      <w:r w:rsidRPr="008A1C89">
        <w:rPr>
          <w:rFonts w:ascii="Gentium Plus" w:eastAsia="Times New Roman" w:hAnsi="Gentium Plus" w:cs="Gentium Plus"/>
          <w:kern w:val="0"/>
          <w:lang w:eastAsia="en-GB"/>
          <w14:ligatures w14:val="none"/>
        </w:rPr>
        <w:t>Thucydides will be quoted for as long as great powers behave like great powers. Nothing in this essay repeals that half of his observation. But the focus on small states here is also a reminder that Thucydides was not, in fact, providing an endorsement of how the Athenians spoke so disparagingly of the Melians. After all, Athens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great-power hubris led to disastrous over-reach in the Sicilian Expedition and then Athens</w:t>
      </w:r>
      <w:r>
        <w:rPr>
          <w:rFonts w:ascii="Gentium Plus" w:eastAsia="Times New Roman" w:hAnsi="Gentium Plus" w:cs="Gentium Plus"/>
          <w:kern w:val="0"/>
          <w:lang w:eastAsia="en-GB"/>
          <w14:ligatures w14:val="none"/>
        </w:rPr>
        <w:t>’</w:t>
      </w:r>
      <w:r w:rsidRPr="008A1C89">
        <w:rPr>
          <w:rFonts w:ascii="Gentium Plus" w:eastAsia="Times New Roman" w:hAnsi="Gentium Plus" w:cs="Gentium Plus"/>
          <w:kern w:val="0"/>
          <w:lang w:eastAsia="en-GB"/>
          <w14:ligatures w14:val="none"/>
        </w:rPr>
        <w:t>s crushing defeat by Sparta within the decade.</w:t>
      </w:r>
    </w:p>
    <w:p w14:paraId="209768CA" w14:textId="77777777" w:rsidR="00C536C7" w:rsidRPr="008A1C89" w:rsidRDefault="00C536C7">
      <w:pPr>
        <w:rPr>
          <w:rFonts w:ascii="Gentium Plus" w:hAnsi="Gentium Plus" w:cs="Gentium Plus"/>
        </w:rPr>
      </w:pPr>
    </w:p>
    <w:sectPr w:rsidR="00C536C7" w:rsidRPr="008A1C89" w:rsidSect="008A1C89">
      <w:footerReference w:type="even" r:id="rId6"/>
      <w:footerReference w:type="defaul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E7A24F" w14:textId="77777777" w:rsidR="00C67D9F" w:rsidRDefault="00C67D9F" w:rsidP="008A1C89">
      <w:pPr>
        <w:spacing w:after="0" w:line="240" w:lineRule="auto"/>
      </w:pPr>
      <w:r>
        <w:separator/>
      </w:r>
    </w:p>
  </w:endnote>
  <w:endnote w:type="continuationSeparator" w:id="0">
    <w:p w14:paraId="74F4C3E3" w14:textId="77777777" w:rsidR="00C67D9F" w:rsidRDefault="00C67D9F" w:rsidP="008A1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ntium Plus">
    <w:panose1 w:val="02000503060000020004"/>
    <w:charset w:val="00"/>
    <w:family w:val="auto"/>
    <w:pitch w:val="variable"/>
    <w:sig w:usb0="E00002FF" w:usb1="5200A1FB" w:usb2="02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6252363"/>
      <w:docPartObj>
        <w:docPartGallery w:val="Page Numbers (Bottom of Page)"/>
        <w:docPartUnique/>
      </w:docPartObj>
    </w:sdtPr>
    <w:sdtContent>
      <w:p w14:paraId="1487F64C" w14:textId="108CF3AD" w:rsidR="008A1C89" w:rsidRDefault="008A1C89" w:rsidP="00DB43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1EF41E" w14:textId="77777777" w:rsidR="008A1C89" w:rsidRDefault="008A1C89" w:rsidP="008A1C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2961880"/>
      <w:docPartObj>
        <w:docPartGallery w:val="Page Numbers (Bottom of Page)"/>
        <w:docPartUnique/>
      </w:docPartObj>
    </w:sdtPr>
    <w:sdtEndPr>
      <w:rPr>
        <w:rStyle w:val="PageNumber"/>
        <w:rFonts w:ascii="Gentium Plus" w:hAnsi="Gentium Plus" w:cs="Gentium Plus"/>
      </w:rPr>
    </w:sdtEndPr>
    <w:sdtContent>
      <w:p w14:paraId="7CE3A0C1" w14:textId="1BC68BA0" w:rsidR="008A1C89" w:rsidRPr="008A1C89" w:rsidRDefault="008A1C89" w:rsidP="00DB43D4">
        <w:pPr>
          <w:pStyle w:val="Footer"/>
          <w:framePr w:wrap="none" w:vAnchor="text" w:hAnchor="margin" w:xAlign="right" w:y="1"/>
          <w:rPr>
            <w:rStyle w:val="PageNumber"/>
            <w:rFonts w:ascii="Gentium Plus" w:hAnsi="Gentium Plus" w:cs="Gentium Plus"/>
          </w:rPr>
        </w:pPr>
        <w:r w:rsidRPr="008A1C89">
          <w:rPr>
            <w:rStyle w:val="PageNumber"/>
            <w:rFonts w:ascii="Gentium Plus" w:hAnsi="Gentium Plus" w:cs="Gentium Plus"/>
          </w:rPr>
          <w:fldChar w:fldCharType="begin"/>
        </w:r>
        <w:r w:rsidRPr="008A1C89">
          <w:rPr>
            <w:rStyle w:val="PageNumber"/>
            <w:rFonts w:ascii="Gentium Plus" w:hAnsi="Gentium Plus" w:cs="Gentium Plus"/>
          </w:rPr>
          <w:instrText xml:space="preserve"> PAGE </w:instrText>
        </w:r>
        <w:r w:rsidRPr="008A1C89">
          <w:rPr>
            <w:rStyle w:val="PageNumber"/>
            <w:rFonts w:ascii="Gentium Plus" w:hAnsi="Gentium Plus" w:cs="Gentium Plus"/>
          </w:rPr>
          <w:fldChar w:fldCharType="separate"/>
        </w:r>
        <w:r w:rsidRPr="008A1C89">
          <w:rPr>
            <w:rStyle w:val="PageNumber"/>
            <w:rFonts w:ascii="Gentium Plus" w:hAnsi="Gentium Plus" w:cs="Gentium Plus"/>
            <w:noProof/>
          </w:rPr>
          <w:t>2</w:t>
        </w:r>
        <w:r w:rsidRPr="008A1C89">
          <w:rPr>
            <w:rStyle w:val="PageNumber"/>
            <w:rFonts w:ascii="Gentium Plus" w:hAnsi="Gentium Plus" w:cs="Gentium Plus"/>
          </w:rPr>
          <w:fldChar w:fldCharType="end"/>
        </w:r>
      </w:p>
    </w:sdtContent>
  </w:sdt>
  <w:p w14:paraId="4A0A0160" w14:textId="77777777" w:rsidR="008A1C89" w:rsidRPr="008A1C89" w:rsidRDefault="008A1C89" w:rsidP="008A1C89">
    <w:pPr>
      <w:pStyle w:val="Footer"/>
      <w:ind w:right="360"/>
      <w:rPr>
        <w:rFonts w:ascii="Gentium Plus" w:hAnsi="Gentium Plus" w:cs="Gentium Pl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6C8708" w14:textId="77777777" w:rsidR="00C67D9F" w:rsidRDefault="00C67D9F" w:rsidP="008A1C89">
      <w:pPr>
        <w:spacing w:after="0" w:line="240" w:lineRule="auto"/>
      </w:pPr>
      <w:r>
        <w:separator/>
      </w:r>
    </w:p>
  </w:footnote>
  <w:footnote w:type="continuationSeparator" w:id="0">
    <w:p w14:paraId="6F61CD47" w14:textId="77777777" w:rsidR="00C67D9F" w:rsidRDefault="00C67D9F" w:rsidP="008A1C89">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C89"/>
    <w:rsid w:val="004B6180"/>
    <w:rsid w:val="008A1C89"/>
    <w:rsid w:val="00C50770"/>
    <w:rsid w:val="00C536C7"/>
    <w:rsid w:val="00C67D9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F994825"/>
  <w15:chartTrackingRefBased/>
  <w15:docId w15:val="{EE337EDA-7A45-2A44-BE99-1227D4344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C89"/>
    <w:rPr>
      <w:rFonts w:eastAsiaTheme="majorEastAsia" w:cstheme="majorBidi"/>
      <w:color w:val="272727" w:themeColor="text1" w:themeTint="D8"/>
    </w:rPr>
  </w:style>
  <w:style w:type="paragraph" w:styleId="Title">
    <w:name w:val="Title"/>
    <w:basedOn w:val="Normal"/>
    <w:next w:val="Normal"/>
    <w:link w:val="TitleChar"/>
    <w:uiPriority w:val="10"/>
    <w:qFormat/>
    <w:rsid w:val="008A1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C89"/>
    <w:pPr>
      <w:spacing w:before="160"/>
      <w:jc w:val="center"/>
    </w:pPr>
    <w:rPr>
      <w:i/>
      <w:iCs/>
      <w:color w:val="404040" w:themeColor="text1" w:themeTint="BF"/>
    </w:rPr>
  </w:style>
  <w:style w:type="character" w:customStyle="1" w:styleId="QuoteChar">
    <w:name w:val="Quote Char"/>
    <w:basedOn w:val="DefaultParagraphFont"/>
    <w:link w:val="Quote"/>
    <w:uiPriority w:val="29"/>
    <w:rsid w:val="008A1C89"/>
    <w:rPr>
      <w:i/>
      <w:iCs/>
      <w:color w:val="404040" w:themeColor="text1" w:themeTint="BF"/>
    </w:rPr>
  </w:style>
  <w:style w:type="paragraph" w:styleId="ListParagraph">
    <w:name w:val="List Paragraph"/>
    <w:basedOn w:val="Normal"/>
    <w:uiPriority w:val="34"/>
    <w:qFormat/>
    <w:rsid w:val="008A1C89"/>
    <w:pPr>
      <w:ind w:left="720"/>
      <w:contextualSpacing/>
    </w:pPr>
  </w:style>
  <w:style w:type="character" w:styleId="IntenseEmphasis">
    <w:name w:val="Intense Emphasis"/>
    <w:basedOn w:val="DefaultParagraphFont"/>
    <w:uiPriority w:val="21"/>
    <w:qFormat/>
    <w:rsid w:val="008A1C89"/>
    <w:rPr>
      <w:i/>
      <w:iCs/>
      <w:color w:val="0F4761" w:themeColor="accent1" w:themeShade="BF"/>
    </w:rPr>
  </w:style>
  <w:style w:type="paragraph" w:styleId="IntenseQuote">
    <w:name w:val="Intense Quote"/>
    <w:basedOn w:val="Normal"/>
    <w:next w:val="Normal"/>
    <w:link w:val="IntenseQuoteChar"/>
    <w:uiPriority w:val="30"/>
    <w:qFormat/>
    <w:rsid w:val="008A1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C89"/>
    <w:rPr>
      <w:i/>
      <w:iCs/>
      <w:color w:val="0F4761" w:themeColor="accent1" w:themeShade="BF"/>
    </w:rPr>
  </w:style>
  <w:style w:type="character" w:styleId="IntenseReference">
    <w:name w:val="Intense Reference"/>
    <w:basedOn w:val="DefaultParagraphFont"/>
    <w:uiPriority w:val="32"/>
    <w:qFormat/>
    <w:rsid w:val="008A1C89"/>
    <w:rPr>
      <w:b/>
      <w:bCs/>
      <w:smallCaps/>
      <w:color w:val="0F4761" w:themeColor="accent1" w:themeShade="BF"/>
      <w:spacing w:val="5"/>
    </w:rPr>
  </w:style>
  <w:style w:type="paragraph" w:styleId="NormalWeb">
    <w:name w:val="Normal (Web)"/>
    <w:basedOn w:val="Normal"/>
    <w:uiPriority w:val="99"/>
    <w:semiHidden/>
    <w:unhideWhenUsed/>
    <w:rsid w:val="008A1C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A1C89"/>
    <w:rPr>
      <w:b/>
      <w:bCs/>
    </w:rPr>
  </w:style>
  <w:style w:type="paragraph" w:styleId="Footer">
    <w:name w:val="footer"/>
    <w:basedOn w:val="Normal"/>
    <w:link w:val="FooterChar"/>
    <w:uiPriority w:val="99"/>
    <w:unhideWhenUsed/>
    <w:rsid w:val="008A1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1C89"/>
  </w:style>
  <w:style w:type="character" w:styleId="PageNumber">
    <w:name w:val="page number"/>
    <w:basedOn w:val="DefaultParagraphFont"/>
    <w:uiPriority w:val="99"/>
    <w:semiHidden/>
    <w:unhideWhenUsed/>
    <w:rsid w:val="008A1C89"/>
  </w:style>
  <w:style w:type="paragraph" w:styleId="Header">
    <w:name w:val="header"/>
    <w:basedOn w:val="Normal"/>
    <w:link w:val="HeaderChar"/>
    <w:uiPriority w:val="99"/>
    <w:unhideWhenUsed/>
    <w:rsid w:val="008A1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1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3737</Words>
  <Characters>21307</Characters>
  <Application>Microsoft Office Word</Application>
  <DocSecurity>0</DocSecurity>
  <Lines>177</Lines>
  <Paragraphs>49</Paragraphs>
  <ScaleCrop>false</ScaleCrop>
  <Company/>
  <LinksUpToDate>false</LinksUpToDate>
  <CharactersWithSpaces>24995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Quah</dc:creator>
  <cp:keywords/>
  <dc:description/>
  <cp:lastModifiedBy>Danny Quah</cp:lastModifiedBy>
  <cp:revision>1</cp:revision>
  <dcterms:created xsi:type="dcterms:W3CDTF">2026-08-02T07:41:00Z</dcterms:created>
  <dcterms:modified xsi:type="dcterms:W3CDTF">2026-08-02T07:45:00Z</dcterms:modified>
</cp:coreProperties>
</file>